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FB" w:rsidRDefault="00F5172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ÁLCOOL EM GEL DERMOPROTETOR: EQUILÍBRIO ENTRE ANTISSEPSIA E HIDRATAÇÃO DA PELE</w:t>
      </w:r>
    </w:p>
    <w:p w:rsidR="007505FB" w:rsidRDefault="00F5172B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Cecília Vieira da Silva (IC), Juliani Santos Ramos (IC), </w:t>
      </w:r>
      <w:proofErr w:type="spellStart"/>
      <w:r>
        <w:rPr>
          <w:rFonts w:ascii="Arial" w:eastAsia="Arial" w:hAnsi="Arial" w:cs="Arial"/>
        </w:rPr>
        <w:t>Rebeka</w:t>
      </w:r>
      <w:proofErr w:type="spellEnd"/>
      <w:r>
        <w:rPr>
          <w:rFonts w:ascii="Arial" w:eastAsia="Arial" w:hAnsi="Arial" w:cs="Arial"/>
        </w:rPr>
        <w:t xml:space="preserve"> Giovanna de Andrade (IC), Fabiana Casarin (PQ)</w:t>
      </w:r>
    </w:p>
    <w:p w:rsidR="007505FB" w:rsidRDefault="007505FB">
      <w:pPr>
        <w:jc w:val="both"/>
        <w:rPr>
          <w:rFonts w:ascii="Arial" w:eastAsia="Arial" w:hAnsi="Arial" w:cs="Arial"/>
        </w:rPr>
      </w:pPr>
    </w:p>
    <w:p w:rsidR="007505FB" w:rsidRDefault="00F5172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álcool em gel é uma forma farmacêutica semissólida composta por etanol a 70% (v/v) e agente </w:t>
      </w:r>
      <w:proofErr w:type="spellStart"/>
      <w:r>
        <w:rPr>
          <w:rFonts w:ascii="Arial" w:eastAsia="Arial" w:hAnsi="Arial" w:cs="Arial"/>
          <w:sz w:val="24"/>
          <w:szCs w:val="24"/>
        </w:rPr>
        <w:t>gelificante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amplamente utilizada como antisséptico para higienização das mãos, conforme os parâmetros da Farmacopeia Brasileira [1] e normas da ANVISA. Apesar de sua comprovada eficácia microbicida, o uso contínuo de formulações alcoólicas pode comprometer a barreira lipídica da pele, resultando em ressecamento e irritação. Estudos indicam que a perda de água </w:t>
      </w:r>
      <w:proofErr w:type="spellStart"/>
      <w:r>
        <w:rPr>
          <w:rFonts w:ascii="Arial" w:eastAsia="Arial" w:hAnsi="Arial" w:cs="Arial"/>
          <w:sz w:val="24"/>
          <w:szCs w:val="24"/>
        </w:rPr>
        <w:t>transepidérmica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redução dos lipídios essenciais da pele são os principais fatores que contribuem para esse quadro [2]. Diante desse desafio, este estudo teve como objetivo desenvolver uma formulação de álcool gel 70% com propriedades hidratantes, incorporando glicerina (2,00 %), D-</w:t>
      </w:r>
      <w:proofErr w:type="spellStart"/>
      <w:r>
        <w:rPr>
          <w:rFonts w:ascii="Arial" w:eastAsia="Arial" w:hAnsi="Arial" w:cs="Arial"/>
          <w:sz w:val="24"/>
          <w:szCs w:val="24"/>
        </w:rPr>
        <w:t>pantenol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(0,51 %) e extrato glicólico de camomila (0,40 %), reconhecidos por sua ação calmante e restauradora da barreira cutânea. A formulação base foi estruturada com </w:t>
      </w:r>
      <w:proofErr w:type="spellStart"/>
      <w:r>
        <w:rPr>
          <w:rFonts w:ascii="Arial" w:eastAsia="Arial" w:hAnsi="Arial" w:cs="Arial"/>
          <w:sz w:val="24"/>
          <w:szCs w:val="24"/>
        </w:rPr>
        <w:t>carbopol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940 (0,80 %) como agente </w:t>
      </w:r>
      <w:proofErr w:type="spellStart"/>
      <w:r>
        <w:rPr>
          <w:rFonts w:ascii="Arial" w:eastAsia="Arial" w:hAnsi="Arial" w:cs="Arial"/>
          <w:sz w:val="24"/>
          <w:szCs w:val="24"/>
        </w:rPr>
        <w:t>gelificante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ajuste de pH para 6,0 ± 0,2 com </w:t>
      </w:r>
      <w:proofErr w:type="spellStart"/>
      <w:r>
        <w:rPr>
          <w:rFonts w:ascii="Arial" w:eastAsia="Arial" w:hAnsi="Arial" w:cs="Arial"/>
          <w:sz w:val="24"/>
          <w:szCs w:val="24"/>
        </w:rPr>
        <w:t>trietanolamina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adição de aroma (0,33 %). O produto foi elaborado seguindo procedimentos farmacotécnicos para obtenção de gel [3], com adaptações baseadas no Formulário Nacional da Farmacopeia Brasileira [1]. Após o preparo, a formulação foi submetida a análises físico-químicas, incluindo pH, cor, viscosidade e densidade. </w:t>
      </w:r>
      <w:r w:rsidRPr="000553E9">
        <w:rPr>
          <w:rFonts w:ascii="Arial" w:eastAsia="Arial" w:hAnsi="Arial" w:cs="Arial"/>
          <w:sz w:val="24"/>
          <w:szCs w:val="24"/>
        </w:rPr>
        <w:t>Os r</w:t>
      </w:r>
      <w:r w:rsidR="00C13B1D">
        <w:rPr>
          <w:rFonts w:ascii="Arial" w:eastAsia="Arial" w:hAnsi="Arial" w:cs="Arial"/>
          <w:sz w:val="24"/>
          <w:szCs w:val="24"/>
        </w:rPr>
        <w:t xml:space="preserve">esultados obtidos indicaram: </w:t>
      </w:r>
      <w:r w:rsidR="00C738C5" w:rsidRPr="000553E9">
        <w:rPr>
          <w:rFonts w:ascii="Arial" w:eastAsia="Arial" w:hAnsi="Arial" w:cs="Arial"/>
          <w:sz w:val="24"/>
          <w:szCs w:val="24"/>
        </w:rPr>
        <w:t xml:space="preserve">gel levemente turvo, claro e </w:t>
      </w:r>
      <w:bookmarkStart w:id="0" w:name="_GoBack"/>
      <w:r w:rsidR="00C738C5" w:rsidRPr="000553E9">
        <w:rPr>
          <w:rFonts w:ascii="Arial" w:eastAsia="Arial" w:hAnsi="Arial" w:cs="Arial"/>
          <w:sz w:val="24"/>
          <w:szCs w:val="24"/>
        </w:rPr>
        <w:t>translúcido</w:t>
      </w:r>
      <w:bookmarkEnd w:id="0"/>
      <w:r w:rsidR="00C738C5" w:rsidRPr="000553E9">
        <w:rPr>
          <w:rFonts w:ascii="Arial" w:eastAsia="Arial" w:hAnsi="Arial" w:cs="Arial"/>
          <w:sz w:val="24"/>
          <w:szCs w:val="24"/>
        </w:rPr>
        <w:t>; consist</w:t>
      </w:r>
      <w:r w:rsidR="007637D4" w:rsidRPr="000553E9">
        <w:rPr>
          <w:rFonts w:ascii="Arial" w:eastAsia="Arial" w:hAnsi="Arial" w:cs="Arial"/>
          <w:sz w:val="24"/>
          <w:szCs w:val="24"/>
        </w:rPr>
        <w:t>ência adequada, com viscosidade</w:t>
      </w:r>
      <w:r w:rsidR="00C738C5" w:rsidRPr="000553E9">
        <w:rPr>
          <w:rFonts w:ascii="Arial" w:eastAsia="Arial" w:hAnsi="Arial" w:cs="Arial"/>
          <w:sz w:val="24"/>
          <w:szCs w:val="24"/>
        </w:rPr>
        <w:t>; pH do produto é de 5,8; turbidez moderada; álcool a 70%</w:t>
      </w:r>
      <w:r w:rsidRPr="000553E9">
        <w:rPr>
          <w:rFonts w:ascii="Arial" w:eastAsia="Arial" w:hAnsi="Arial" w:cs="Arial"/>
          <w:sz w:val="24"/>
          <w:szCs w:val="24"/>
        </w:rPr>
        <w:t xml:space="preserve">. </w:t>
      </w:r>
      <w:r w:rsidR="00743BEC" w:rsidRPr="000553E9">
        <w:rPr>
          <w:rFonts w:ascii="Arial" w:eastAsia="Arial" w:hAnsi="Arial" w:cs="Arial"/>
          <w:sz w:val="24"/>
          <w:szCs w:val="24"/>
        </w:rPr>
        <w:t>Atividade microbiológica em processamento</w:t>
      </w:r>
      <w:r w:rsidRPr="000553E9">
        <w:rPr>
          <w:rFonts w:ascii="Arial" w:eastAsia="Arial" w:hAnsi="Arial" w:cs="Arial"/>
          <w:sz w:val="24"/>
          <w:szCs w:val="24"/>
        </w:rPr>
        <w:t xml:space="preserve">. A avaliação sensorial revelou </w:t>
      </w:r>
      <w:r w:rsidR="007637D4" w:rsidRPr="000553E9">
        <w:rPr>
          <w:rFonts w:ascii="Arial" w:eastAsia="Arial" w:hAnsi="Arial" w:cs="Arial"/>
          <w:sz w:val="24"/>
          <w:szCs w:val="24"/>
        </w:rPr>
        <w:t>exibição do aroma adicionado e odor alcoólico característico, homogeneidade adequada, sem partículas visíveis, e sensação tátil suave, proporcionando toque agradável à pele.</w:t>
      </w:r>
      <w:r w:rsidR="007637D4" w:rsidRPr="007637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 base nos achados preliminares, conclui-se que a formulação desenvolvida equilibra eficácia antisséptica com a inclusão de agentes hidratantes, representando uma alternativa promissora para minimizar o ressecamento associado ao uso contínuo de </w:t>
      </w:r>
      <w:proofErr w:type="spellStart"/>
      <w:r>
        <w:rPr>
          <w:rFonts w:ascii="Arial" w:eastAsia="Arial" w:hAnsi="Arial" w:cs="Arial"/>
          <w:sz w:val="24"/>
          <w:szCs w:val="24"/>
        </w:rPr>
        <w:t>sanitizantes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alcoólicos. Estudos de estabilidade de longa duração e avaliações </w:t>
      </w:r>
      <w:r w:rsidRPr="00743BEC">
        <w:rPr>
          <w:rFonts w:ascii="Arial" w:eastAsia="Arial" w:hAnsi="Arial" w:cs="Arial"/>
          <w:i/>
          <w:sz w:val="24"/>
          <w:szCs w:val="24"/>
        </w:rPr>
        <w:t>in vivo</w:t>
      </w:r>
      <w:r>
        <w:rPr>
          <w:rFonts w:ascii="Arial" w:eastAsia="Arial" w:hAnsi="Arial" w:cs="Arial"/>
          <w:sz w:val="24"/>
          <w:szCs w:val="24"/>
        </w:rPr>
        <w:t xml:space="preserve"> serão conduzidos para validar plenamente os benefícios </w:t>
      </w:r>
      <w:proofErr w:type="spellStart"/>
      <w:r>
        <w:rPr>
          <w:rFonts w:ascii="Arial" w:eastAsia="Arial" w:hAnsi="Arial" w:cs="Arial"/>
          <w:sz w:val="24"/>
          <w:szCs w:val="24"/>
        </w:rPr>
        <w:t>dermoprotetores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7505FB" w:rsidRDefault="00F5172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Álcool Gel, Ressecamento da Pele, </w:t>
      </w:r>
      <w:proofErr w:type="spellStart"/>
      <w:r>
        <w:rPr>
          <w:rFonts w:ascii="Arial" w:eastAsia="Arial" w:hAnsi="Arial" w:cs="Arial"/>
          <w:sz w:val="24"/>
          <w:szCs w:val="24"/>
        </w:rPr>
        <w:t>Dermoproteção</w:t>
      </w:r>
      <w:proofErr w:type="spellEnd"/>
      <w:r>
        <w:rPr>
          <w:rFonts w:ascii="Arial" w:eastAsia="Arial" w:hAnsi="Arial" w:cs="Arial"/>
          <w:sz w:val="24"/>
          <w:szCs w:val="24"/>
        </w:rPr>
        <w:t>, Hidratação Cutânea, Glicerina, D-</w:t>
      </w:r>
      <w:proofErr w:type="spellStart"/>
      <w:r>
        <w:rPr>
          <w:rFonts w:ascii="Arial" w:eastAsia="Arial" w:hAnsi="Arial" w:cs="Arial"/>
          <w:sz w:val="24"/>
          <w:szCs w:val="24"/>
        </w:rPr>
        <w:t>Pantenol</w:t>
      </w:r>
      <w:proofErr w:type="spellEnd"/>
      <w:r>
        <w:rPr>
          <w:rFonts w:ascii="Arial" w:eastAsia="Arial" w:hAnsi="Arial" w:cs="Arial"/>
          <w:sz w:val="24"/>
          <w:szCs w:val="24"/>
        </w:rPr>
        <w:t>, Camomila, Estabilidade.</w:t>
      </w:r>
    </w:p>
    <w:p w:rsidR="007505FB" w:rsidRDefault="007505FB">
      <w:pPr>
        <w:jc w:val="both"/>
        <w:rPr>
          <w:rFonts w:ascii="Arial" w:eastAsia="Arial" w:hAnsi="Arial" w:cs="Arial"/>
          <w:sz w:val="24"/>
          <w:szCs w:val="24"/>
        </w:rPr>
      </w:pPr>
    </w:p>
    <w:p w:rsidR="007505FB" w:rsidRDefault="00F5172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  <w:r>
        <w:rPr>
          <w:rFonts w:ascii="Arial" w:eastAsia="Arial" w:hAnsi="Arial" w:cs="Arial"/>
          <w:sz w:val="24"/>
          <w:szCs w:val="24"/>
        </w:rPr>
        <w:br/>
        <w:t xml:space="preserve">[1] BRASIL. </w:t>
      </w:r>
      <w:r>
        <w:rPr>
          <w:rFonts w:ascii="Arial" w:eastAsia="Arial" w:hAnsi="Arial" w:cs="Arial"/>
          <w:i/>
          <w:sz w:val="24"/>
          <w:szCs w:val="24"/>
        </w:rPr>
        <w:t>Farmacopeia Brasileira</w:t>
      </w:r>
      <w:r>
        <w:rPr>
          <w:rFonts w:ascii="Arial" w:eastAsia="Arial" w:hAnsi="Arial" w:cs="Arial"/>
          <w:sz w:val="24"/>
          <w:szCs w:val="24"/>
        </w:rPr>
        <w:t>, 6ª edição. Agência Nacional de Vigilância Sanitária (ANVISA), Brasília, 2024.</w:t>
      </w:r>
    </w:p>
    <w:p w:rsidR="007505FB" w:rsidRDefault="00F5172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[2] DANBY, Simon G. et al. </w:t>
      </w:r>
      <w:proofErr w:type="spellStart"/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Investigation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Skin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Barrier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Restoring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Cream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Containing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Ceramides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eastAsia="Arial" w:hAnsi="Arial" w:cs="Arial"/>
          <w:sz w:val="24"/>
          <w:szCs w:val="24"/>
        </w:rPr>
        <w:t>Multi-vesicular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Emulsion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People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Dry</w:t>
      </w:r>
      <w:proofErr w:type="spellEnd"/>
      <w:r>
        <w:rPr>
          <w:rFonts w:ascii="Arial" w:eastAsia="Arial" w:hAnsi="Arial" w:cs="Arial"/>
          <w:sz w:val="24"/>
          <w:szCs w:val="24"/>
        </w:rPr>
        <w:t>, Eczema-</w:t>
      </w:r>
      <w:proofErr w:type="spellStart"/>
      <w:r>
        <w:rPr>
          <w:rFonts w:ascii="Arial" w:eastAsia="Arial" w:hAnsi="Arial" w:cs="Arial"/>
          <w:sz w:val="24"/>
          <w:szCs w:val="24"/>
        </w:rPr>
        <w:t>Prone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Skin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Dermatology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Therapy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10, p. 1031–1041, 2020. DOI: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https://link.springer.com/article/10.1007/s13555-020-00426-3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7505FB" w:rsidRDefault="00F5172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[3] FERREIRA, A. O.; BRANDÃO, M. A. </w:t>
      </w:r>
      <w:r>
        <w:rPr>
          <w:rFonts w:ascii="Arial" w:eastAsia="Arial" w:hAnsi="Arial" w:cs="Arial"/>
          <w:i/>
          <w:sz w:val="24"/>
          <w:szCs w:val="24"/>
        </w:rPr>
        <w:t>Farmacotécnica: Teoria e Prática na Manipulação de Medicamentos</w:t>
      </w:r>
      <w:r>
        <w:rPr>
          <w:rFonts w:ascii="Arial" w:eastAsia="Arial" w:hAnsi="Arial" w:cs="Arial"/>
          <w:sz w:val="24"/>
          <w:szCs w:val="24"/>
        </w:rPr>
        <w:t>. São Paulo: Guanabara Koogan, 2011.</w:t>
      </w:r>
    </w:p>
    <w:sectPr w:rsidR="007505F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23" w:rsidRDefault="00282E23">
      <w:pPr>
        <w:spacing w:after="0" w:line="240" w:lineRule="auto"/>
      </w:pPr>
      <w:r>
        <w:separator/>
      </w:r>
    </w:p>
  </w:endnote>
  <w:endnote w:type="continuationSeparator" w:id="0">
    <w:p w:rsidR="00282E23" w:rsidRDefault="0028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FB" w:rsidRDefault="00F51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4BACC6"/>
        <w:sz w:val="20"/>
        <w:szCs w:val="20"/>
      </w:rPr>
      <w:t>Versão 1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-605154</wp:posOffset>
          </wp:positionH>
          <wp:positionV relativeFrom="paragraph">
            <wp:posOffset>0</wp:posOffset>
          </wp:positionV>
          <wp:extent cx="5940425" cy="710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1566" b="-26"/>
                  <a:stretch>
                    <a:fillRect/>
                  </a:stretch>
                </pic:blipFill>
                <pic:spPr>
                  <a:xfrm>
                    <a:off x="0" y="0"/>
                    <a:ext cx="5940425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23" w:rsidRDefault="00282E23">
      <w:pPr>
        <w:spacing w:after="0" w:line="240" w:lineRule="auto"/>
      </w:pPr>
      <w:r>
        <w:separator/>
      </w:r>
    </w:p>
  </w:footnote>
  <w:footnote w:type="continuationSeparator" w:id="0">
    <w:p w:rsidR="00282E23" w:rsidRDefault="0028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FB" w:rsidRDefault="00F51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13970</wp:posOffset>
          </wp:positionH>
          <wp:positionV relativeFrom="margin">
            <wp:posOffset>-803909</wp:posOffset>
          </wp:positionV>
          <wp:extent cx="5940425" cy="8528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9845"/>
                  <a:stretch>
                    <a:fillRect/>
                  </a:stretch>
                </pic:blipFill>
                <pic:spPr>
                  <a:xfrm>
                    <a:off x="0" y="0"/>
                    <a:ext cx="594042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05FB" w:rsidRDefault="007505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FB"/>
    <w:rsid w:val="000553E9"/>
    <w:rsid w:val="00282E23"/>
    <w:rsid w:val="00743BEC"/>
    <w:rsid w:val="007505FB"/>
    <w:rsid w:val="007637D4"/>
    <w:rsid w:val="009D7010"/>
    <w:rsid w:val="00C13B1D"/>
    <w:rsid w:val="00C738C5"/>
    <w:rsid w:val="00D57B17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B77AE-3E62-4D74-8F20-01E15D6D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3555-020-00426-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PC-HOME</cp:lastModifiedBy>
  <cp:revision>3</cp:revision>
  <dcterms:created xsi:type="dcterms:W3CDTF">2025-05-14T14:19:00Z</dcterms:created>
  <dcterms:modified xsi:type="dcterms:W3CDTF">2025-05-14T14:22:00Z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Order">
    <vt:lpwstr>1550900</vt:lpwstr>
  </property>
  <property fmtid="{D5CDD505-2E9C-101B-9397-08002B2CF9AE}" pid="4" name="_ColorHex">
    <vt:lpwstr>_ColorHex</vt:lpwstr>
  </property>
  <property fmtid="{D5CDD505-2E9C-101B-9397-08002B2CF9AE}" pid="5" name="_Emoji">
    <vt:lpwstr>_Emoji</vt:lpwstr>
  </property>
  <property fmtid="{D5CDD505-2E9C-101B-9397-08002B2CF9AE}" pid="6" name="ComplianceAssetId">
    <vt:lpwstr>ComplianceAssetId</vt:lpwstr>
  </property>
  <property fmtid="{D5CDD505-2E9C-101B-9397-08002B2CF9AE}" pid="7" name="_activity">
    <vt:lpwstr>{"FileActivityType":"9","FileActivityTimeStamp":"2023-02-14T13:08:12.083Z","FileActivityUsersOnPage":[{"DisplayName":"Angelica Bussolo Rodrigues","Id":"angelica.rodrigues@ucb.br"}],"FileActivityNavigationId":null}</vt:lpwstr>
  </property>
  <property fmtid="{D5CDD505-2E9C-101B-9397-08002B2CF9AE}" pid="8" name="_ExtendedDescription">
    <vt:lpwstr>_ExtendedDescription</vt:lpwstr>
  </property>
  <property fmtid="{D5CDD505-2E9C-101B-9397-08002B2CF9AE}" pid="9" name="_ColorTag">
    <vt:lpwstr>_ColorTag</vt:lpwstr>
  </property>
  <property fmtid="{D5CDD505-2E9C-101B-9397-08002B2CF9AE}" pid="10" name="TriggerFlowInfo">
    <vt:lpwstr>TriggerFlowInfo</vt:lpwstr>
  </property>
  <property fmtid="{D5CDD505-2E9C-101B-9397-08002B2CF9AE}" pid="11" name="MediaServiceImageTags">
    <vt:lpwstr>MediaServiceImageTags</vt:lpwstr>
  </property>
  <property fmtid="{D5CDD505-2E9C-101B-9397-08002B2CF9AE}" pid="12" name="GrammarlyDocumentId">
    <vt:lpwstr>f546aedb38e46c7cf80e0eaf1896a18fc34543373e0678ae35e1f5d27ab27149</vt:lpwstr>
  </property>
</Properties>
</file>