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7" w:rsidRPr="00A561F1" w:rsidRDefault="00023F47" w:rsidP="00023F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40B49" w:rsidRPr="00A561F1" w:rsidRDefault="00A53C48" w:rsidP="008B230C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561F1">
        <w:rPr>
          <w:rFonts w:ascii="Times New Roman" w:hAnsi="Times New Roman"/>
          <w:b/>
          <w:sz w:val="24"/>
          <w:szCs w:val="24"/>
        </w:rPr>
        <w:t xml:space="preserve">EFICIÊNCIA DE INSETICIDAS QUÍMICOS NO CONTROLE DE </w:t>
      </w:r>
      <w:r w:rsidRPr="00A561F1">
        <w:rPr>
          <w:rFonts w:ascii="Times New Roman" w:hAnsi="Times New Roman"/>
          <w:b/>
          <w:bCs/>
          <w:i/>
          <w:iCs/>
          <w:sz w:val="24"/>
          <w:szCs w:val="24"/>
        </w:rPr>
        <w:t>Frankliniella schultzei</w:t>
      </w:r>
      <w:r w:rsidRPr="00A561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C4C" w:rsidRPr="00A561F1">
        <w:rPr>
          <w:rFonts w:ascii="Times New Roman" w:hAnsi="Times New Roman"/>
          <w:b/>
          <w:bCs/>
          <w:sz w:val="24"/>
          <w:szCs w:val="24"/>
        </w:rPr>
        <w:t>TRYBOM</w:t>
      </w:r>
      <w:r w:rsidR="003C1C4C" w:rsidRPr="00A561F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C1C4C" w:rsidRPr="00A561F1">
        <w:rPr>
          <w:rFonts w:ascii="Times New Roman" w:hAnsi="Times New Roman"/>
          <w:b/>
          <w:bCs/>
          <w:iCs/>
          <w:sz w:val="24"/>
          <w:szCs w:val="24"/>
        </w:rPr>
        <w:t>(</w:t>
      </w:r>
      <w:r w:rsidRPr="00A561F1">
        <w:rPr>
          <w:rFonts w:ascii="Times New Roman" w:hAnsi="Times New Roman"/>
          <w:b/>
          <w:bCs/>
          <w:iCs/>
          <w:sz w:val="24"/>
          <w:szCs w:val="24"/>
        </w:rPr>
        <w:t>THYSANOPTERA: THRIPIDAE)</w:t>
      </w:r>
      <w:r w:rsidRPr="00A561F1">
        <w:rPr>
          <w:rFonts w:ascii="Times New Roman" w:hAnsi="Times New Roman"/>
          <w:b/>
          <w:sz w:val="24"/>
          <w:szCs w:val="24"/>
        </w:rPr>
        <w:t xml:space="preserve"> NO ALGODOEIRO EM ESTUFA</w:t>
      </w:r>
    </w:p>
    <w:p w:rsidR="00023F47" w:rsidRPr="00A561F1" w:rsidRDefault="00023F47" w:rsidP="00F6679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0B49" w:rsidRPr="00A561F1" w:rsidRDefault="00E27E8D" w:rsidP="00A53C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561F1">
        <w:rPr>
          <w:rFonts w:ascii="Times New Roman" w:hAnsi="Times New Roman"/>
          <w:b/>
          <w:bCs/>
          <w:sz w:val="24"/>
          <w:szCs w:val="24"/>
        </w:rPr>
        <w:t>Andrew Fhellype Mariano dos Santos</w:t>
      </w:r>
      <w:r w:rsidR="00D40B49" w:rsidRPr="00A561F1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1"/>
      </w:r>
    </w:p>
    <w:p w:rsidR="00D40B49" w:rsidRPr="00A561F1" w:rsidRDefault="00E27E8D" w:rsidP="00A5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61F1">
        <w:rPr>
          <w:rFonts w:ascii="Times New Roman" w:hAnsi="Times New Roman"/>
          <w:b/>
          <w:bCs/>
          <w:sz w:val="24"/>
          <w:szCs w:val="24"/>
        </w:rPr>
        <w:t>Fábio Cruz da Silva</w:t>
      </w:r>
      <w:r w:rsidR="00D40B49" w:rsidRPr="00A561F1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2"/>
      </w:r>
    </w:p>
    <w:p w:rsidR="00D40B49" w:rsidRPr="00A561F1" w:rsidRDefault="00A53C48" w:rsidP="00A53C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61F1">
        <w:rPr>
          <w:rFonts w:ascii="Times New Roman" w:hAnsi="Times New Roman"/>
          <w:b/>
          <w:sz w:val="24"/>
          <w:szCs w:val="24"/>
        </w:rPr>
        <w:t>Douglas Pereira dos Santos</w:t>
      </w:r>
      <w:r w:rsidR="00D40B49" w:rsidRPr="00A561F1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3"/>
      </w:r>
    </w:p>
    <w:p w:rsidR="00D40B49" w:rsidRPr="00A561F1" w:rsidRDefault="008B7070" w:rsidP="00A53C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61F1">
        <w:rPr>
          <w:rFonts w:ascii="Times New Roman" w:hAnsi="Times New Roman"/>
          <w:b/>
          <w:sz w:val="24"/>
          <w:szCs w:val="24"/>
        </w:rPr>
        <w:t>Mônica Cagnin Martins</w:t>
      </w:r>
      <w:r w:rsidR="00D40B49" w:rsidRPr="00A561F1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4"/>
      </w:r>
    </w:p>
    <w:p w:rsidR="00D40B49" w:rsidRPr="00A561F1" w:rsidRDefault="008B230C" w:rsidP="00A53C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561F1">
        <w:rPr>
          <w:rFonts w:ascii="Times New Roman" w:hAnsi="Times New Roman"/>
          <w:b/>
          <w:sz w:val="24"/>
          <w:szCs w:val="24"/>
        </w:rPr>
        <w:t>Marco Antonio Tamai</w:t>
      </w:r>
      <w:r w:rsidR="00D40B49" w:rsidRPr="00A561F1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5"/>
      </w:r>
    </w:p>
    <w:p w:rsidR="00810D0D" w:rsidRPr="00A561F1" w:rsidRDefault="00810D0D" w:rsidP="00B0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79F" w:rsidRPr="00A561F1" w:rsidRDefault="00A72824" w:rsidP="00E27E8D">
      <w:pPr>
        <w:pStyle w:val="Recuodecorpodetexto"/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A561F1">
        <w:rPr>
          <w:rFonts w:ascii="Times New Roman" w:hAnsi="Times New Roman"/>
          <w:bCs/>
          <w:iCs/>
          <w:szCs w:val="24"/>
        </w:rPr>
        <w:t xml:space="preserve">O tripes </w:t>
      </w:r>
      <w:r w:rsidRPr="00A561F1">
        <w:rPr>
          <w:rFonts w:ascii="Times New Roman" w:hAnsi="Times New Roman"/>
          <w:bCs/>
          <w:i/>
          <w:iCs/>
          <w:szCs w:val="24"/>
        </w:rPr>
        <w:t>Frankliniella schultzei</w:t>
      </w:r>
      <w:r w:rsidRPr="00A561F1">
        <w:rPr>
          <w:rFonts w:ascii="Times New Roman" w:hAnsi="Times New Roman"/>
          <w:bCs/>
          <w:szCs w:val="24"/>
        </w:rPr>
        <w:t xml:space="preserve"> </w:t>
      </w:r>
      <w:r w:rsidRPr="00A561F1">
        <w:rPr>
          <w:rFonts w:ascii="Times New Roman" w:eastAsia="Calibri" w:hAnsi="Times New Roman"/>
          <w:szCs w:val="24"/>
        </w:rPr>
        <w:t xml:space="preserve">é uma importante praga do algodoeiro no Brasil </w:t>
      </w:r>
      <w:r w:rsidRPr="00A561F1">
        <w:rPr>
          <w:rFonts w:ascii="Times New Roman" w:hAnsi="Times New Roman"/>
          <w:bCs/>
          <w:szCs w:val="24"/>
        </w:rPr>
        <w:t>causando danos severos nas folhas do ponteiro, paralisia de crescimento da planta e queda de botões-florais.</w:t>
      </w:r>
      <w:r w:rsidRPr="00A561F1">
        <w:rPr>
          <w:rFonts w:ascii="Times New Roman" w:hAnsi="Times New Roman"/>
          <w:szCs w:val="24"/>
        </w:rPr>
        <w:t xml:space="preserve"> A pesquisa foi desenvolvida de 21/08/2019 a 20/09/2019, no Laboratório de Entomologia Agrícola da Universidade do Estado da Bahia, Barreiras/BA, com objetivo de avaliar a </w:t>
      </w:r>
      <w:r w:rsidRPr="00A561F1">
        <w:rPr>
          <w:rFonts w:ascii="Times New Roman" w:hAnsi="Times New Roman"/>
          <w:szCs w:val="24"/>
          <w:lang w:val="pt-PT"/>
        </w:rPr>
        <w:t xml:space="preserve">eficiência de inseticidas químicos para controle do inseto </w:t>
      </w:r>
      <w:r w:rsidRPr="00A561F1">
        <w:rPr>
          <w:rFonts w:ascii="Times New Roman" w:eastAsia="Calibri" w:hAnsi="Times New Roman"/>
          <w:szCs w:val="24"/>
        </w:rPr>
        <w:t xml:space="preserve">em plantas de algodão </w:t>
      </w:r>
      <w:r w:rsidRPr="00A561F1">
        <w:rPr>
          <w:rFonts w:ascii="Times New Roman" w:eastAsia="Times New Roman" w:hAnsi="Times New Roman"/>
          <w:szCs w:val="24"/>
        </w:rPr>
        <w:t>da cultivar FM 944GL</w:t>
      </w:r>
      <w:r w:rsidRPr="00A561F1">
        <w:rPr>
          <w:rFonts w:ascii="Times New Roman" w:eastAsia="Calibri" w:hAnsi="Times New Roman"/>
          <w:szCs w:val="24"/>
        </w:rPr>
        <w:t xml:space="preserve">, </w:t>
      </w:r>
      <w:r w:rsidRPr="00A561F1">
        <w:rPr>
          <w:rFonts w:ascii="Times New Roman" w:hAnsi="Times New Roman"/>
          <w:szCs w:val="24"/>
        </w:rPr>
        <w:t xml:space="preserve">contribuindo assim com informações atualizadas para o manejo sustentável desta praga no cerrado do oeste da Bahia. </w:t>
      </w:r>
      <w:r w:rsidRPr="00A561F1">
        <w:rPr>
          <w:rFonts w:ascii="Times New Roman" w:eastAsia="Calibri" w:hAnsi="Times New Roman"/>
          <w:szCs w:val="24"/>
        </w:rPr>
        <w:t xml:space="preserve">Foram conduzidos dois experimentos em </w:t>
      </w:r>
      <w:r w:rsidRPr="00A561F1">
        <w:rPr>
          <w:rFonts w:ascii="Times New Roman" w:hAnsi="Times New Roman"/>
          <w:szCs w:val="24"/>
        </w:rPr>
        <w:t>delineamento experimental inteiramente casualizado, com 10 repetições e 9 tratamentos no primeiro experimento (T1 a T9) e 6 tratamentos no segundo experimento (T1, T10, T11, T12, T13 e T14), sendo respectivamente em dose do produto comercial por hectare: T</w:t>
      </w:r>
      <w:r w:rsidRPr="00A561F1">
        <w:rPr>
          <w:rFonts w:ascii="Times New Roman" w:eastAsia="Times New Roman" w:hAnsi="Times New Roman"/>
          <w:szCs w:val="24"/>
        </w:rPr>
        <w:t>1= Testemunha (sem aplicação); T2 e T3= Calypso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(tiacloprido= 300,0 mL e 500,0 mL/ha); T4= Exalt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(espinetoram= 150,0 mL/ha); T5= Marshal Star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(carbosulfano= 1,0 L/ha); T6= Orthene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750BR (acefato= 1,0 kg/ha); T7= Perito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970SG (acefato= 1,0 kg/ha); T8= Polytrin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400/40EC (profenofós + cipermetrina= 1,0 L/ha); T9= Sperto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(acetamiprido + bifentrina= </w:t>
      </w:r>
      <w:r w:rsidRPr="00A561F1">
        <w:rPr>
          <w:rFonts w:ascii="Times New Roman" w:eastAsia="Times New Roman" w:hAnsi="Times New Roman"/>
          <w:bCs/>
          <w:szCs w:val="24"/>
        </w:rPr>
        <w:t xml:space="preserve">250,0 g/ha); </w:t>
      </w:r>
      <w:r w:rsidRPr="00A561F1">
        <w:rPr>
          <w:rFonts w:ascii="Times New Roman" w:eastAsia="Times New Roman" w:hAnsi="Times New Roman"/>
          <w:szCs w:val="24"/>
        </w:rPr>
        <w:t>T10 a T12= Marshal Star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(600,0 mL; 800,0 mL e 1,0 L/ha); T13 e T14= Orthene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750BR (1,2 kg e 1,5 kg/ha). Foi </w:t>
      </w:r>
      <w:r w:rsidRPr="00A561F1">
        <w:rPr>
          <w:rFonts w:ascii="Times New Roman" w:hAnsi="Times New Roman"/>
          <w:szCs w:val="24"/>
        </w:rPr>
        <w:t>realizada uma aplicação dos tratamentos em 10 vasos/tratamento, contendo 5 plantas/vaso, utilizando um pulverizador pressurizado a CO</w:t>
      </w:r>
      <w:r w:rsidRPr="00A561F1">
        <w:rPr>
          <w:rFonts w:ascii="Times New Roman" w:hAnsi="Times New Roman"/>
          <w:szCs w:val="24"/>
          <w:vertAlign w:val="subscript"/>
        </w:rPr>
        <w:t>2</w:t>
      </w:r>
      <w:r w:rsidRPr="00A561F1">
        <w:rPr>
          <w:rFonts w:ascii="Times New Roman" w:hAnsi="Times New Roman"/>
          <w:szCs w:val="24"/>
        </w:rPr>
        <w:t xml:space="preserve"> e volume de calda de 150,0 L/ha. Foi avaliado o número de ninfas vivas/folha (Primeiro Experimento= prévia e 1, 3, 5, 7 e 14 dias após a aplicação; Segundo Experimento= prévia e 1, 3, 5, 8, 10 e 16 dias após a aplicação), utilizando microscópio estereoscópio, em 2 folhas por repetição retiradas do ponteiro das plantas com 20 dias de emergência. Os dados foram submetidos à análise de variância e comparação de médias por meio do teste de Scott-Knott (1974) a 5% de probabilidade e </w:t>
      </w:r>
      <w:r w:rsidRPr="00A561F1">
        <w:rPr>
          <w:rFonts w:ascii="Times New Roman" w:hAnsi="Times New Roman"/>
          <w:bCs/>
          <w:szCs w:val="24"/>
        </w:rPr>
        <w:t xml:space="preserve">eficiência de controle pela fórmula de Abbott (1925). No primeiro experimento, a eficiência de controle pelos inseticidas aos 5 dias após a aplicação foi de 100,0% (T2, T3, T5, T6 e T8); 90,91% (T4); 72,73% (T7) e 81,82% (T9), e no segundo experimento aos 10 dias após a aplicação foi de 95,45% (T10 e T11) e </w:t>
      </w:r>
      <w:r w:rsidRPr="00A561F1">
        <w:rPr>
          <w:rFonts w:ascii="Times New Roman" w:eastAsia="Times New Roman" w:hAnsi="Times New Roman"/>
          <w:szCs w:val="24"/>
        </w:rPr>
        <w:t xml:space="preserve">100,0% (T12 a T14). </w:t>
      </w:r>
    </w:p>
    <w:p w:rsidR="00F6679F" w:rsidRPr="00A561F1" w:rsidRDefault="00F6679F" w:rsidP="00E27E8D">
      <w:pPr>
        <w:pStyle w:val="Recuodecorpodetexto"/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</w:p>
    <w:p w:rsidR="00F6679F" w:rsidRPr="00A561F1" w:rsidRDefault="00F6679F" w:rsidP="00E27E8D">
      <w:pPr>
        <w:pStyle w:val="Recuodecorpodetexto"/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</w:p>
    <w:p w:rsidR="00A72824" w:rsidRPr="00A561F1" w:rsidRDefault="00A72824" w:rsidP="00B1015B">
      <w:pPr>
        <w:pStyle w:val="Recuodecorpodetexto"/>
        <w:spacing w:after="0" w:line="240" w:lineRule="auto"/>
        <w:ind w:left="0" w:firstLine="0"/>
        <w:rPr>
          <w:rFonts w:ascii="Times New Roman" w:eastAsia="Times New Roman" w:hAnsi="Times New Roman"/>
          <w:szCs w:val="24"/>
        </w:rPr>
      </w:pPr>
      <w:r w:rsidRPr="00A561F1">
        <w:rPr>
          <w:rFonts w:ascii="Times New Roman" w:eastAsia="Times New Roman" w:hAnsi="Times New Roman"/>
          <w:szCs w:val="24"/>
        </w:rPr>
        <w:t>Não houve diferença de desempenho para as doses de Calypso</w:t>
      </w:r>
      <w:r w:rsidRPr="00A561F1">
        <w:rPr>
          <w:rFonts w:ascii="Times New Roman" w:eastAsia="Times New Roman" w:hAnsi="Times New Roman"/>
          <w:szCs w:val="24"/>
          <w:vertAlign w:val="superscript"/>
        </w:rPr>
        <w:t>®</w:t>
      </w:r>
      <w:r w:rsidRPr="00A561F1">
        <w:rPr>
          <w:rFonts w:ascii="Times New Roman" w:eastAsia="Times New Roman" w:hAnsi="Times New Roman"/>
          <w:szCs w:val="24"/>
        </w:rPr>
        <w:t xml:space="preserve"> (300,0 mL e 500,0 mL/ha), de </w:t>
      </w:r>
      <w:r w:rsidRPr="00A561F1">
        <w:rPr>
          <w:rFonts w:ascii="Times New Roman" w:eastAsia="Calibri" w:hAnsi="Times New Roman"/>
          <w:szCs w:val="24"/>
        </w:rPr>
        <w:t>Marshal Star</w:t>
      </w:r>
      <w:r w:rsidRPr="00A561F1">
        <w:rPr>
          <w:rFonts w:ascii="Times New Roman" w:eastAsia="Calibri" w:hAnsi="Times New Roman"/>
          <w:szCs w:val="24"/>
          <w:vertAlign w:val="superscript"/>
        </w:rPr>
        <w:t>®</w:t>
      </w:r>
      <w:r w:rsidRPr="00A561F1">
        <w:rPr>
          <w:rFonts w:ascii="Times New Roman" w:eastAsia="Calibri" w:hAnsi="Times New Roman"/>
          <w:szCs w:val="24"/>
        </w:rPr>
        <w:t xml:space="preserve"> (</w:t>
      </w:r>
      <w:r w:rsidRPr="00A561F1">
        <w:rPr>
          <w:rFonts w:ascii="Times New Roman" w:eastAsia="Times New Roman" w:hAnsi="Times New Roman"/>
          <w:szCs w:val="24"/>
        </w:rPr>
        <w:t xml:space="preserve">600,0 mL, 800,0 mL e 1,0 L/ha) e de </w:t>
      </w:r>
      <w:r w:rsidRPr="00A561F1">
        <w:rPr>
          <w:rFonts w:ascii="Times New Roman" w:eastAsia="Calibri" w:hAnsi="Times New Roman"/>
          <w:szCs w:val="24"/>
        </w:rPr>
        <w:t>Orthene</w:t>
      </w:r>
      <w:r w:rsidRPr="00A561F1">
        <w:rPr>
          <w:rFonts w:ascii="Times New Roman" w:eastAsia="Calibri" w:hAnsi="Times New Roman"/>
          <w:szCs w:val="24"/>
          <w:vertAlign w:val="superscript"/>
        </w:rPr>
        <w:t>®</w:t>
      </w:r>
      <w:r w:rsidRPr="00A561F1">
        <w:rPr>
          <w:rFonts w:ascii="Times New Roman" w:eastAsia="Calibri" w:hAnsi="Times New Roman"/>
          <w:szCs w:val="24"/>
        </w:rPr>
        <w:t xml:space="preserve"> 750 BR (1,2 kg e 1,5</w:t>
      </w:r>
      <w:r w:rsidR="00F6679F" w:rsidRPr="00A561F1">
        <w:rPr>
          <w:rFonts w:ascii="Times New Roman" w:eastAsia="Calibri" w:hAnsi="Times New Roman"/>
          <w:szCs w:val="24"/>
        </w:rPr>
        <w:t xml:space="preserve"> </w:t>
      </w:r>
      <w:r w:rsidRPr="00A561F1">
        <w:rPr>
          <w:rFonts w:ascii="Times New Roman" w:eastAsia="Calibri" w:hAnsi="Times New Roman"/>
          <w:szCs w:val="24"/>
        </w:rPr>
        <w:t xml:space="preserve">kg/ha). </w:t>
      </w:r>
      <w:r w:rsidRPr="00A561F1">
        <w:rPr>
          <w:rFonts w:ascii="Times New Roman" w:eastAsia="Times New Roman" w:hAnsi="Times New Roman"/>
          <w:szCs w:val="24"/>
        </w:rPr>
        <w:t xml:space="preserve">Todos os inseticidas e suas doses foram muito eficientes no controle de ninfas, podendo ser utilizados em programas de manejo de </w:t>
      </w:r>
      <w:r w:rsidRPr="00A561F1">
        <w:rPr>
          <w:rFonts w:ascii="Times New Roman" w:hAnsi="Times New Roman"/>
          <w:bCs/>
          <w:i/>
          <w:iCs/>
          <w:szCs w:val="24"/>
        </w:rPr>
        <w:t>F. schultzei</w:t>
      </w:r>
      <w:r w:rsidRPr="00A561F1">
        <w:rPr>
          <w:rFonts w:ascii="Times New Roman" w:hAnsi="Times New Roman"/>
          <w:bCs/>
          <w:iCs/>
          <w:szCs w:val="24"/>
        </w:rPr>
        <w:t xml:space="preserve"> na cultura do algodão.</w:t>
      </w:r>
    </w:p>
    <w:p w:rsidR="00D40B49" w:rsidRPr="00A561F1" w:rsidRDefault="00D40B49" w:rsidP="00E27E8D">
      <w:pPr>
        <w:jc w:val="both"/>
        <w:rPr>
          <w:rFonts w:ascii="Times New Roman" w:hAnsi="Times New Roman"/>
          <w:iCs/>
          <w:sz w:val="24"/>
          <w:szCs w:val="24"/>
        </w:rPr>
      </w:pPr>
    </w:p>
    <w:p w:rsidR="00D40B49" w:rsidRPr="00A561F1" w:rsidRDefault="00D40B49" w:rsidP="00B1015B">
      <w:pPr>
        <w:rPr>
          <w:rFonts w:ascii="Times New Roman" w:hAnsi="Times New Roman"/>
        </w:rPr>
      </w:pPr>
      <w:r w:rsidRPr="00A561F1">
        <w:rPr>
          <w:rFonts w:ascii="Times New Roman" w:hAnsi="Times New Roman"/>
          <w:b/>
        </w:rPr>
        <w:t>Palavras-chave:</w:t>
      </w:r>
      <w:r w:rsidRPr="00A561F1">
        <w:rPr>
          <w:rFonts w:ascii="Times New Roman" w:hAnsi="Times New Roman"/>
        </w:rPr>
        <w:t xml:space="preserve"> </w:t>
      </w:r>
      <w:r w:rsidR="00E27E8D" w:rsidRPr="00A561F1">
        <w:rPr>
          <w:rStyle w:val="nfase"/>
          <w:rFonts w:ascii="Times New Roman" w:hAnsi="Times New Roman"/>
          <w:bCs/>
          <w:i w:val="0"/>
          <w:shd w:val="clear" w:color="auto" w:fill="FFFFFF"/>
        </w:rPr>
        <w:t>Tripes</w:t>
      </w:r>
      <w:r w:rsidR="00E27E8D" w:rsidRPr="00A561F1">
        <w:rPr>
          <w:rFonts w:ascii="Times New Roman" w:hAnsi="Times New Roman"/>
        </w:rPr>
        <w:t xml:space="preserve">, controle químico, </w:t>
      </w:r>
      <w:r w:rsidR="00E27E8D" w:rsidRPr="00A561F1">
        <w:rPr>
          <w:rFonts w:ascii="Times New Roman" w:hAnsi="Times New Roman"/>
          <w:i/>
        </w:rPr>
        <w:t>Gossypium hirsutum</w:t>
      </w:r>
      <w:r w:rsidR="00E27E8D" w:rsidRPr="00A561F1">
        <w:rPr>
          <w:rStyle w:val="nfase"/>
          <w:rFonts w:ascii="Times New Roman" w:hAnsi="Times New Roman"/>
          <w:bCs/>
          <w:shd w:val="clear" w:color="auto" w:fill="FFFFFF"/>
        </w:rPr>
        <w:t>.</w:t>
      </w:r>
    </w:p>
    <w:sectPr w:rsidR="00D40B49" w:rsidRPr="00A561F1" w:rsidSect="00330F7A">
      <w:headerReference w:type="default" r:id="rId6"/>
      <w:foot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BA" w:rsidRDefault="004479BA" w:rsidP="00D40B49">
      <w:pPr>
        <w:spacing w:after="0" w:line="240" w:lineRule="auto"/>
      </w:pPr>
      <w:r>
        <w:separator/>
      </w:r>
    </w:p>
  </w:endnote>
  <w:endnote w:type="continuationSeparator" w:id="0">
    <w:p w:rsidR="004479BA" w:rsidRDefault="004479B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4479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BA" w:rsidRDefault="004479BA" w:rsidP="00D40B49">
      <w:pPr>
        <w:spacing w:after="0" w:line="240" w:lineRule="auto"/>
      </w:pPr>
      <w:r>
        <w:separator/>
      </w:r>
    </w:p>
  </w:footnote>
  <w:footnote w:type="continuationSeparator" w:id="0">
    <w:p w:rsidR="004479BA" w:rsidRDefault="004479BA" w:rsidP="00D40B49">
      <w:pPr>
        <w:spacing w:after="0" w:line="240" w:lineRule="auto"/>
      </w:pPr>
      <w:r>
        <w:continuationSeparator/>
      </w:r>
    </w:p>
  </w:footnote>
  <w:footnote w:id="1">
    <w:p w:rsidR="00D40B49" w:rsidRPr="00A561F1" w:rsidRDefault="00D40B49" w:rsidP="00330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F1">
        <w:rPr>
          <w:rStyle w:val="Refdenotaderodap"/>
          <w:rFonts w:ascii="Times New Roman" w:hAnsi="Times New Roman"/>
          <w:sz w:val="20"/>
          <w:szCs w:val="20"/>
        </w:rPr>
        <w:footnoteRef/>
      </w:r>
      <w:r w:rsidR="000D47E2" w:rsidRPr="00A561F1">
        <w:rPr>
          <w:rFonts w:ascii="Times New Roman" w:hAnsi="Times New Roman"/>
          <w:sz w:val="20"/>
          <w:szCs w:val="20"/>
        </w:rPr>
        <w:t>Alun</w:t>
      </w:r>
      <w:r w:rsidR="00E27E8D" w:rsidRPr="00A561F1">
        <w:rPr>
          <w:rFonts w:ascii="Times New Roman" w:hAnsi="Times New Roman"/>
          <w:sz w:val="20"/>
          <w:szCs w:val="20"/>
        </w:rPr>
        <w:t>o</w:t>
      </w:r>
      <w:r w:rsidR="000D47E2" w:rsidRPr="00A561F1">
        <w:rPr>
          <w:rFonts w:ascii="Times New Roman" w:hAnsi="Times New Roman"/>
          <w:sz w:val="20"/>
          <w:szCs w:val="20"/>
        </w:rPr>
        <w:t xml:space="preserve"> da Universidade do Estado da Bahia; Agronomia.</w:t>
      </w:r>
      <w:r w:rsidR="00E27E8D" w:rsidRPr="00A561F1">
        <w:rPr>
          <w:rFonts w:ascii="Times New Roman" w:hAnsi="Times New Roman"/>
          <w:sz w:val="20"/>
          <w:szCs w:val="20"/>
          <w:shd w:val="clear" w:color="auto" w:fill="FFFFFF"/>
        </w:rPr>
        <w:t xml:space="preserve"> andrewfhellypemariano@gmail.com.</w:t>
      </w:r>
    </w:p>
  </w:footnote>
  <w:footnote w:id="2">
    <w:p w:rsidR="00D40B49" w:rsidRPr="00A561F1" w:rsidRDefault="00D40B49" w:rsidP="00330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F1">
        <w:rPr>
          <w:rStyle w:val="Refdenotaderodap"/>
          <w:rFonts w:ascii="Times New Roman" w:hAnsi="Times New Roman"/>
          <w:sz w:val="20"/>
          <w:szCs w:val="20"/>
        </w:rPr>
        <w:footnoteRef/>
      </w:r>
      <w:r w:rsidR="00E27E8D" w:rsidRPr="00A561F1">
        <w:rPr>
          <w:rFonts w:ascii="Times New Roman" w:hAnsi="Times New Roman"/>
          <w:sz w:val="20"/>
          <w:szCs w:val="20"/>
        </w:rPr>
        <w:t xml:space="preserve">Aluno da </w:t>
      </w:r>
      <w:r w:rsidR="00E27E8D" w:rsidRPr="00A561F1">
        <w:rPr>
          <w:rFonts w:ascii="Times New Roman" w:hAnsi="Times New Roman"/>
          <w:sz w:val="20"/>
          <w:szCs w:val="20"/>
          <w:shd w:val="clear" w:color="auto" w:fill="FFFFFF"/>
        </w:rPr>
        <w:t>Faculdade Regional da Bahia; Agronomia.</w:t>
      </w:r>
    </w:p>
  </w:footnote>
  <w:footnote w:id="3">
    <w:p w:rsidR="00D40B49" w:rsidRPr="00A561F1" w:rsidRDefault="00D40B49" w:rsidP="00330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F1">
        <w:rPr>
          <w:rStyle w:val="Refdenotaderodap"/>
          <w:rFonts w:ascii="Times New Roman" w:hAnsi="Times New Roman"/>
          <w:sz w:val="20"/>
          <w:szCs w:val="20"/>
        </w:rPr>
        <w:footnoteRef/>
      </w:r>
      <w:r w:rsidR="00DB40BD" w:rsidRPr="00A561F1">
        <w:rPr>
          <w:rFonts w:ascii="Times New Roman" w:hAnsi="Times New Roman"/>
          <w:sz w:val="20"/>
          <w:szCs w:val="20"/>
        </w:rPr>
        <w:t>Aluno da Universidade do Estado da Bahia; Agronomia.</w:t>
      </w:r>
    </w:p>
  </w:footnote>
  <w:footnote w:id="4">
    <w:p w:rsidR="00D40B49" w:rsidRPr="00A561F1" w:rsidRDefault="00D40B49" w:rsidP="00330F7A">
      <w:pPr>
        <w:pStyle w:val="Textodenotaderodap"/>
        <w:jc w:val="both"/>
        <w:rPr>
          <w:rFonts w:ascii="Times New Roman" w:hAnsi="Times New Roman"/>
        </w:rPr>
      </w:pPr>
      <w:r w:rsidRPr="00A561F1">
        <w:rPr>
          <w:rStyle w:val="Refdenotaderodap"/>
          <w:rFonts w:ascii="Times New Roman" w:hAnsi="Times New Roman"/>
        </w:rPr>
        <w:footnoteRef/>
      </w:r>
      <w:r w:rsidR="008B7070" w:rsidRPr="00A561F1">
        <w:rPr>
          <w:rFonts w:ascii="Times New Roman" w:hAnsi="Times New Roman"/>
        </w:rPr>
        <w:t>Doutora. Docente da UNIFAAHF; Agronomia.</w:t>
      </w:r>
    </w:p>
  </w:footnote>
  <w:footnote w:id="5">
    <w:p w:rsidR="00D40B49" w:rsidRPr="00A561F1" w:rsidRDefault="00D40B49" w:rsidP="00330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61F1">
        <w:rPr>
          <w:rStyle w:val="Refdenotaderodap"/>
          <w:rFonts w:ascii="Times New Roman" w:hAnsi="Times New Roman"/>
          <w:sz w:val="20"/>
          <w:szCs w:val="20"/>
        </w:rPr>
        <w:footnoteRef/>
      </w:r>
      <w:r w:rsidR="000D47E2" w:rsidRPr="00A561F1">
        <w:rPr>
          <w:rFonts w:ascii="Times New Roman" w:hAnsi="Times New Roman"/>
          <w:sz w:val="20"/>
          <w:szCs w:val="20"/>
        </w:rPr>
        <w:t>Doutor. Docente da Universidade do Estado da Bahia; Agronomia.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40B49"/>
    <w:rsid w:val="00013C0E"/>
    <w:rsid w:val="00017866"/>
    <w:rsid w:val="000225E7"/>
    <w:rsid w:val="00023F47"/>
    <w:rsid w:val="00073B2D"/>
    <w:rsid w:val="000D47E2"/>
    <w:rsid w:val="000E1DFE"/>
    <w:rsid w:val="00101997"/>
    <w:rsid w:val="00113768"/>
    <w:rsid w:val="00181437"/>
    <w:rsid w:val="0025010B"/>
    <w:rsid w:val="00265152"/>
    <w:rsid w:val="00280E9A"/>
    <w:rsid w:val="002C23FC"/>
    <w:rsid w:val="00327B62"/>
    <w:rsid w:val="00330F7A"/>
    <w:rsid w:val="00340706"/>
    <w:rsid w:val="00367DB9"/>
    <w:rsid w:val="00374FBB"/>
    <w:rsid w:val="003C1C4C"/>
    <w:rsid w:val="00412D2C"/>
    <w:rsid w:val="004479BA"/>
    <w:rsid w:val="005062EE"/>
    <w:rsid w:val="006F0F0B"/>
    <w:rsid w:val="00810D0D"/>
    <w:rsid w:val="0087761D"/>
    <w:rsid w:val="008B230C"/>
    <w:rsid w:val="008B7070"/>
    <w:rsid w:val="0093310E"/>
    <w:rsid w:val="0094529E"/>
    <w:rsid w:val="009653DD"/>
    <w:rsid w:val="00967060"/>
    <w:rsid w:val="009A734D"/>
    <w:rsid w:val="009F0BB0"/>
    <w:rsid w:val="00A53C48"/>
    <w:rsid w:val="00A561F1"/>
    <w:rsid w:val="00A72824"/>
    <w:rsid w:val="00B0080C"/>
    <w:rsid w:val="00B06C8D"/>
    <w:rsid w:val="00B1015B"/>
    <w:rsid w:val="00B55471"/>
    <w:rsid w:val="00B91B94"/>
    <w:rsid w:val="00C164CB"/>
    <w:rsid w:val="00C43FB7"/>
    <w:rsid w:val="00C7349E"/>
    <w:rsid w:val="00CF539E"/>
    <w:rsid w:val="00D40B49"/>
    <w:rsid w:val="00D651BD"/>
    <w:rsid w:val="00D6795C"/>
    <w:rsid w:val="00D94B74"/>
    <w:rsid w:val="00DA496D"/>
    <w:rsid w:val="00DB40BD"/>
    <w:rsid w:val="00DD6BC6"/>
    <w:rsid w:val="00E27E8D"/>
    <w:rsid w:val="00E46E50"/>
    <w:rsid w:val="00E95903"/>
    <w:rsid w:val="00F6679F"/>
    <w:rsid w:val="00FA6608"/>
    <w:rsid w:val="00FE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B6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79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23F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2824"/>
    <w:pPr>
      <w:spacing w:after="120" w:line="360" w:lineRule="auto"/>
      <w:ind w:left="283" w:firstLine="709"/>
      <w:jc w:val="both"/>
    </w:pPr>
    <w:rPr>
      <w:rFonts w:ascii="Arial" w:eastAsia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2824"/>
    <w:rPr>
      <w:rFonts w:ascii="Arial" w:eastAsia="Arial" w:hAnsi="Aria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2020-10-08T11:57:00Z</dcterms:created>
  <dcterms:modified xsi:type="dcterms:W3CDTF">2020-10-08T11:57:00Z</dcterms:modified>
</cp:coreProperties>
</file>