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25B73C" w14:textId="77777777" w:rsidR="00905C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RESUMO EXPANDIDO EPCA 2024</w:t>
      </w:r>
    </w:p>
    <w:p w14:paraId="5DF35615" w14:textId="77777777" w:rsidR="00905C37" w:rsidRDefault="00905C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16"/>
          <w:szCs w:val="16"/>
        </w:rPr>
      </w:pPr>
    </w:p>
    <w:p w14:paraId="5B3A42F0" w14:textId="577FF3D1" w:rsidR="00905C37" w:rsidRPr="0018073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375"/>
        </w:tabs>
        <w:spacing w:after="0" w:line="240" w:lineRule="auto"/>
        <w:jc w:val="center"/>
        <w:rPr>
          <w:rFonts w:ascii="Arial" w:eastAsia="Arial" w:hAnsi="Arial" w:cs="Arial"/>
          <w:b/>
        </w:rPr>
      </w:pPr>
      <w:r w:rsidRPr="00180738">
        <w:rPr>
          <w:rFonts w:ascii="Arial" w:eastAsia="Arial" w:hAnsi="Arial" w:cs="Arial"/>
          <w:b/>
        </w:rPr>
        <w:t>MUSEUS E COLEÇ</w:t>
      </w:r>
      <w:r w:rsidR="00180738" w:rsidRPr="00180738">
        <w:rPr>
          <w:rFonts w:ascii="Arial" w:eastAsia="Arial" w:hAnsi="Arial" w:cs="Arial"/>
          <w:b/>
        </w:rPr>
        <w:t>Õ</w:t>
      </w:r>
      <w:r w:rsidRPr="00180738">
        <w:rPr>
          <w:rFonts w:ascii="Arial" w:eastAsia="Arial" w:hAnsi="Arial" w:cs="Arial"/>
          <w:b/>
        </w:rPr>
        <w:t>ES DA UNIVERSIDADE FEDERAL DO PARÁ: ANÁLISE SEMIÓTICA DOS SIGNOS VISUAIS DE IDENTIDADE</w:t>
      </w:r>
      <w:r w:rsidR="0080232F" w:rsidRPr="00180738">
        <w:rPr>
          <w:rFonts w:ascii="Arial" w:eastAsia="Arial" w:hAnsi="Arial" w:cs="Arial"/>
          <w:b/>
        </w:rPr>
        <w:t xml:space="preserve"> INSTITUCIONAL</w:t>
      </w:r>
    </w:p>
    <w:p w14:paraId="6526CCD3" w14:textId="56AA24D9" w:rsidR="00905C37" w:rsidRDefault="0080232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</w:t>
      </w:r>
    </w:p>
    <w:p w14:paraId="1C8C9A1D" w14:textId="77777777" w:rsidR="00905C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Matheus Felipe Gurgel LIMA</w:t>
      </w:r>
      <w:r>
        <w:rPr>
          <w:rFonts w:ascii="Arial" w:eastAsia="Arial" w:hAnsi="Arial" w:cs="Arial"/>
          <w:b/>
          <w:color w:val="000000"/>
        </w:rPr>
        <w:t xml:space="preserve"> - UFPA</w:t>
      </w:r>
      <w:r>
        <w:rPr>
          <w:rFonts w:ascii="Arial" w:eastAsia="Arial" w:hAnsi="Arial" w:cs="Arial"/>
          <w:b/>
          <w:vertAlign w:val="superscript"/>
        </w:rPr>
        <w:t xml:space="preserve"> </w:t>
      </w:r>
      <w:r>
        <w:rPr>
          <w:rFonts w:ascii="Arial" w:eastAsia="Arial" w:hAnsi="Arial" w:cs="Arial"/>
          <w:b/>
          <w:vertAlign w:val="superscript"/>
        </w:rPr>
        <w:footnoteReference w:id="1"/>
      </w:r>
    </w:p>
    <w:p w14:paraId="59010DBF" w14:textId="77777777" w:rsidR="00905C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Flavia Igliori GONSALES </w:t>
      </w:r>
      <w:r>
        <w:rPr>
          <w:rFonts w:ascii="Arial" w:eastAsia="Arial" w:hAnsi="Arial" w:cs="Arial"/>
          <w:b/>
        </w:rPr>
        <w:t>- UFPA</w:t>
      </w:r>
      <w:r>
        <w:rPr>
          <w:rFonts w:ascii="Arial" w:eastAsia="Arial" w:hAnsi="Arial" w:cs="Arial"/>
          <w:b/>
          <w:color w:val="000000"/>
          <w:vertAlign w:val="superscript"/>
        </w:rPr>
        <w:footnoteReference w:id="2"/>
      </w:r>
      <w:r>
        <w:rPr>
          <w:rFonts w:ascii="Arial" w:eastAsia="Arial" w:hAnsi="Arial" w:cs="Arial"/>
          <w:b/>
          <w:color w:val="000000"/>
        </w:rPr>
        <w:t xml:space="preserve"> </w:t>
      </w:r>
    </w:p>
    <w:p w14:paraId="273697E2" w14:textId="77777777" w:rsidR="00EF42D7" w:rsidRDefault="00EF42D7" w:rsidP="00EF42D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4F81BD"/>
          <w:sz w:val="24"/>
          <w:szCs w:val="24"/>
        </w:rPr>
      </w:pPr>
    </w:p>
    <w:p w14:paraId="5EDA4EEA" w14:textId="456BCF66" w:rsidR="00B2323E" w:rsidRPr="00180738" w:rsidRDefault="00000000" w:rsidP="00EF42D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180738">
        <w:rPr>
          <w:rFonts w:ascii="Arial" w:eastAsia="Arial" w:hAnsi="Arial" w:cs="Arial"/>
          <w:b/>
          <w:sz w:val="24"/>
          <w:szCs w:val="24"/>
        </w:rPr>
        <w:t>RESUMO</w:t>
      </w:r>
      <w:r w:rsidR="00EF42D7" w:rsidRPr="00180738">
        <w:rPr>
          <w:rFonts w:ascii="Arial" w:eastAsia="Arial" w:hAnsi="Arial" w:cs="Arial"/>
          <w:b/>
          <w:sz w:val="24"/>
          <w:szCs w:val="24"/>
        </w:rPr>
        <w:t xml:space="preserve">: </w:t>
      </w:r>
      <w:r w:rsidR="00AB217F" w:rsidRPr="00180738">
        <w:rPr>
          <w:rFonts w:ascii="Arial" w:eastAsia="Arial" w:hAnsi="Arial" w:cs="Arial"/>
          <w:sz w:val="24"/>
          <w:szCs w:val="24"/>
        </w:rPr>
        <w:t>Est</w:t>
      </w:r>
      <w:r w:rsidR="00AB217F" w:rsidRPr="00180738">
        <w:rPr>
          <w:rFonts w:ascii="Arial" w:eastAsia="Arial" w:hAnsi="Arial" w:cs="Arial"/>
          <w:sz w:val="24"/>
          <w:szCs w:val="24"/>
        </w:rPr>
        <w:t>a pesquisa</w:t>
      </w:r>
      <w:r w:rsidR="00B2323E" w:rsidRPr="00180738">
        <w:rPr>
          <w:rFonts w:ascii="Arial" w:eastAsia="Arial" w:hAnsi="Arial" w:cs="Arial"/>
          <w:sz w:val="24"/>
          <w:szCs w:val="24"/>
        </w:rPr>
        <w:t>,</w:t>
      </w:r>
      <w:r w:rsidR="00AB217F" w:rsidRPr="00180738">
        <w:rPr>
          <w:rFonts w:ascii="Arial" w:eastAsia="Arial" w:hAnsi="Arial" w:cs="Arial"/>
          <w:sz w:val="24"/>
          <w:szCs w:val="24"/>
        </w:rPr>
        <w:t xml:space="preserve"> em etapa inicial</w:t>
      </w:r>
      <w:r w:rsidR="00B2323E" w:rsidRPr="00180738">
        <w:rPr>
          <w:rFonts w:ascii="Arial" w:eastAsia="Arial" w:hAnsi="Arial" w:cs="Arial"/>
          <w:sz w:val="24"/>
          <w:szCs w:val="24"/>
        </w:rPr>
        <w:t>,</w:t>
      </w:r>
      <w:r w:rsidR="00AB217F" w:rsidRPr="00180738">
        <w:rPr>
          <w:rFonts w:ascii="Arial" w:eastAsia="Arial" w:hAnsi="Arial" w:cs="Arial"/>
          <w:sz w:val="24"/>
          <w:szCs w:val="24"/>
        </w:rPr>
        <w:t xml:space="preserve"> </w:t>
      </w:r>
      <w:r w:rsidR="00AB217F" w:rsidRPr="00180738">
        <w:rPr>
          <w:rFonts w:ascii="Arial" w:eastAsia="Arial" w:hAnsi="Arial" w:cs="Arial"/>
          <w:sz w:val="24"/>
          <w:szCs w:val="24"/>
        </w:rPr>
        <w:t xml:space="preserve">investiga os signos visuais identificadores </w:t>
      </w:r>
      <w:r w:rsidR="00B2323E" w:rsidRPr="00180738">
        <w:rPr>
          <w:rFonts w:ascii="Arial" w:eastAsia="Arial" w:hAnsi="Arial" w:cs="Arial"/>
          <w:sz w:val="24"/>
          <w:szCs w:val="24"/>
        </w:rPr>
        <w:t>dos museus e coleções da UFPA</w:t>
      </w:r>
      <w:r w:rsidR="00AB217F" w:rsidRPr="00180738">
        <w:rPr>
          <w:rFonts w:ascii="Arial" w:eastAsia="Arial" w:hAnsi="Arial" w:cs="Arial"/>
          <w:sz w:val="24"/>
          <w:szCs w:val="24"/>
        </w:rPr>
        <w:t xml:space="preserve">. </w:t>
      </w:r>
      <w:r w:rsidR="00B2323E" w:rsidRPr="00180738">
        <w:rPr>
          <w:rFonts w:ascii="Arial" w:eastAsia="Arial" w:hAnsi="Arial" w:cs="Arial"/>
          <w:sz w:val="24"/>
          <w:szCs w:val="24"/>
        </w:rPr>
        <w:t xml:space="preserve">Os </w:t>
      </w:r>
      <w:r w:rsidR="00B2323E" w:rsidRPr="00180738">
        <w:rPr>
          <w:rFonts w:ascii="Arial" w:eastAsia="Arial" w:hAnsi="Arial" w:cs="Arial"/>
          <w:sz w:val="24"/>
          <w:szCs w:val="24"/>
        </w:rPr>
        <w:t>logotipos</w:t>
      </w:r>
      <w:r w:rsidR="00B2323E" w:rsidRPr="00180738">
        <w:rPr>
          <w:rFonts w:ascii="Arial" w:eastAsia="Arial" w:hAnsi="Arial" w:cs="Arial"/>
          <w:sz w:val="24"/>
          <w:szCs w:val="24"/>
        </w:rPr>
        <w:t xml:space="preserve"> e outros identificadores visuais </w:t>
      </w:r>
      <w:r w:rsidR="004B1552" w:rsidRPr="00180738">
        <w:rPr>
          <w:rFonts w:ascii="Arial" w:eastAsia="Arial" w:hAnsi="Arial" w:cs="Arial"/>
          <w:sz w:val="24"/>
          <w:szCs w:val="24"/>
        </w:rPr>
        <w:t>de</w:t>
      </w:r>
      <w:r w:rsidR="00AB217F" w:rsidRPr="00180738">
        <w:rPr>
          <w:rFonts w:ascii="Arial" w:eastAsia="Arial" w:hAnsi="Arial" w:cs="Arial"/>
          <w:sz w:val="24"/>
          <w:szCs w:val="24"/>
        </w:rPr>
        <w:t xml:space="preserve"> 12 instituições</w:t>
      </w:r>
      <w:r w:rsidR="00B2323E" w:rsidRPr="00180738">
        <w:rPr>
          <w:rFonts w:ascii="Arial" w:eastAsia="Arial" w:hAnsi="Arial" w:cs="Arial"/>
          <w:sz w:val="24"/>
          <w:szCs w:val="24"/>
        </w:rPr>
        <w:t xml:space="preserve"> </w:t>
      </w:r>
      <w:r w:rsidR="00AB217F" w:rsidRPr="00180738">
        <w:rPr>
          <w:rFonts w:ascii="Arial" w:eastAsia="Arial" w:hAnsi="Arial" w:cs="Arial"/>
          <w:sz w:val="24"/>
          <w:szCs w:val="24"/>
        </w:rPr>
        <w:t>foram</w:t>
      </w:r>
      <w:r w:rsidR="00B2323E" w:rsidRPr="00180738">
        <w:rPr>
          <w:rFonts w:ascii="Arial" w:eastAsia="Arial" w:hAnsi="Arial" w:cs="Arial"/>
          <w:sz w:val="24"/>
          <w:szCs w:val="24"/>
        </w:rPr>
        <w:t xml:space="preserve"> </w:t>
      </w:r>
      <w:r w:rsidR="00AB217F" w:rsidRPr="00180738">
        <w:rPr>
          <w:rFonts w:ascii="Arial" w:eastAsia="Arial" w:hAnsi="Arial" w:cs="Arial"/>
          <w:sz w:val="24"/>
          <w:szCs w:val="24"/>
        </w:rPr>
        <w:t xml:space="preserve">analisados </w:t>
      </w:r>
      <w:r w:rsidR="00B2323E" w:rsidRPr="00180738">
        <w:rPr>
          <w:rFonts w:ascii="Arial" w:eastAsia="Arial" w:hAnsi="Arial" w:cs="Arial"/>
          <w:sz w:val="24"/>
          <w:szCs w:val="24"/>
        </w:rPr>
        <w:t>pela</w:t>
      </w:r>
      <w:r w:rsidR="00AB217F" w:rsidRPr="00180738">
        <w:rPr>
          <w:rFonts w:ascii="Arial" w:eastAsia="Arial" w:hAnsi="Arial" w:cs="Arial"/>
          <w:sz w:val="24"/>
          <w:szCs w:val="24"/>
        </w:rPr>
        <w:t xml:space="preserve"> semiótica de vertente peirceana, especificamente </w:t>
      </w:r>
      <w:r w:rsidR="00B2323E" w:rsidRPr="00180738">
        <w:rPr>
          <w:rFonts w:ascii="Arial" w:eastAsia="Arial" w:hAnsi="Arial" w:cs="Arial"/>
          <w:sz w:val="24"/>
          <w:szCs w:val="24"/>
        </w:rPr>
        <w:t>a</w:t>
      </w:r>
      <w:r w:rsidR="00AB217F" w:rsidRPr="00180738">
        <w:rPr>
          <w:rFonts w:ascii="Arial" w:eastAsia="Arial" w:hAnsi="Arial" w:cs="Arial"/>
          <w:sz w:val="24"/>
          <w:szCs w:val="24"/>
        </w:rPr>
        <w:t xml:space="preserve"> de Charles W. Morris. A análise identificou problemas </w:t>
      </w:r>
      <w:r w:rsidR="00B2323E" w:rsidRPr="00180738">
        <w:rPr>
          <w:rFonts w:ascii="Arial" w:eastAsia="Arial" w:hAnsi="Arial" w:cs="Arial"/>
          <w:sz w:val="24"/>
          <w:szCs w:val="24"/>
        </w:rPr>
        <w:t>da ordem pragmática – referente às condições</w:t>
      </w:r>
      <w:r w:rsidR="00B2323E" w:rsidRPr="00180738">
        <w:rPr>
          <w:rFonts w:ascii="Arial" w:eastAsia="Arial" w:hAnsi="Arial" w:cs="Arial"/>
          <w:sz w:val="24"/>
          <w:szCs w:val="24"/>
        </w:rPr>
        <w:t xml:space="preserve"> de uso dos logotipos</w:t>
      </w:r>
      <w:r w:rsidR="00AB217F" w:rsidRPr="00180738">
        <w:rPr>
          <w:rFonts w:ascii="Arial" w:eastAsia="Arial" w:hAnsi="Arial" w:cs="Arial"/>
          <w:sz w:val="24"/>
          <w:szCs w:val="24"/>
        </w:rPr>
        <w:t xml:space="preserve">. </w:t>
      </w:r>
      <w:r w:rsidR="00B2323E" w:rsidRPr="00180738">
        <w:rPr>
          <w:rFonts w:ascii="Arial" w:eastAsia="Arial" w:hAnsi="Arial" w:cs="Arial"/>
          <w:sz w:val="24"/>
          <w:szCs w:val="24"/>
        </w:rPr>
        <w:t xml:space="preserve">Ao final, </w:t>
      </w:r>
      <w:r w:rsidR="000E5BE0" w:rsidRPr="00180738">
        <w:rPr>
          <w:rFonts w:ascii="Arial" w:eastAsia="Arial" w:hAnsi="Arial" w:cs="Arial"/>
          <w:sz w:val="24"/>
          <w:szCs w:val="24"/>
        </w:rPr>
        <w:t>relembramos sobre</w:t>
      </w:r>
      <w:r w:rsidR="00B2323E" w:rsidRPr="00180738">
        <w:rPr>
          <w:rFonts w:ascii="Arial" w:eastAsia="Arial" w:hAnsi="Arial" w:cs="Arial"/>
          <w:sz w:val="24"/>
          <w:szCs w:val="24"/>
        </w:rPr>
        <w:t xml:space="preserve"> a falta de recursos</w:t>
      </w:r>
      <w:r w:rsidR="004B1552" w:rsidRPr="00180738">
        <w:rPr>
          <w:rFonts w:ascii="Arial" w:eastAsia="Arial" w:hAnsi="Arial" w:cs="Arial"/>
          <w:sz w:val="24"/>
          <w:szCs w:val="24"/>
        </w:rPr>
        <w:t xml:space="preserve"> </w:t>
      </w:r>
      <w:r w:rsidR="00EF42D7" w:rsidRPr="00180738">
        <w:rPr>
          <w:rFonts w:ascii="Arial" w:eastAsia="Arial" w:hAnsi="Arial" w:cs="Arial"/>
          <w:sz w:val="24"/>
          <w:szCs w:val="24"/>
        </w:rPr>
        <w:t>do</w:t>
      </w:r>
      <w:r w:rsidR="00B2323E" w:rsidRPr="00180738">
        <w:rPr>
          <w:rFonts w:ascii="Arial" w:eastAsia="Arial" w:hAnsi="Arial" w:cs="Arial"/>
          <w:sz w:val="24"/>
          <w:szCs w:val="24"/>
        </w:rPr>
        <w:t xml:space="preserve">s museus e coleções </w:t>
      </w:r>
      <w:r w:rsidR="000E5BE0" w:rsidRPr="00180738">
        <w:rPr>
          <w:rFonts w:ascii="Arial" w:eastAsia="Arial" w:hAnsi="Arial" w:cs="Arial"/>
          <w:sz w:val="24"/>
          <w:szCs w:val="24"/>
        </w:rPr>
        <w:t>da UFPA</w:t>
      </w:r>
      <w:r w:rsidR="004B1552" w:rsidRPr="00180738">
        <w:rPr>
          <w:rFonts w:ascii="Arial" w:eastAsia="Arial" w:hAnsi="Arial" w:cs="Arial"/>
          <w:sz w:val="24"/>
          <w:szCs w:val="24"/>
        </w:rPr>
        <w:t>,</w:t>
      </w:r>
      <w:r w:rsidR="000E5BE0" w:rsidRPr="00180738">
        <w:rPr>
          <w:rFonts w:ascii="Arial" w:eastAsia="Arial" w:hAnsi="Arial" w:cs="Arial"/>
          <w:sz w:val="24"/>
          <w:szCs w:val="24"/>
        </w:rPr>
        <w:t xml:space="preserve"> e consideramos qu</w:t>
      </w:r>
      <w:r w:rsidR="004B1552" w:rsidRPr="00180738">
        <w:rPr>
          <w:rFonts w:ascii="Arial" w:eastAsia="Arial" w:hAnsi="Arial" w:cs="Arial"/>
          <w:sz w:val="24"/>
          <w:szCs w:val="24"/>
        </w:rPr>
        <w:t xml:space="preserve">e </w:t>
      </w:r>
      <w:r w:rsidR="00B2323E" w:rsidRPr="00180738">
        <w:rPr>
          <w:rFonts w:ascii="Arial" w:eastAsia="Arial" w:hAnsi="Arial" w:cs="Arial"/>
          <w:sz w:val="24"/>
          <w:szCs w:val="24"/>
        </w:rPr>
        <w:t>criar ou atualizar os logotipos,</w:t>
      </w:r>
      <w:r w:rsidR="004B1552" w:rsidRPr="00180738">
        <w:rPr>
          <w:rFonts w:ascii="Arial" w:eastAsia="Arial" w:hAnsi="Arial" w:cs="Arial"/>
          <w:sz w:val="24"/>
          <w:szCs w:val="24"/>
        </w:rPr>
        <w:t xml:space="preserve"> e </w:t>
      </w:r>
      <w:r w:rsidR="00EF42D7" w:rsidRPr="00180738">
        <w:rPr>
          <w:rFonts w:ascii="Arial" w:eastAsia="Arial" w:hAnsi="Arial" w:cs="Arial"/>
          <w:sz w:val="24"/>
          <w:szCs w:val="24"/>
        </w:rPr>
        <w:t>usá-los</w:t>
      </w:r>
      <w:r w:rsidR="004B1552" w:rsidRPr="00180738">
        <w:rPr>
          <w:rFonts w:ascii="Arial" w:eastAsia="Arial" w:hAnsi="Arial" w:cs="Arial"/>
          <w:sz w:val="24"/>
          <w:szCs w:val="24"/>
        </w:rPr>
        <w:t xml:space="preserve"> consistentemente ao longo de todos os pontos-de-contato, </w:t>
      </w:r>
      <w:r w:rsidR="00B2323E" w:rsidRPr="00180738">
        <w:rPr>
          <w:rFonts w:ascii="Arial" w:eastAsia="Arial" w:hAnsi="Arial" w:cs="Arial"/>
          <w:sz w:val="24"/>
          <w:szCs w:val="24"/>
        </w:rPr>
        <w:t xml:space="preserve">colabora </w:t>
      </w:r>
      <w:r w:rsidR="004B1552" w:rsidRPr="00180738">
        <w:rPr>
          <w:rFonts w:ascii="Arial" w:eastAsia="Arial" w:hAnsi="Arial" w:cs="Arial"/>
          <w:sz w:val="24"/>
          <w:szCs w:val="24"/>
        </w:rPr>
        <w:t>n</w:t>
      </w:r>
      <w:r w:rsidR="00B2323E" w:rsidRPr="00180738">
        <w:rPr>
          <w:rFonts w:ascii="Arial" w:eastAsia="Arial" w:hAnsi="Arial" w:cs="Arial"/>
          <w:sz w:val="24"/>
          <w:szCs w:val="24"/>
        </w:rPr>
        <w:t xml:space="preserve">a valorização da universidade </w:t>
      </w:r>
      <w:r w:rsidR="004B1552" w:rsidRPr="00180738">
        <w:rPr>
          <w:rFonts w:ascii="Arial" w:eastAsia="Arial" w:hAnsi="Arial" w:cs="Arial"/>
          <w:sz w:val="24"/>
          <w:szCs w:val="24"/>
        </w:rPr>
        <w:t>e no</w:t>
      </w:r>
      <w:r w:rsidR="00B2323E" w:rsidRPr="00180738">
        <w:rPr>
          <w:rFonts w:ascii="Arial" w:eastAsia="Arial" w:hAnsi="Arial" w:cs="Arial"/>
          <w:sz w:val="24"/>
          <w:szCs w:val="24"/>
        </w:rPr>
        <w:t xml:space="preserve"> fortalec</w:t>
      </w:r>
      <w:r w:rsidR="004B1552" w:rsidRPr="00180738">
        <w:rPr>
          <w:rFonts w:ascii="Arial" w:eastAsia="Arial" w:hAnsi="Arial" w:cs="Arial"/>
          <w:sz w:val="24"/>
          <w:szCs w:val="24"/>
        </w:rPr>
        <w:t>imento dos vínculos entre o púb</w:t>
      </w:r>
      <w:r w:rsidR="00EF42D7" w:rsidRPr="00180738">
        <w:rPr>
          <w:rFonts w:ascii="Arial" w:eastAsia="Arial" w:hAnsi="Arial" w:cs="Arial"/>
          <w:sz w:val="24"/>
          <w:szCs w:val="24"/>
        </w:rPr>
        <w:t>l</w:t>
      </w:r>
      <w:r w:rsidR="004B1552" w:rsidRPr="00180738">
        <w:rPr>
          <w:rFonts w:ascii="Arial" w:eastAsia="Arial" w:hAnsi="Arial" w:cs="Arial"/>
          <w:sz w:val="24"/>
          <w:szCs w:val="24"/>
        </w:rPr>
        <w:t xml:space="preserve">ico, a universidade e o </w:t>
      </w:r>
      <w:r w:rsidR="00B2323E" w:rsidRPr="00180738">
        <w:rPr>
          <w:rFonts w:ascii="Arial" w:eastAsia="Arial" w:hAnsi="Arial" w:cs="Arial"/>
          <w:sz w:val="24"/>
          <w:szCs w:val="24"/>
        </w:rPr>
        <w:t>patrimônio científico, natural e cultural paraense.</w:t>
      </w:r>
    </w:p>
    <w:p w14:paraId="1183B77A" w14:textId="77777777" w:rsidR="00B2323E" w:rsidRDefault="00B2323E" w:rsidP="004B155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4F81BD"/>
          <w:sz w:val="24"/>
          <w:szCs w:val="24"/>
        </w:rPr>
      </w:pPr>
    </w:p>
    <w:p w14:paraId="0EB7543E" w14:textId="44F4A01D" w:rsidR="00905C37" w:rsidRDefault="00000000" w:rsidP="00B2323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Palavras-chave: </w:t>
      </w:r>
      <w:r>
        <w:rPr>
          <w:rFonts w:ascii="Arial" w:eastAsia="Arial" w:hAnsi="Arial" w:cs="Arial"/>
          <w:color w:val="000000"/>
          <w:sz w:val="24"/>
          <w:szCs w:val="24"/>
        </w:rPr>
        <w:t>Coleções e museus universitários. Logotipos. Análise semiótica. Universidade Federal do Pará.</w:t>
      </w:r>
    </w:p>
    <w:p w14:paraId="2A278FCA" w14:textId="77777777" w:rsidR="00905C37" w:rsidRDefault="00905C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</w:rPr>
      </w:pPr>
    </w:p>
    <w:p w14:paraId="4AC3F3E0" w14:textId="77777777" w:rsidR="00905C37" w:rsidRDefault="00000000">
      <w:pPr>
        <w:pStyle w:val="Ttulo1"/>
      </w:pPr>
      <w:r>
        <w:t xml:space="preserve">1. INTRODUÇÃO </w:t>
      </w:r>
    </w:p>
    <w:p w14:paraId="5A6FBAC1" w14:textId="1B97A778" w:rsidR="00905C37" w:rsidRDefault="00000000" w:rsidP="00ED725E">
      <w:pPr>
        <w:pStyle w:val="textoepca"/>
      </w:pPr>
      <w:r>
        <w:t xml:space="preserve">Ao redor do mundo, as universidades são centros de conhecimento que abrigam grande parte do patrimônio científico, natural e cultural humano, do tipo tangível, intangível ou digital. Neste artigo, avançamos com as investigações sobre uma ainda pouco pesquisada categoria patrimonial, a do patrimônio cultural universitário: prédios, monumentos, bibliotecas, museus, coleções, rituais e tradições sob a responsabilidade </w:t>
      </w:r>
      <w:r w:rsidR="00321108">
        <w:t>de</w:t>
      </w:r>
      <w:r>
        <w:t xml:space="preserve"> instituições de ensino superior (IESs). Nessa categoria, são incluídos os objetos originalmente adquiridos e preservados para fins de educação ou pesquisa na universidade (patrimônio acadêmico). </w:t>
      </w:r>
    </w:p>
    <w:p w14:paraId="0B5C6AEA" w14:textId="4F29579A" w:rsidR="00905C37" w:rsidRDefault="00000000" w:rsidP="00ED725E">
      <w:pPr>
        <w:pStyle w:val="textoepca"/>
      </w:pPr>
      <w:r>
        <w:t xml:space="preserve"> As instituições e os acervos relativos ao patrimônio cultural de uma universidade </w:t>
      </w:r>
      <w:r w:rsidR="00C17554">
        <w:t>(</w:t>
      </w:r>
      <w:r>
        <w:t>daqui em diante, coleções e museus universitários</w:t>
      </w:r>
      <w:r w:rsidR="00C17554">
        <w:t>)</w:t>
      </w:r>
      <w:r>
        <w:t xml:space="preserve"> enfrentam múltiplos desafios de gestão e comunicação, com destaque para questões </w:t>
      </w:r>
      <w:r w:rsidR="00C17554">
        <w:t>sobre</w:t>
      </w:r>
      <w:r>
        <w:t xml:space="preserve"> identidade institucional (são museus ou universidade?), função (pesquisa, ensino ou difusão?), e público (pesquisadores, docentes e discentes ou aberto à comunidade externa) (</w:t>
      </w:r>
      <w:proofErr w:type="spellStart"/>
      <w:r>
        <w:t>Merriman</w:t>
      </w:r>
      <w:proofErr w:type="spellEnd"/>
      <w:r>
        <w:t xml:space="preserve">, 2002; 75, </w:t>
      </w:r>
      <w:proofErr w:type="spellStart"/>
      <w:r>
        <w:t>Warhurst</w:t>
      </w:r>
      <w:proofErr w:type="spellEnd"/>
      <w:r>
        <w:t xml:space="preserve">, 1986). Focalizamos, neste trabalho, o questão da identidade institucional, estudando os logotipos – elemento de identidade visual fundamental de uma marca. </w:t>
      </w:r>
    </w:p>
    <w:p w14:paraId="737E3C97" w14:textId="77777777" w:rsidR="00905C37" w:rsidRDefault="00000000" w:rsidP="00ED725E">
      <w:pPr>
        <w:pStyle w:val="textoepca"/>
      </w:pPr>
      <w:r>
        <w:t xml:space="preserve">Especificamente, coletamos e analisamos, pelo olhar da semiótica peirceana, os signos visuais de identidade dos museus da Universidade Federal do Pará. Em recente levantamento sobre o patrimônio universitário (Abalada; Granato, 2023), verificou-se que a região Norte do Brasil é a que menos possui museus universitários (apenas 6,2% deles). As perguntas que nos guiaram foram: como estarão os signos </w:t>
      </w:r>
      <w:r>
        <w:lastRenderedPageBreak/>
        <w:t>visuais identificadores desses museus e coleções? Eles são identificados por logotipos legíveis, expressivos, coerentes, consistentes ao longo dos pontos-de-contato físicos e virtuais com os públicos interessados?</w:t>
      </w:r>
    </w:p>
    <w:p w14:paraId="4CE765CA" w14:textId="77777777" w:rsidR="00905C37" w:rsidRDefault="00905C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1"/>
        <w:jc w:val="both"/>
        <w:rPr>
          <w:rFonts w:ascii="Arial" w:eastAsia="Arial" w:hAnsi="Arial" w:cs="Arial"/>
          <w:color w:val="FF0000"/>
          <w:sz w:val="24"/>
          <w:szCs w:val="24"/>
        </w:rPr>
      </w:pPr>
    </w:p>
    <w:p w14:paraId="6438D6D0" w14:textId="77777777" w:rsidR="00905C37" w:rsidRDefault="00000000">
      <w:pPr>
        <w:pStyle w:val="Subttulo"/>
      </w:pPr>
      <w:r>
        <w:t>1.2 Metodologia</w:t>
      </w:r>
    </w:p>
    <w:p w14:paraId="7395E0FF" w14:textId="28C5CBB7" w:rsidR="00905C37" w:rsidRDefault="00000000" w:rsidP="00ED725E">
      <w:pPr>
        <w:pStyle w:val="textoepca"/>
      </w:pPr>
      <w:r>
        <w:t xml:space="preserve">Para a </w:t>
      </w:r>
      <w:r w:rsidRPr="00B473EA">
        <w:t>delimitação do corpus de pesquisa, buscamos primeiramente os museus e coleções da UFPA no site oficial da universidade</w:t>
      </w:r>
      <w:r w:rsidR="00B473EA" w:rsidRPr="00B473EA">
        <w:rPr>
          <w:rStyle w:val="Refdenotaderodap"/>
          <w:color w:val="000000"/>
        </w:rPr>
        <w:footnoteReference w:id="3"/>
      </w:r>
      <w:r w:rsidRPr="00B473EA">
        <w:t xml:space="preserve">, </w:t>
      </w:r>
      <w:r w:rsidR="00B473EA" w:rsidRPr="00B473EA">
        <w:t xml:space="preserve">que nos levou </w:t>
      </w:r>
      <w:r w:rsidRPr="00B473EA">
        <w:t>apenas ao Museu da UFPA</w:t>
      </w:r>
      <w:r w:rsidR="00B473EA" w:rsidRPr="00B473EA">
        <w:t>, único museu institucionalizado pela Universidade</w:t>
      </w:r>
      <w:r w:rsidRPr="00B473EA">
        <w:t xml:space="preserve">. Em subsequente pesquisa bibliográfica, encontramos o artigo de Santos, Benchimol e Rocha (2022), que levanta e descreve </w:t>
      </w:r>
      <w:r w:rsidR="00B473EA" w:rsidRPr="00B473EA">
        <w:t>os</w:t>
      </w:r>
      <w:r w:rsidRPr="00B473EA">
        <w:t xml:space="preserve"> museus e coleções da UFPA, e discute a falta de reconhecimento desses espaços pelo regimento interno</w:t>
      </w:r>
      <w:r w:rsidR="00B473EA" w:rsidRPr="00B473EA">
        <w:t xml:space="preserve"> e</w:t>
      </w:r>
      <w:r w:rsidRPr="00B473EA">
        <w:t xml:space="preserve"> dificuldade de se </w:t>
      </w:r>
      <w:r w:rsidR="00B473EA" w:rsidRPr="00B473EA">
        <w:t>acessar</w:t>
      </w:r>
      <w:r w:rsidRPr="00B473EA">
        <w:t xml:space="preserve"> informações e dados de alguns deles. </w:t>
      </w:r>
      <w:r w:rsidR="00B473EA">
        <w:t>Utilizando o trabalho das autoras como guia</w:t>
      </w:r>
      <w:r w:rsidRPr="00B473EA">
        <w:t xml:space="preserve">, o corpus </w:t>
      </w:r>
      <w:r w:rsidR="00B473EA">
        <w:t>deste</w:t>
      </w:r>
      <w:r w:rsidRPr="00B473EA">
        <w:t xml:space="preserve"> </w:t>
      </w:r>
      <w:r w:rsidR="00B473EA">
        <w:t>trabalho</w:t>
      </w:r>
      <w:r w:rsidRPr="00B473EA">
        <w:t xml:space="preserve"> é composto </w:t>
      </w:r>
      <w:r w:rsidR="00B473EA">
        <w:t>por</w:t>
      </w:r>
      <w:r w:rsidRPr="00B473EA">
        <w:t xml:space="preserve"> 12 museus e coleções da UFPA</w:t>
      </w:r>
      <w:r>
        <w:t>:</w:t>
      </w:r>
    </w:p>
    <w:p w14:paraId="57E58501" w14:textId="77777777" w:rsidR="00905C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Tabela 1: Os 12 museus e coleções da UFPA</w:t>
      </w:r>
    </w:p>
    <w:tbl>
      <w:tblPr>
        <w:tblStyle w:val="a"/>
        <w:tblW w:w="90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74"/>
        <w:gridCol w:w="2687"/>
      </w:tblGrid>
      <w:tr w:rsidR="00905C37" w14:paraId="3009FF6F" w14:textId="77777777">
        <w:trPr>
          <w:trHeight w:val="340"/>
        </w:trPr>
        <w:tc>
          <w:tcPr>
            <w:tcW w:w="6374" w:type="dxa"/>
            <w:vAlign w:val="center"/>
          </w:tcPr>
          <w:p w14:paraId="1B2C66A2" w14:textId="77777777" w:rsidR="00905C37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Museu ou Coleção</w:t>
            </w:r>
          </w:p>
        </w:tc>
        <w:tc>
          <w:tcPr>
            <w:tcW w:w="2687" w:type="dxa"/>
            <w:vAlign w:val="center"/>
          </w:tcPr>
          <w:p w14:paraId="116A2494" w14:textId="77777777" w:rsidR="00905C37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Instituição anfitriã</w:t>
            </w:r>
          </w:p>
        </w:tc>
      </w:tr>
      <w:tr w:rsidR="00905C37" w14:paraId="589C1163" w14:textId="77777777">
        <w:tc>
          <w:tcPr>
            <w:tcW w:w="6374" w:type="dxa"/>
            <w:shd w:val="clear" w:color="auto" w:fill="F2F2F2"/>
          </w:tcPr>
          <w:p w14:paraId="0A990B9C" w14:textId="77777777" w:rsidR="00905C37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1. Museu da UFPA (MUFPA)*</w:t>
            </w:r>
          </w:p>
        </w:tc>
        <w:tc>
          <w:tcPr>
            <w:tcW w:w="2687" w:type="dxa"/>
            <w:shd w:val="clear" w:color="auto" w:fill="F2F2F2"/>
          </w:tcPr>
          <w:p w14:paraId="2C5F21AF" w14:textId="77777777" w:rsidR="00905C37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UFPA</w:t>
            </w:r>
          </w:p>
        </w:tc>
      </w:tr>
      <w:tr w:rsidR="00905C37" w14:paraId="284A7075" w14:textId="77777777">
        <w:tc>
          <w:tcPr>
            <w:tcW w:w="6374" w:type="dxa"/>
            <w:vAlign w:val="center"/>
          </w:tcPr>
          <w:p w14:paraId="7653E27F" w14:textId="77777777" w:rsidR="00905C37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2. Museu de Zoologia</w:t>
            </w:r>
          </w:p>
        </w:tc>
        <w:tc>
          <w:tcPr>
            <w:tcW w:w="2687" w:type="dxa"/>
            <w:vMerge w:val="restart"/>
            <w:vAlign w:val="center"/>
          </w:tcPr>
          <w:p w14:paraId="0B2512AF" w14:textId="77777777" w:rsidR="00905C37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Instituto de Ciências Biológicas (ICB)</w:t>
            </w:r>
          </w:p>
        </w:tc>
      </w:tr>
      <w:tr w:rsidR="00905C37" w14:paraId="661F2502" w14:textId="77777777">
        <w:tc>
          <w:tcPr>
            <w:tcW w:w="6374" w:type="dxa"/>
            <w:vAlign w:val="center"/>
          </w:tcPr>
          <w:p w14:paraId="4AC90AC6" w14:textId="77777777" w:rsidR="00905C37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3. Museu de </w:t>
            </w:r>
            <w:r w:rsidRPr="00B473EA">
              <w:rPr>
                <w:rFonts w:ascii="Arial" w:eastAsia="Arial" w:hAnsi="Arial" w:cs="Arial"/>
                <w:color w:val="000000"/>
                <w:sz w:val="20"/>
                <w:szCs w:val="20"/>
              </w:rPr>
              <w:t>Anatomia Humana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687" w:type="dxa"/>
            <w:vMerge/>
            <w:vAlign w:val="center"/>
          </w:tcPr>
          <w:p w14:paraId="1DAF38B4" w14:textId="77777777" w:rsidR="00905C37" w:rsidRDefault="0090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905C37" w14:paraId="02722AED" w14:textId="77777777">
        <w:tc>
          <w:tcPr>
            <w:tcW w:w="6374" w:type="dxa"/>
            <w:shd w:val="clear" w:color="auto" w:fill="F2F2F2"/>
            <w:vAlign w:val="center"/>
          </w:tcPr>
          <w:p w14:paraId="53DBB2D7" w14:textId="77777777" w:rsidR="00905C37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4. Museu da Educação</w:t>
            </w:r>
          </w:p>
        </w:tc>
        <w:tc>
          <w:tcPr>
            <w:tcW w:w="2687" w:type="dxa"/>
            <w:shd w:val="clear" w:color="auto" w:fill="F2F2F2"/>
            <w:vAlign w:val="center"/>
          </w:tcPr>
          <w:p w14:paraId="2E68B846" w14:textId="77777777" w:rsidR="00905C3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Instituto de Ciências da Educação (ICED)</w:t>
            </w:r>
          </w:p>
        </w:tc>
      </w:tr>
      <w:tr w:rsidR="00905C37" w14:paraId="09EAFB32" w14:textId="77777777">
        <w:tc>
          <w:tcPr>
            <w:tcW w:w="6374" w:type="dxa"/>
            <w:vAlign w:val="center"/>
          </w:tcPr>
          <w:p w14:paraId="70E5833D" w14:textId="77777777" w:rsidR="00905C37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5. Núcleo de Astronomia (Nastro)</w:t>
            </w:r>
          </w:p>
        </w:tc>
        <w:tc>
          <w:tcPr>
            <w:tcW w:w="2687" w:type="dxa"/>
            <w:vMerge w:val="restart"/>
            <w:vAlign w:val="center"/>
          </w:tcPr>
          <w:p w14:paraId="2FE89D65" w14:textId="77777777" w:rsidR="00905C3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Instituto de Ciências Exatas e Naturais (ICEN)</w:t>
            </w:r>
          </w:p>
        </w:tc>
      </w:tr>
      <w:tr w:rsidR="00905C37" w14:paraId="4C0B5B46" w14:textId="77777777">
        <w:tc>
          <w:tcPr>
            <w:tcW w:w="6374" w:type="dxa"/>
            <w:vAlign w:val="center"/>
          </w:tcPr>
          <w:p w14:paraId="16B355EE" w14:textId="77777777" w:rsidR="00905C37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6. Museu Interativo da Física (MINF)</w:t>
            </w:r>
          </w:p>
        </w:tc>
        <w:tc>
          <w:tcPr>
            <w:tcW w:w="2687" w:type="dxa"/>
            <w:vMerge/>
            <w:vAlign w:val="center"/>
          </w:tcPr>
          <w:p w14:paraId="78F437BE" w14:textId="77777777" w:rsidR="00905C37" w:rsidRDefault="0090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905C37" w14:paraId="5B4A50FE" w14:textId="77777777">
        <w:tc>
          <w:tcPr>
            <w:tcW w:w="6374" w:type="dxa"/>
            <w:vAlign w:val="center"/>
          </w:tcPr>
          <w:p w14:paraId="6AB971F5" w14:textId="77777777" w:rsidR="00905C37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7. Laboratório de Demonstrações (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Labdemon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2687" w:type="dxa"/>
            <w:vMerge/>
            <w:vAlign w:val="center"/>
          </w:tcPr>
          <w:p w14:paraId="6755A290" w14:textId="77777777" w:rsidR="00905C37" w:rsidRDefault="0090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905C37" w14:paraId="78511449" w14:textId="77777777">
        <w:tc>
          <w:tcPr>
            <w:tcW w:w="6374" w:type="dxa"/>
            <w:vAlign w:val="center"/>
          </w:tcPr>
          <w:p w14:paraId="4D120294" w14:textId="146A6B35" w:rsidR="00905C37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8. Museu de Ciências, Tecnologia e Inovação (MCTI)</w:t>
            </w:r>
          </w:p>
        </w:tc>
        <w:tc>
          <w:tcPr>
            <w:tcW w:w="2687" w:type="dxa"/>
            <w:vMerge/>
            <w:vAlign w:val="center"/>
          </w:tcPr>
          <w:p w14:paraId="46F9CD98" w14:textId="77777777" w:rsidR="00905C37" w:rsidRDefault="0090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905C37" w14:paraId="3C8A3627" w14:textId="77777777">
        <w:tc>
          <w:tcPr>
            <w:tcW w:w="6374" w:type="dxa"/>
            <w:shd w:val="clear" w:color="auto" w:fill="F2F2F2"/>
            <w:vAlign w:val="center"/>
          </w:tcPr>
          <w:p w14:paraId="59842D14" w14:textId="77777777" w:rsidR="00905C37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9. Museu de Geociências (MUGEO)</w:t>
            </w:r>
          </w:p>
        </w:tc>
        <w:tc>
          <w:tcPr>
            <w:tcW w:w="2687" w:type="dxa"/>
            <w:shd w:val="clear" w:color="auto" w:fill="F2F2F2"/>
            <w:vAlign w:val="center"/>
          </w:tcPr>
          <w:p w14:paraId="3EC23C25" w14:textId="77777777" w:rsidR="00905C37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Instituto de Geociências</w:t>
            </w:r>
          </w:p>
        </w:tc>
      </w:tr>
      <w:tr w:rsidR="00905C37" w14:paraId="5018CF30" w14:textId="77777777">
        <w:tc>
          <w:tcPr>
            <w:tcW w:w="6374" w:type="dxa"/>
            <w:vAlign w:val="center"/>
          </w:tcPr>
          <w:p w14:paraId="1D4C406D" w14:textId="77777777" w:rsidR="00905C37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10. Reserva técnica do Laboratório de Antropologia Arthur Napoleão Figueiredo</w:t>
            </w:r>
          </w:p>
        </w:tc>
        <w:tc>
          <w:tcPr>
            <w:tcW w:w="2687" w:type="dxa"/>
            <w:vAlign w:val="center"/>
          </w:tcPr>
          <w:p w14:paraId="1150494D" w14:textId="77777777" w:rsidR="00905C37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Instituto de Filosofia e Ciências Humanas (IFCH)</w:t>
            </w:r>
          </w:p>
        </w:tc>
      </w:tr>
      <w:tr w:rsidR="00905C37" w14:paraId="18092252" w14:textId="77777777">
        <w:tc>
          <w:tcPr>
            <w:tcW w:w="6374" w:type="dxa"/>
            <w:shd w:val="clear" w:color="auto" w:fill="F2F2F2"/>
            <w:vAlign w:val="center"/>
          </w:tcPr>
          <w:p w14:paraId="62D13176" w14:textId="77777777" w:rsidR="00905C37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11. Coleção Documental e Bibliográfica “Prof. Dr. Habib Fraiha Neto”</w:t>
            </w:r>
          </w:p>
        </w:tc>
        <w:tc>
          <w:tcPr>
            <w:tcW w:w="2687" w:type="dxa"/>
            <w:vMerge w:val="restart"/>
            <w:shd w:val="clear" w:color="auto" w:fill="F2F2F2"/>
            <w:vAlign w:val="center"/>
          </w:tcPr>
          <w:p w14:paraId="0E637195" w14:textId="77777777" w:rsidR="00905C37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Núcleo de Medicina Tropical (NMT)</w:t>
            </w:r>
          </w:p>
        </w:tc>
      </w:tr>
      <w:tr w:rsidR="00905C37" w14:paraId="01C20FBD" w14:textId="77777777">
        <w:tc>
          <w:tcPr>
            <w:tcW w:w="6374" w:type="dxa"/>
            <w:shd w:val="clear" w:color="auto" w:fill="F2F2F2"/>
            <w:vAlign w:val="center"/>
          </w:tcPr>
          <w:p w14:paraId="31765851" w14:textId="77777777" w:rsidR="00905C37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12. Coleção Entomológica de Animais Peçonhentos da Amazônia </w:t>
            </w:r>
          </w:p>
        </w:tc>
        <w:tc>
          <w:tcPr>
            <w:tcW w:w="2687" w:type="dxa"/>
            <w:vMerge/>
            <w:shd w:val="clear" w:color="auto" w:fill="F2F2F2"/>
            <w:vAlign w:val="center"/>
          </w:tcPr>
          <w:p w14:paraId="2426DB91" w14:textId="77777777" w:rsidR="00905C37" w:rsidRDefault="00905C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0CE272C5" w14:textId="2426804D" w:rsidR="00905C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120" w:line="240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Fonte: Santos, Benchimol e Rocha</w:t>
      </w:r>
      <w:r w:rsidR="005F4CB4">
        <w:rPr>
          <w:rFonts w:ascii="Arial" w:eastAsia="Arial" w:hAnsi="Arial" w:cs="Arial"/>
          <w:color w:val="000000"/>
          <w:sz w:val="18"/>
          <w:szCs w:val="18"/>
        </w:rPr>
        <w:t xml:space="preserve"> (</w:t>
      </w:r>
      <w:r>
        <w:rPr>
          <w:rFonts w:ascii="Arial" w:eastAsia="Arial" w:hAnsi="Arial" w:cs="Arial"/>
          <w:color w:val="000000"/>
          <w:sz w:val="18"/>
          <w:szCs w:val="18"/>
        </w:rPr>
        <w:t>2022</w:t>
      </w:r>
      <w:r w:rsidR="005F4CB4">
        <w:rPr>
          <w:rFonts w:ascii="Arial" w:eastAsia="Arial" w:hAnsi="Arial" w:cs="Arial"/>
          <w:color w:val="000000"/>
          <w:sz w:val="18"/>
          <w:szCs w:val="18"/>
        </w:rPr>
        <w:t>)</w:t>
      </w:r>
    </w:p>
    <w:p w14:paraId="19D06EA5" w14:textId="3076101C" w:rsidR="00905C37" w:rsidRDefault="00000000" w:rsidP="002047D9">
      <w:pPr>
        <w:pStyle w:val="textoepca"/>
      </w:pPr>
      <w:r>
        <w:t>Definido o corpus, busca</w:t>
      </w:r>
      <w:r w:rsidR="0055336B">
        <w:t xml:space="preserve">mos </w:t>
      </w:r>
      <w:r>
        <w:t xml:space="preserve">as manifestações físicas e virtuais dos museus e coleções. </w:t>
      </w:r>
      <w:r w:rsidR="0055336B">
        <w:t xml:space="preserve">Em </w:t>
      </w:r>
      <w:r>
        <w:t>setembro de 2024, coletamos os logotipos e outros elementos de identidade visual por pesquisa documental online (site e “conta” nas redes sociais, quando existentes) e em visitas observacionais na UFPA (campus Guamá)</w:t>
      </w:r>
      <w:r w:rsidR="0055336B">
        <w:t xml:space="preserve">, </w:t>
      </w:r>
      <w:r>
        <w:t>no Museu da UFPA (bairro de Nazaré)</w:t>
      </w:r>
      <w:r w:rsidR="0055336B">
        <w:t xml:space="preserve"> e no Núcleo de Medicina Tropical (bairro Umarizal)</w:t>
      </w:r>
      <w:r>
        <w:t xml:space="preserve">. </w:t>
      </w:r>
    </w:p>
    <w:p w14:paraId="75FA2CEC" w14:textId="31EF14A4" w:rsidR="002047D9" w:rsidRDefault="002047D9" w:rsidP="002047D9">
      <w:pPr>
        <w:pStyle w:val="textoepca"/>
      </w:pPr>
      <w:r>
        <w:t xml:space="preserve">A análise dos logotipos foi apoiada na semiótica peirceana, seguindo as três dimensões da semiose – a sintática, a semântica e a pragmática – estabelecidas por Morris (1938), seguidor de Charles Sanders Peirce (Nöth, 1990). Para Morris, a dimensão sintática se refere aos elementos compositivos formais, as relações e combinações entre esses elementos sígnicos (Morris, 1938, p. 16). A dimensão semântica, seguindo Peirce, se refere à relação entre o signo e o objeto que ele representa, classificada em três níveis: icônico (signo que evoca o objeto por semelhança), indicial (indica por coordenadas espaço-temporais) e simbólico (representa por convenção, regra). Por sua vez, a dimensão pragmática refere-se à relação dos signos com seus intérpretes, envolvendo os aspectos biológicos, </w:t>
      </w:r>
      <w:r>
        <w:lastRenderedPageBreak/>
        <w:t>psicológicos e sociológicos dos comportamentos, situações e hábitos de uso dos signos (Morris, 1938, p. 30).</w:t>
      </w:r>
    </w:p>
    <w:p w14:paraId="6C316C55" w14:textId="77777777" w:rsidR="00905C37" w:rsidRDefault="00905C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F15E227" w14:textId="77777777" w:rsidR="00905C37" w:rsidRDefault="00000000">
      <w:pPr>
        <w:pStyle w:val="Ttulo1"/>
      </w:pPr>
      <w:r>
        <w:t xml:space="preserve">2. ANÁLISE E COMENTÁRIO DO CONTEÚDO </w:t>
      </w:r>
    </w:p>
    <w:p w14:paraId="4591D3F3" w14:textId="77777777" w:rsidR="00905C37" w:rsidRDefault="00000000" w:rsidP="00ED725E">
      <w:pPr>
        <w:pStyle w:val="textoepca"/>
      </w:pPr>
      <w:r>
        <w:t xml:space="preserve">A seguir, analisaremos os logotipos dos museus e coleções da UFPA na seguinte ordem: </w:t>
      </w:r>
    </w:p>
    <w:p w14:paraId="067CECB2" w14:textId="77777777" w:rsidR="00905C37" w:rsidRDefault="00000000" w:rsidP="004B1552">
      <w:pPr>
        <w:pStyle w:val="itens"/>
        <w:spacing w:line="216" w:lineRule="auto"/>
      </w:pPr>
      <w:r>
        <w:rPr>
          <w:u w:val="single"/>
        </w:rPr>
        <w:t>Análise sintática</w:t>
      </w:r>
      <w:r>
        <w:t>: descrição dos componentes formais dos logotipos: o lettering, o colouring e o drawing (Lencastre e Côrte-Real, 2007);</w:t>
      </w:r>
    </w:p>
    <w:p w14:paraId="01910CDC" w14:textId="77777777" w:rsidR="00905C37" w:rsidRDefault="00000000" w:rsidP="004B1552">
      <w:pPr>
        <w:pStyle w:val="itens"/>
        <w:spacing w:line="216" w:lineRule="auto"/>
      </w:pPr>
      <w:r>
        <w:rPr>
          <w:u w:val="single"/>
        </w:rPr>
        <w:t>Análise semântica</w:t>
      </w:r>
      <w:r>
        <w:t>: classificação dos logotipos segundo os modos em que referenciam os respectivos museus e coleções;</w:t>
      </w:r>
    </w:p>
    <w:p w14:paraId="34A6FD22" w14:textId="77777777" w:rsidR="00905C37" w:rsidRDefault="00000000" w:rsidP="004B1552">
      <w:pPr>
        <w:pStyle w:val="itens"/>
        <w:spacing w:line="216" w:lineRule="auto"/>
      </w:pPr>
      <w:r>
        <w:rPr>
          <w:u w:val="single"/>
        </w:rPr>
        <w:t>Análise pragmática</w:t>
      </w:r>
      <w:r>
        <w:t>: discussão das condições de uso dos logotipos.</w:t>
      </w:r>
    </w:p>
    <w:p w14:paraId="0549D773" w14:textId="77777777" w:rsidR="00905C37" w:rsidRDefault="00905C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1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CDB0A70" w14:textId="1ACC1B34" w:rsidR="00905C37" w:rsidRDefault="00000000">
      <w:pPr>
        <w:pStyle w:val="Subttulo"/>
      </w:pPr>
      <w:r>
        <w:t xml:space="preserve">2.1 Museu da UFPA </w:t>
      </w:r>
      <w:r w:rsidR="00E4113B">
        <w:t xml:space="preserve">- </w:t>
      </w:r>
      <w:r>
        <w:t>MUFPA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62BD604" wp14:editId="4ABE1E1C">
            <wp:simplePos x="0" y="0"/>
            <wp:positionH relativeFrom="column">
              <wp:posOffset>1</wp:posOffset>
            </wp:positionH>
            <wp:positionV relativeFrom="paragraph">
              <wp:posOffset>77959</wp:posOffset>
            </wp:positionV>
            <wp:extent cx="1124159" cy="602561"/>
            <wp:effectExtent l="0" t="0" r="0" b="0"/>
            <wp:wrapSquare wrapText="bothSides" distT="0" distB="0" distL="114300" distR="114300"/>
            <wp:docPr id="4" name="image4.png" descr="Desenho de um círculo&#10;&#10;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Desenho de um círculo&#10;&#10;Descrição gerada automaticamente com confiança média"/>
                    <pic:cNvPicPr preferRelativeResize="0"/>
                  </pic:nvPicPr>
                  <pic:blipFill>
                    <a:blip r:embed="rId8"/>
                    <a:srcRect l="31729" t="3982" r="30864" b="3926"/>
                    <a:stretch>
                      <a:fillRect/>
                    </a:stretch>
                  </pic:blipFill>
                  <pic:spPr>
                    <a:xfrm>
                      <a:off x="0" y="0"/>
                      <a:ext cx="1124159" cy="6025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2C60F5" w14:textId="61B776E8" w:rsidR="00905C37" w:rsidRDefault="00000000" w:rsidP="00ED725E">
      <w:pPr>
        <w:pStyle w:val="analise"/>
        <w:rPr>
          <w:color w:val="000000"/>
        </w:rPr>
      </w:pPr>
      <w:r>
        <w:rPr>
          <w:u w:val="single"/>
        </w:rPr>
        <w:t>Lettering</w:t>
      </w:r>
      <w:r w:rsidR="00A07E29">
        <w:t xml:space="preserve"> em </w:t>
      </w:r>
      <w:r>
        <w:t>duas linhas</w:t>
      </w:r>
      <w:r w:rsidR="00A07E29">
        <w:t>,</w:t>
      </w:r>
      <w:r>
        <w:t xml:space="preserve"> composição blocada, “MUSEU” em caixa alta serifada, “da” em caixa baixa serifada, sigla da universidade em negrito, sem serifa. </w:t>
      </w:r>
      <w:r>
        <w:rPr>
          <w:u w:val="single"/>
        </w:rPr>
        <w:t>Colouring</w:t>
      </w:r>
      <w:r>
        <w:t xml:space="preserve">: </w:t>
      </w:r>
      <w:r w:rsidR="00A07E29">
        <w:t>l</w:t>
      </w:r>
      <w:r>
        <w:t xml:space="preserve">ogo em negativo – branco sobre fundo preto ou escuro –, com losango em laranja. </w:t>
      </w:r>
      <w:r>
        <w:rPr>
          <w:color w:val="000000"/>
          <w:u w:val="single"/>
        </w:rPr>
        <w:t>Drawing</w:t>
      </w:r>
      <w:r>
        <w:rPr>
          <w:color w:val="000000"/>
        </w:rPr>
        <w:t>:</w:t>
      </w:r>
      <w:r>
        <w:rPr>
          <w:color w:val="4F81BD"/>
        </w:rPr>
        <w:t xml:space="preserve"> </w:t>
      </w:r>
      <w:r>
        <w:t xml:space="preserve">apenas um losango sob a preposição “da” e uma linha fina separando as duas linhas tipográficas. </w:t>
      </w:r>
      <w:r>
        <w:rPr>
          <w:color w:val="000000"/>
          <w:u w:val="single"/>
        </w:rPr>
        <w:t xml:space="preserve">Na </w:t>
      </w:r>
      <w:r>
        <w:rPr>
          <w:u w:val="single"/>
        </w:rPr>
        <w:t>dimensão semântica</w:t>
      </w:r>
      <w:r>
        <w:t xml:space="preserve">, a caixa alta transmite força e autoridade, a fonte serifada remete a tradição clássica, a fonte sem serifa (“UFPA”), modernidade. </w:t>
      </w:r>
      <w:r>
        <w:rPr>
          <w:u w:val="single"/>
        </w:rPr>
        <w:t>Pragmaticamente</w:t>
      </w:r>
      <w:r>
        <w:t>, o logotipo é aplicado de modo consistente nos poucos materiais de identificação (placas externas do palacete que abriga o museu) e na presença digital (sites e redes sociais).</w:t>
      </w:r>
    </w:p>
    <w:p w14:paraId="13909FC0" w14:textId="77777777" w:rsidR="00905C37" w:rsidRDefault="00905C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1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E4D4F42" w14:textId="77777777" w:rsidR="00905C37" w:rsidRDefault="00000000">
      <w:pPr>
        <w:pStyle w:val="Subttulo"/>
      </w:pPr>
      <w:r>
        <w:t xml:space="preserve">2.2 Museu de Zoologia </w:t>
      </w:r>
    </w:p>
    <w:p w14:paraId="66E66DE4" w14:textId="56598470" w:rsidR="00905C37" w:rsidRDefault="00000000" w:rsidP="00ED725E">
      <w:pPr>
        <w:pStyle w:val="analise"/>
      </w:pPr>
      <w:r>
        <w:rPr>
          <w:u w:val="single"/>
        </w:rPr>
        <w:t>Lettering</w:t>
      </w:r>
      <w:r>
        <w:t xml:space="preserve"> serifado em caixa alta e baixa. </w:t>
      </w:r>
      <w:r>
        <w:rPr>
          <w:u w:val="single"/>
        </w:rPr>
        <w:t>Colouring</w:t>
      </w:r>
      <w:r>
        <w:t xml:space="preserve">: acromático (letras pretas sobre fundo branco. </w:t>
      </w:r>
      <w:r>
        <w:rPr>
          <w:u w:val="single"/>
        </w:rPr>
        <w:t>Drawing</w:t>
      </w:r>
      <w:r>
        <w:t xml:space="preserve">: inexistente. </w:t>
      </w:r>
      <w:r>
        <w:rPr>
          <w:u w:val="single"/>
        </w:rPr>
        <w:t>Semanticamente</w:t>
      </w:r>
      <w:r>
        <w:t>, a fonte tipográfica Times Roman, básica e clássica do pacote Office, aplicada em preto sobre um sulfite mofado, expressa a precariedade e fa</w:t>
      </w:r>
      <w:r w:rsidR="004D25CD">
        <w:t>l</w:t>
      </w:r>
      <w:r>
        <w:t>ta de recursos destinado</w:t>
      </w:r>
      <w:r w:rsidR="004D25CD">
        <w:t>s</w:t>
      </w:r>
      <w:r>
        <w:t xml:space="preserve"> ao museu. </w:t>
      </w:r>
      <w:r>
        <w:rPr>
          <w:u w:val="single"/>
        </w:rPr>
        <w:t>Pragmaticamente</w:t>
      </w:r>
      <w:r>
        <w:t>, não podemos considerar como logotipo um recurso de identificação improvisado.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A95FD06" wp14:editId="6718BBC0">
            <wp:simplePos x="0" y="0"/>
            <wp:positionH relativeFrom="column">
              <wp:posOffset>4394200</wp:posOffset>
            </wp:positionH>
            <wp:positionV relativeFrom="paragraph">
              <wp:posOffset>55880</wp:posOffset>
            </wp:positionV>
            <wp:extent cx="1311275" cy="972820"/>
            <wp:effectExtent l="0" t="0" r="0" b="0"/>
            <wp:wrapSquare wrapText="bothSides" distT="0" distB="0" distL="114300" distR="11430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972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112B8A4" w14:textId="77777777" w:rsidR="00905C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1"/>
        <w:jc w:val="both"/>
        <w:rPr>
          <w:rFonts w:ascii="Arial" w:eastAsia="Arial" w:hAnsi="Arial" w:cs="Arial"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3AE7963B" wp14:editId="617B3B56">
            <wp:simplePos x="0" y="0"/>
            <wp:positionH relativeFrom="column">
              <wp:posOffset>1</wp:posOffset>
            </wp:positionH>
            <wp:positionV relativeFrom="paragraph">
              <wp:posOffset>177800</wp:posOffset>
            </wp:positionV>
            <wp:extent cx="2206019" cy="634957"/>
            <wp:effectExtent l="0" t="0" r="0" b="0"/>
            <wp:wrapSquare wrapText="bothSides" distT="0" distB="0" distL="114300" distR="11430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6019" cy="6349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424C3D" w14:textId="77777777" w:rsidR="00905C37" w:rsidRDefault="00000000">
      <w:pPr>
        <w:pStyle w:val="Subttulo"/>
      </w:pPr>
      <w:r>
        <w:t>2.3 Museu de Anatomia Humana (versões A e B)</w:t>
      </w:r>
    </w:p>
    <w:p w14:paraId="28737FC7" w14:textId="4A7619DB" w:rsidR="00905C37" w:rsidRDefault="00000000" w:rsidP="00ED725E">
      <w:pPr>
        <w:pStyle w:val="analise"/>
      </w:pPr>
      <w:r>
        <w:rPr>
          <w:u w:val="single"/>
        </w:rPr>
        <w:t>Lettering</w:t>
      </w:r>
      <w:r>
        <w:t xml:space="preserve"> em caixa alta e sem serifa, alinhado à esquerda; iniciais deslocadas para a esquerda, em negativo, formando a sigla do laboratório na vertical. Na versão mais usada (B), a sigla do instituto e da universidade fecham a composição, em alinhamento centralizado. </w:t>
      </w:r>
      <w:r>
        <w:rPr>
          <w:u w:val="single"/>
        </w:rPr>
        <w:t>Colouring</w:t>
      </w:r>
      <w:r>
        <w:t xml:space="preserve">: logos monocromáticos em azul. </w:t>
      </w:r>
      <w:r>
        <w:rPr>
          <w:u w:val="single"/>
        </w:rPr>
        <w:t>Drawing</w:t>
      </w:r>
      <w:r>
        <w:t>: esqueleto de crânio humano, versão A em meio-perfil, versão B em ângulo frontal</w:t>
      </w:r>
      <w:r w:rsidR="00A07E29">
        <w:t>,</w:t>
      </w:r>
      <w:r>
        <w:t xml:space="preserve"> cortado</w:t>
      </w:r>
      <w:r w:rsidR="00A07E29">
        <w:t xml:space="preserve"> </w:t>
      </w:r>
      <w:r>
        <w:t>por retângulo vertical azul</w:t>
      </w:r>
      <w:r w:rsidR="00A07E29">
        <w:t>,</w:t>
      </w:r>
      <w:r w:rsidR="00A07E29">
        <w:t xml:space="preserve"> à </w:t>
      </w:r>
      <w:r w:rsidR="00A07E29">
        <w:t>direita</w:t>
      </w:r>
      <w:r>
        <w:t xml:space="preserve">. </w:t>
      </w:r>
      <w:r>
        <w:rPr>
          <w:u w:val="single"/>
        </w:rPr>
        <w:t>Na dimensão semântica</w:t>
      </w:r>
      <w:r w:rsidRPr="002F26C3">
        <w:t>,</w:t>
      </w:r>
      <w:r>
        <w:t xml:space="preserve"> o esqueleto humano remete inicialmente ao acervo, e por sua vez, ao tipo de laboratório.</w:t>
      </w:r>
      <w:r>
        <w:rPr>
          <w:color w:val="4F81BD"/>
        </w:rPr>
        <w:t xml:space="preserve"> </w:t>
      </w:r>
      <w:r>
        <w:rPr>
          <w:color w:val="000000"/>
          <w:u w:val="single"/>
        </w:rPr>
        <w:t>Pragmaticamente</w:t>
      </w:r>
      <w:r>
        <w:rPr>
          <w:color w:val="000000"/>
        </w:rPr>
        <w:t xml:space="preserve">, existe a inconsistência de uso: enquanto nos </w:t>
      </w:r>
      <w:r>
        <w:t>materiais físicos (placas de identificação) é utilizada a versão B, nos pontos-de-contato digitais, é utilizada a versão A. Ainda que similares, são versões diferentes.</w:t>
      </w:r>
    </w:p>
    <w:p w14:paraId="71F9B0EF" w14:textId="77777777" w:rsidR="00905C37" w:rsidRDefault="00905C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305B125" w14:textId="77777777" w:rsidR="00905C37" w:rsidRDefault="00000000">
      <w:pPr>
        <w:pStyle w:val="Subttulo"/>
      </w:pPr>
      <w:r>
        <w:lastRenderedPageBreak/>
        <w:t>2.4 Museu da Educação - ME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4FA02D48" wp14:editId="4EF5F13B">
            <wp:simplePos x="0" y="0"/>
            <wp:positionH relativeFrom="column">
              <wp:posOffset>1</wp:posOffset>
            </wp:positionH>
            <wp:positionV relativeFrom="paragraph">
              <wp:posOffset>27940</wp:posOffset>
            </wp:positionV>
            <wp:extent cx="2326640" cy="476885"/>
            <wp:effectExtent l="0" t="0" r="0" b="0"/>
            <wp:wrapSquare wrapText="bothSides" distT="0" distB="0" distL="114300" distR="11430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l="14696" t="13650" r="14340" b="6882"/>
                    <a:stretch>
                      <a:fillRect/>
                    </a:stretch>
                  </pic:blipFill>
                  <pic:spPr>
                    <a:xfrm>
                      <a:off x="0" y="0"/>
                      <a:ext cx="2326640" cy="476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C6996B5" w14:textId="2FCACA70" w:rsidR="00905C37" w:rsidRPr="002F26C3" w:rsidRDefault="00000000" w:rsidP="00ED725E">
      <w:pPr>
        <w:pStyle w:val="analise"/>
      </w:pPr>
      <w:r w:rsidRPr="002047D9">
        <w:rPr>
          <w:u w:val="single"/>
        </w:rPr>
        <w:t>Lettering</w:t>
      </w:r>
      <w:r w:rsidRPr="002047D9">
        <w:t xml:space="preserve"> da sigla e nome do museu em caixa alta, sem serifa e em negativo, com sombra cinza clara. A sigla (em caixa alta) e o nome da universidade (em caixa alta e baixa) fecham a composição. </w:t>
      </w:r>
      <w:r w:rsidRPr="002047D9">
        <w:rPr>
          <w:u w:val="single"/>
        </w:rPr>
        <w:t>Colouring</w:t>
      </w:r>
      <w:r w:rsidRPr="002047D9">
        <w:t xml:space="preserve">: letras em branco sobre foto escurecida, </w:t>
      </w:r>
      <w:proofErr w:type="spellStart"/>
      <w:r w:rsidRPr="002047D9">
        <w:t>de</w:t>
      </w:r>
      <w:r w:rsidR="00A07E29" w:rsidRPr="002047D9">
        <w:t>s</w:t>
      </w:r>
      <w:r w:rsidRPr="002047D9">
        <w:t>saturada</w:t>
      </w:r>
      <w:proofErr w:type="spellEnd"/>
      <w:r w:rsidRPr="002047D9">
        <w:t xml:space="preserve">. </w:t>
      </w:r>
      <w:r w:rsidRPr="002047D9">
        <w:rPr>
          <w:u w:val="single"/>
        </w:rPr>
        <w:t>Drawing</w:t>
      </w:r>
      <w:r w:rsidRPr="002047D9">
        <w:t xml:space="preserve">: inexistente (foto de fundo com prédios comerciais e tombados da área central de Belém). </w:t>
      </w:r>
      <w:r w:rsidRPr="002047D9">
        <w:rPr>
          <w:u w:val="single"/>
        </w:rPr>
        <w:t>Semanticamente</w:t>
      </w:r>
      <w:r w:rsidRPr="002047D9">
        <w:t xml:space="preserve">, as palavras descrevem o tipo de museu, uma vez que, </w:t>
      </w:r>
      <w:r w:rsidRPr="002047D9">
        <w:rPr>
          <w:u w:val="single"/>
        </w:rPr>
        <w:t>pragmaticamente</w:t>
      </w:r>
      <w:r w:rsidRPr="002047D9">
        <w:t xml:space="preserve"> falando, se trata da mera digitação do nome do museu no site da instituição, e não propriamente um logotipo</w:t>
      </w:r>
      <w:r w:rsidR="00376FC8" w:rsidRPr="002047D9">
        <w:t xml:space="preserve"> (</w:t>
      </w:r>
      <w:r w:rsidR="00B473EA" w:rsidRPr="002047D9">
        <w:t>apenas</w:t>
      </w:r>
      <w:r w:rsidRPr="002047D9">
        <w:t xml:space="preserve"> placas de identificação </w:t>
      </w:r>
      <w:r w:rsidR="00376FC8" w:rsidRPr="002047D9">
        <w:t>seguido um padrão de</w:t>
      </w:r>
      <w:r w:rsidRPr="002047D9">
        <w:t xml:space="preserve"> </w:t>
      </w:r>
      <w:r w:rsidR="00376FC8" w:rsidRPr="002047D9">
        <w:t>programação</w:t>
      </w:r>
      <w:r w:rsidRPr="002047D9">
        <w:t xml:space="preserve"> visual do </w:t>
      </w:r>
      <w:r w:rsidR="00376FC8" w:rsidRPr="002047D9">
        <w:t>Instituto de Ciências da Educação)</w:t>
      </w:r>
      <w:r w:rsidRPr="002047D9">
        <w:t>.</w:t>
      </w:r>
    </w:p>
    <w:p w14:paraId="59C7756B" w14:textId="77777777" w:rsidR="00905C37" w:rsidRDefault="00905C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3F077A4" w14:textId="64919725" w:rsidR="00905C37" w:rsidRDefault="00000000">
      <w:pPr>
        <w:pStyle w:val="Subttulo"/>
      </w:pPr>
      <w:r>
        <w:t xml:space="preserve">2.5 Núcleo de Astronomia </w:t>
      </w:r>
      <w:r w:rsidR="002E3714">
        <w:t>-</w:t>
      </w:r>
      <w:r>
        <w:t xml:space="preserve"> Nastro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4C34489D" wp14:editId="0CD28342">
            <wp:simplePos x="0" y="0"/>
            <wp:positionH relativeFrom="column">
              <wp:posOffset>-7619</wp:posOffset>
            </wp:positionH>
            <wp:positionV relativeFrom="paragraph">
              <wp:posOffset>14604</wp:posOffset>
            </wp:positionV>
            <wp:extent cx="675005" cy="679450"/>
            <wp:effectExtent l="0" t="0" r="0" b="0"/>
            <wp:wrapSquare wrapText="bothSides" distT="0" distB="0" distL="114300" distR="11430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l="10514" t="8526" r="11642" b="10257"/>
                    <a:stretch>
                      <a:fillRect/>
                    </a:stretch>
                  </pic:blipFill>
                  <pic:spPr>
                    <a:xfrm>
                      <a:off x="0" y="0"/>
                      <a:ext cx="675005" cy="679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2AAC63" w14:textId="1ECFC71C" w:rsidR="00905C37" w:rsidRPr="002F26C3" w:rsidRDefault="00000000" w:rsidP="00ED725E">
      <w:pPr>
        <w:pStyle w:val="analise"/>
        <w:rPr>
          <w:color w:val="4F81BD"/>
        </w:rPr>
      </w:pPr>
      <w:r w:rsidRPr="002F26C3">
        <w:rPr>
          <w:u w:val="single"/>
        </w:rPr>
        <w:t>Lettering</w:t>
      </w:r>
      <w:r w:rsidRPr="002F26C3">
        <w:t xml:space="preserve"> da sigla do núcleo e da universidade em caixa alta, nome do núcleo em caixa alta e baixa, tudo em fonte sem serifa, peso regular, seguindo uma linha-base circular. </w:t>
      </w:r>
      <w:r w:rsidRPr="002F26C3">
        <w:rPr>
          <w:u w:val="single"/>
        </w:rPr>
        <w:t>Colouring</w:t>
      </w:r>
      <w:r w:rsidRPr="002F26C3">
        <w:t xml:space="preserve">: vermelho, azul e branco da bandeira do Estado do Pará. </w:t>
      </w:r>
      <w:r w:rsidRPr="002F26C3">
        <w:rPr>
          <w:u w:val="single"/>
        </w:rPr>
        <w:t>Drawing</w:t>
      </w:r>
      <w:r w:rsidRPr="002F26C3">
        <w:t xml:space="preserve">: estrela, faixa e telescópio em selo circular, reproduzindo a observação do céu. </w:t>
      </w:r>
      <w:r w:rsidRPr="002F26C3">
        <w:rPr>
          <w:u w:val="single"/>
        </w:rPr>
        <w:t>Na dimensão semântica</w:t>
      </w:r>
      <w:r w:rsidRPr="002F26C3">
        <w:t>, o logo inspirado na bandeira transmite orgulho em ser paraense e indica a natureza do núcleo (astronomia).</w:t>
      </w:r>
      <w:r w:rsidRPr="002F26C3">
        <w:rPr>
          <w:color w:val="4F81BD"/>
        </w:rPr>
        <w:t xml:space="preserve"> </w:t>
      </w:r>
      <w:r w:rsidRPr="002F26C3">
        <w:rPr>
          <w:color w:val="000000"/>
          <w:u w:val="single"/>
        </w:rPr>
        <w:t>Pragmaticamente</w:t>
      </w:r>
      <w:r w:rsidRPr="002F26C3">
        <w:t xml:space="preserve">, o logotipo </w:t>
      </w:r>
      <w:r w:rsidR="00376FC8" w:rsidRPr="002F26C3">
        <w:t>é usado com consistência ao longo dos pontos-de-contato físicos</w:t>
      </w:r>
      <w:r w:rsidR="001E3644" w:rsidRPr="002F26C3">
        <w:t xml:space="preserve"> externos</w:t>
      </w:r>
      <w:r w:rsidR="00376FC8" w:rsidRPr="002F26C3">
        <w:t xml:space="preserve"> (placas de sinalização) e virtuais (site</w:t>
      </w:r>
      <w:r w:rsidR="001E3644" w:rsidRPr="002F26C3">
        <w:t xml:space="preserve">). Porém, a placa de identificação na porta é a digitação do nome do núcleo, em Times Roman. </w:t>
      </w:r>
    </w:p>
    <w:p w14:paraId="3F243BB0" w14:textId="77777777" w:rsidR="00905C3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030234C0" wp14:editId="06AE5EF4">
            <wp:simplePos x="0" y="0"/>
            <wp:positionH relativeFrom="column">
              <wp:posOffset>-13334</wp:posOffset>
            </wp:positionH>
            <wp:positionV relativeFrom="paragraph">
              <wp:posOffset>179070</wp:posOffset>
            </wp:positionV>
            <wp:extent cx="1183640" cy="749300"/>
            <wp:effectExtent l="0" t="0" r="0" b="0"/>
            <wp:wrapSquare wrapText="bothSides" distT="0" distB="0" distL="114300" distR="114300"/>
            <wp:docPr id="2" name="image1.png" descr="Diagrama, Forma, Círcul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iagrama, Forma, Círculo&#10;&#10;Descrição gerada automaticamente"/>
                    <pic:cNvPicPr preferRelativeResize="0"/>
                  </pic:nvPicPr>
                  <pic:blipFill>
                    <a:blip r:embed="rId13"/>
                    <a:srcRect l="2280" t="2086" r="2918" b="3024"/>
                    <a:stretch>
                      <a:fillRect/>
                    </a:stretch>
                  </pic:blipFill>
                  <pic:spPr>
                    <a:xfrm>
                      <a:off x="0" y="0"/>
                      <a:ext cx="1183640" cy="74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C12B417" w14:textId="77777777" w:rsidR="00905C37" w:rsidRDefault="00000000">
      <w:pPr>
        <w:pStyle w:val="Subttulo"/>
      </w:pPr>
      <w:r>
        <w:t>2.6 Museu Interativo de Física</w:t>
      </w:r>
    </w:p>
    <w:p w14:paraId="2493B870" w14:textId="6AAD8844" w:rsidR="00905C37" w:rsidRPr="002F26C3" w:rsidRDefault="00000000" w:rsidP="00ED725E">
      <w:pPr>
        <w:pStyle w:val="analise"/>
        <w:rPr>
          <w:color w:val="4F81BD"/>
        </w:rPr>
      </w:pPr>
      <w:r w:rsidRPr="002F26C3">
        <w:rPr>
          <w:u w:val="single"/>
        </w:rPr>
        <w:t>Lettering</w:t>
      </w:r>
      <w:r w:rsidRPr="002F26C3">
        <w:t xml:space="preserve"> do nome do museu em versal e versalete, fonte serifada. </w:t>
      </w:r>
      <w:r w:rsidRPr="002F26C3">
        <w:rPr>
          <w:u w:val="single"/>
        </w:rPr>
        <w:t>Colouring</w:t>
      </w:r>
      <w:r w:rsidRPr="002F26C3">
        <w:t xml:space="preserve">: </w:t>
      </w:r>
      <w:r w:rsidR="00A07E29">
        <w:t>f</w:t>
      </w:r>
      <w:r w:rsidRPr="002F26C3">
        <w:t xml:space="preserve">oto de fundo e modelo de átomo em preto e branco, contorno da foto em gradiente laranja-amarelo. </w:t>
      </w:r>
      <w:r w:rsidRPr="002F26C3">
        <w:rPr>
          <w:u w:val="single"/>
        </w:rPr>
        <w:t>Drawing</w:t>
      </w:r>
      <w:r w:rsidRPr="002F26C3">
        <w:t xml:space="preserve">: fotografia aérea da tentativa de inflagem de um balão em frente ao Forte do Castelo (1884); Modelo 3D de um átomo, de Niels Bohr (1913). </w:t>
      </w:r>
      <w:r w:rsidRPr="002F26C3">
        <w:rPr>
          <w:u w:val="single"/>
        </w:rPr>
        <w:t>Na dimensão semântica</w:t>
      </w:r>
      <w:r w:rsidRPr="002F26C3">
        <w:t>, a foto antiga de um importante evento científico e o antigo e icônico modelo atômico transmitem a ideia de tradição e da importância do</w:t>
      </w:r>
      <w:r w:rsidR="003923E1">
        <w:t>s</w:t>
      </w:r>
      <w:r w:rsidRPr="002F26C3">
        <w:t xml:space="preserve"> estudos da física</w:t>
      </w:r>
      <w:r w:rsidRPr="002F26C3">
        <w:rPr>
          <w:color w:val="4F81BD"/>
        </w:rPr>
        <w:t xml:space="preserve">. </w:t>
      </w:r>
      <w:r w:rsidRPr="002F26C3">
        <w:rPr>
          <w:color w:val="000000"/>
          <w:u w:val="single"/>
        </w:rPr>
        <w:t>Pragmaticamente</w:t>
      </w:r>
      <w:r w:rsidRPr="002F26C3">
        <w:t>, o</w:t>
      </w:r>
      <w:r w:rsidR="007F323F" w:rsidRPr="002F26C3">
        <w:t>corre o mesmo que o Nastro – consistência em pontos-de-conato físicos externos e virtuais, inconsistência na identificação do museu (na porta).</w:t>
      </w:r>
    </w:p>
    <w:p w14:paraId="521771AF" w14:textId="77777777" w:rsidR="00905C37" w:rsidRDefault="00905C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8712DF9" w14:textId="77777777" w:rsidR="00905C37" w:rsidRDefault="00000000">
      <w:pPr>
        <w:pStyle w:val="Subttulo"/>
      </w:pPr>
      <w:r>
        <w:t>2.7 Laboratório de Demonstrações</w:t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6A7D68C5" wp14:editId="68292BE4">
            <wp:simplePos x="0" y="0"/>
            <wp:positionH relativeFrom="column">
              <wp:posOffset>1</wp:posOffset>
            </wp:positionH>
            <wp:positionV relativeFrom="paragraph">
              <wp:posOffset>45085</wp:posOffset>
            </wp:positionV>
            <wp:extent cx="1334728" cy="649282"/>
            <wp:effectExtent l="0" t="0" r="0" b="0"/>
            <wp:wrapSquare wrapText="bothSides" distT="0" distB="0" distL="114300" distR="114300"/>
            <wp:docPr id="3" name="image3.png" descr="Text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Texto&#10;&#10;Descrição gerada automaticamente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4728" cy="6492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FD9CC5" w14:textId="6F919C96" w:rsidR="00905C37" w:rsidRPr="002F26C3" w:rsidRDefault="00000000" w:rsidP="00ED725E">
      <w:pPr>
        <w:pStyle w:val="analise"/>
        <w:rPr>
          <w:color w:val="4F81BD"/>
        </w:rPr>
      </w:pPr>
      <w:r w:rsidRPr="002F26C3">
        <w:rPr>
          <w:u w:val="single"/>
        </w:rPr>
        <w:t>Lettering</w:t>
      </w:r>
      <w:r w:rsidRPr="002F26C3">
        <w:t xml:space="preserve"> do nome do laboratório em negativo, em fonte arredondada e extra negrito, com serifa e contorno. Sigla da universidade em fonte regular sem serifa, caixa alta. O slogan fecha a composição em alinhamento centralizado. </w:t>
      </w:r>
      <w:r w:rsidRPr="002F26C3">
        <w:rPr>
          <w:u w:val="single"/>
        </w:rPr>
        <w:t>Colouring</w:t>
      </w:r>
      <w:r w:rsidRPr="002F26C3">
        <w:t xml:space="preserve">: </w:t>
      </w:r>
      <w:r w:rsidR="00A07E29">
        <w:t>b</w:t>
      </w:r>
      <w:r w:rsidRPr="002F26C3">
        <w:t xml:space="preserve">icromático em azul marinho e vermelho, com detalhes em preto (suporte do eletrodo central). </w:t>
      </w:r>
      <w:r w:rsidRPr="002F26C3">
        <w:rPr>
          <w:u w:val="single"/>
        </w:rPr>
        <w:t>Drawing</w:t>
      </w:r>
      <w:r w:rsidRPr="002F26C3">
        <w:t xml:space="preserve">: ilustração em traço fino, uniforme, de uma mão interagindo com um globo de plasma (conhecido experimento da Eletricidade). </w:t>
      </w:r>
      <w:r w:rsidRPr="002F26C3">
        <w:rPr>
          <w:u w:val="single"/>
        </w:rPr>
        <w:t>Na dimensão semântica</w:t>
      </w:r>
      <w:r w:rsidRPr="002F26C3">
        <w:t>, as cores remetem à regionalidade paraense (orgulho), enquanto a ilustração reproduz “didaticamente” o reconhecido experimento, indicando a atividade do laboratório.</w:t>
      </w:r>
      <w:r w:rsidR="00EA66D0">
        <w:t xml:space="preserve"> </w:t>
      </w:r>
      <w:r w:rsidR="007F323F" w:rsidRPr="002F26C3">
        <w:rPr>
          <w:color w:val="000000"/>
          <w:u w:val="single"/>
        </w:rPr>
        <w:t>Pragmaticamente</w:t>
      </w:r>
      <w:r w:rsidR="007F323F" w:rsidRPr="002F26C3">
        <w:t xml:space="preserve">, ocorre o mesmo que o Nastro e </w:t>
      </w:r>
      <w:r w:rsidR="00EA66D0">
        <w:t xml:space="preserve">o </w:t>
      </w:r>
      <w:r w:rsidR="007F323F" w:rsidRPr="002F26C3">
        <w:t>Museu Interativo de Física.</w:t>
      </w:r>
    </w:p>
    <w:p w14:paraId="14742050" w14:textId="77777777" w:rsidR="00905C37" w:rsidRDefault="00905C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608625F" w14:textId="77777777" w:rsidR="00905C37" w:rsidRDefault="00000000">
      <w:pPr>
        <w:pStyle w:val="Subttulo"/>
      </w:pPr>
      <w:r>
        <w:t>2.8 Museu de Ciências, Tecnologia e Inovação - MCTI</w:t>
      </w:r>
    </w:p>
    <w:p w14:paraId="4AB2B106" w14:textId="4F6B888D" w:rsidR="00905C37" w:rsidRDefault="00000000" w:rsidP="00ED725E">
      <w:pPr>
        <w:pStyle w:val="analise"/>
        <w:rPr>
          <w:color w:val="4F81BD"/>
        </w:rPr>
      </w:pPr>
      <w:r>
        <w:t xml:space="preserve">Segundo Santos e colegas (2022), o museu foi fundado para divulgar as pesquisas </w:t>
      </w:r>
      <w:r>
        <w:lastRenderedPageBreak/>
        <w:t>realizadas no Laboratório de Preparação de Computação de Nanomateriais (LPCN) Porém, trata-se da iniciativa de um professor, que aparentemente se resume, até hoje, a um projeto de extensão e não um museu</w:t>
      </w:r>
      <w:r w:rsidR="00ED725E">
        <w:t xml:space="preserve"> ou coleção acessível</w:t>
      </w:r>
      <w:r>
        <w:t>.</w:t>
      </w:r>
    </w:p>
    <w:p w14:paraId="443E1D34" w14:textId="77777777" w:rsidR="00905C37" w:rsidRDefault="00905C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FF0000"/>
          <w:sz w:val="24"/>
          <w:szCs w:val="24"/>
        </w:rPr>
      </w:pPr>
    </w:p>
    <w:p w14:paraId="1DF32E8E" w14:textId="4A12BEDC" w:rsidR="00905C37" w:rsidRDefault="00000000">
      <w:pPr>
        <w:pStyle w:val="Subttulo"/>
      </w:pPr>
      <w:r>
        <w:t xml:space="preserve">2.9 Museu de Geociências </w:t>
      </w:r>
      <w:r w:rsidR="002E3714">
        <w:t>-</w:t>
      </w:r>
      <w:r>
        <w:t xml:space="preserve"> MUGEO (versões A, B e C)</w:t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0E85AEAF" wp14:editId="398B35C8">
            <wp:simplePos x="0" y="0"/>
            <wp:positionH relativeFrom="column">
              <wp:posOffset>1</wp:posOffset>
            </wp:positionH>
            <wp:positionV relativeFrom="paragraph">
              <wp:posOffset>27305</wp:posOffset>
            </wp:positionV>
            <wp:extent cx="1130560" cy="918580"/>
            <wp:effectExtent l="0" t="0" r="0" b="0"/>
            <wp:wrapSquare wrapText="bothSides" distT="0" distB="0" distL="114300" distR="11430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1731"/>
                    <a:stretch>
                      <a:fillRect/>
                    </a:stretch>
                  </pic:blipFill>
                  <pic:spPr>
                    <a:xfrm>
                      <a:off x="0" y="0"/>
                      <a:ext cx="1130560" cy="918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4DCF30" w14:textId="672827C4" w:rsidR="00905C37" w:rsidRPr="00ED725E" w:rsidRDefault="00000000" w:rsidP="00ED725E">
      <w:pPr>
        <w:pStyle w:val="analise"/>
      </w:pPr>
      <w:r w:rsidRPr="002F26C3">
        <w:rPr>
          <w:u w:val="single"/>
        </w:rPr>
        <w:t>Lettering</w:t>
      </w:r>
      <w:r w:rsidRPr="002F26C3">
        <w:t xml:space="preserve"> sem serifa em negrito, sigla em caixa alta e nome do museu em caixa alta e baixa. Letras “G” e “E” rotacionadas, com </w:t>
      </w:r>
      <w:proofErr w:type="spellStart"/>
      <w:r w:rsidRPr="002F26C3">
        <w:rPr>
          <w:i/>
        </w:rPr>
        <w:t>kerning</w:t>
      </w:r>
      <w:proofErr w:type="spellEnd"/>
      <w:r w:rsidRPr="002F26C3">
        <w:t xml:space="preserve"> mais aberto, e deslocadas em linha-base curva e ascendente. Letra “O” substituída por um selo circular. </w:t>
      </w:r>
      <w:r w:rsidRPr="002F26C3">
        <w:rPr>
          <w:u w:val="single"/>
        </w:rPr>
        <w:t>Colouring</w:t>
      </w:r>
      <w:r w:rsidRPr="002F26C3">
        <w:t xml:space="preserve">: letras em preto, selo em preto e tons de verde. </w:t>
      </w:r>
      <w:r w:rsidRPr="002F26C3">
        <w:rPr>
          <w:u w:val="single"/>
        </w:rPr>
        <w:t>Drawing</w:t>
      </w:r>
      <w:r w:rsidRPr="002F26C3">
        <w:t xml:space="preserve">: </w:t>
      </w:r>
      <w:r w:rsidR="00A07E29">
        <w:t>s</w:t>
      </w:r>
      <w:r w:rsidRPr="002F26C3">
        <w:t xml:space="preserve">elo circular com o mapa da região Norte. </w:t>
      </w:r>
      <w:r w:rsidRPr="002F26C3">
        <w:rPr>
          <w:u w:val="single"/>
        </w:rPr>
        <w:t>Na dimensão semântica</w:t>
      </w:r>
      <w:r w:rsidRPr="002F26C3">
        <w:t xml:space="preserve">, a elevação das últimas letras remete às irregularidades topográficas naturais, enquanto o selo em verde indica a origem e o orgulho nortista e amazônico, transmitindo a autoridade do Grupo de Mineralogia e Geoquímica Aplicada, que coordena o museu. </w:t>
      </w:r>
      <w:r w:rsidRPr="002F26C3">
        <w:rPr>
          <w:u w:val="single"/>
        </w:rPr>
        <w:t>Pragmaticamente</w:t>
      </w:r>
      <w:r w:rsidRPr="002F26C3">
        <w:t xml:space="preserve">, as múltiplas versões físicas do que consideramos a versão oficial (A) são similares, porém não idênticas, o que pode confundir e dificultar a </w:t>
      </w:r>
      <w:proofErr w:type="spellStart"/>
      <w:r w:rsidRPr="002F26C3">
        <w:t>memorabilidade</w:t>
      </w:r>
      <w:proofErr w:type="spellEnd"/>
      <w:r w:rsidRPr="002F26C3">
        <w:t xml:space="preserve"> do museu. </w:t>
      </w:r>
      <w:r w:rsidR="00E91098" w:rsidRPr="002F26C3">
        <w:t xml:space="preserve">No site, o logotipo aplicado (B) é diferente da versão física. </w:t>
      </w:r>
      <w:r w:rsidR="00E91098" w:rsidRPr="002F26C3">
        <w:rPr>
          <w:noProof/>
        </w:rPr>
        <w:drawing>
          <wp:anchor distT="0" distB="0" distL="114300" distR="114300" simplePos="0" relativeHeight="251670528" behindDoc="0" locked="0" layoutInCell="1" hidden="0" allowOverlap="1" wp14:anchorId="1754BCED" wp14:editId="28E090EA">
            <wp:simplePos x="0" y="0"/>
            <wp:positionH relativeFrom="column">
              <wp:posOffset>1</wp:posOffset>
            </wp:positionH>
            <wp:positionV relativeFrom="paragraph">
              <wp:posOffset>812018</wp:posOffset>
            </wp:positionV>
            <wp:extent cx="1114425" cy="779145"/>
            <wp:effectExtent l="0" t="0" r="0" b="0"/>
            <wp:wrapSquare wrapText="bothSides" distT="0" distB="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t="7865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79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91098" w:rsidRPr="002F26C3">
        <w:t xml:space="preserve"> Porém, a</w:t>
      </w:r>
      <w:r w:rsidRPr="002F26C3">
        <w:t xml:space="preserve"> maior inconsistência ocorre na placa de sinalização/identificação externa (C), diferente </w:t>
      </w:r>
      <w:r w:rsidR="00E91098" w:rsidRPr="002F26C3">
        <w:t xml:space="preserve">das versões anteriores </w:t>
      </w:r>
      <w:r w:rsidRPr="002F26C3">
        <w:t>em todos os aspectos sintáticos (lettering, colouring e drawing).</w:t>
      </w:r>
      <w:r w:rsidRPr="00ED725E">
        <w:t xml:space="preserve"> </w:t>
      </w:r>
    </w:p>
    <w:p w14:paraId="6512107E" w14:textId="77777777" w:rsidR="00905C37" w:rsidRDefault="00905C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10FAA7D" w14:textId="77777777" w:rsidR="00905C37" w:rsidRDefault="00000000">
      <w:pPr>
        <w:pStyle w:val="Subttulo"/>
      </w:pPr>
      <w:r>
        <w:t>3.0 Reserva Técnica do Laboratório de Antropologia Professor Arthur Napoleão Figueiredo - LAANF</w:t>
      </w:r>
      <w:r>
        <w:rPr>
          <w:noProof/>
        </w:rPr>
        <w:drawing>
          <wp:anchor distT="0" distB="0" distL="114300" distR="114300" simplePos="0" relativeHeight="251667456" behindDoc="0" locked="0" layoutInCell="1" hidden="0" allowOverlap="1" wp14:anchorId="6184658B" wp14:editId="2F387990">
            <wp:simplePos x="0" y="0"/>
            <wp:positionH relativeFrom="column">
              <wp:posOffset>5122545</wp:posOffset>
            </wp:positionH>
            <wp:positionV relativeFrom="paragraph">
              <wp:posOffset>5080</wp:posOffset>
            </wp:positionV>
            <wp:extent cx="637540" cy="1013460"/>
            <wp:effectExtent l="0" t="0" r="0" b="0"/>
            <wp:wrapSquare wrapText="bothSides" distT="0" distB="0" distL="114300" distR="114300"/>
            <wp:docPr id="12" name="image12.png" descr="Uma imagem contendo Logotip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Uma imagem contendo Logotipo&#10;&#10;Descrição gerada automaticamente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540" cy="1013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0C226D" w14:textId="03B1A9A5" w:rsidR="00905C37" w:rsidRPr="002F26C3" w:rsidRDefault="00000000" w:rsidP="00E91098">
      <w:pPr>
        <w:pStyle w:val="analise"/>
        <w:rPr>
          <w:color w:val="4F81BD"/>
        </w:rPr>
      </w:pPr>
      <w:r w:rsidRPr="002F26C3">
        <w:rPr>
          <w:u w:val="single"/>
        </w:rPr>
        <w:t>Lettering</w:t>
      </w:r>
      <w:r w:rsidRPr="002F26C3">
        <w:t xml:space="preserve">: da sigla e nome do laboratório em negrito e condensado. A sigla da universidade fecha a composição em alinhamento centralizado. </w:t>
      </w:r>
      <w:r w:rsidR="004D25CD" w:rsidRPr="002F26C3">
        <w:rPr>
          <w:u w:val="single"/>
        </w:rPr>
        <w:t>Colouring</w:t>
      </w:r>
      <w:r w:rsidRPr="002F26C3">
        <w:rPr>
          <w:u w:val="single"/>
        </w:rPr>
        <w:t>:</w:t>
      </w:r>
      <w:r w:rsidRPr="002F26C3">
        <w:t xml:space="preserve"> Monocromático em azul médio. </w:t>
      </w:r>
      <w:r w:rsidRPr="002F26C3">
        <w:rPr>
          <w:u w:val="single"/>
        </w:rPr>
        <w:t>Drawing</w:t>
      </w:r>
      <w:r w:rsidRPr="002F26C3">
        <w:t xml:space="preserve">: ilustração em alto contraste do busto do patrono do laboratório. </w:t>
      </w:r>
      <w:r w:rsidRPr="002F26C3">
        <w:rPr>
          <w:u w:val="single"/>
        </w:rPr>
        <w:t>Na dimensão semântica</w:t>
      </w:r>
      <w:r w:rsidRPr="002F26C3">
        <w:t xml:space="preserve">, o logotipo é uma homenagem ao fundador, evocando suas contribuições para o laboratório. </w:t>
      </w:r>
      <w:r w:rsidRPr="002F26C3">
        <w:rPr>
          <w:color w:val="000000"/>
          <w:u w:val="single"/>
        </w:rPr>
        <w:t>Pragmaticamente</w:t>
      </w:r>
      <w:r w:rsidRPr="002F26C3">
        <w:t xml:space="preserve">, </w:t>
      </w:r>
      <w:r w:rsidR="00E91098" w:rsidRPr="002F26C3">
        <w:t>podemos considerar que a aplicação do logo é consistente. As exceções ocorrem por falta de recursos financeiros, por exemplo, na necessidade de fazer fotocópias em preto-e-branco para servirem como placas de identificação de salas (ocorre por vezes alteração de cor e de proporção do logotipo).</w:t>
      </w:r>
    </w:p>
    <w:p w14:paraId="59917F19" w14:textId="7B501AFD" w:rsidR="00905C37" w:rsidRDefault="004B155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9B404B">
        <w:rPr>
          <w:noProof/>
        </w:rPr>
        <w:drawing>
          <wp:anchor distT="0" distB="0" distL="114300" distR="114300" simplePos="0" relativeHeight="251673600" behindDoc="1" locked="0" layoutInCell="1" allowOverlap="1" wp14:anchorId="59D37A96" wp14:editId="4B285452">
            <wp:simplePos x="0" y="0"/>
            <wp:positionH relativeFrom="column">
              <wp:posOffset>4431665</wp:posOffset>
            </wp:positionH>
            <wp:positionV relativeFrom="paragraph">
              <wp:posOffset>177800</wp:posOffset>
            </wp:positionV>
            <wp:extent cx="1315720" cy="912495"/>
            <wp:effectExtent l="0" t="0" r="0" b="1905"/>
            <wp:wrapTight wrapText="bothSides">
              <wp:wrapPolygon edited="0">
                <wp:start x="0" y="0"/>
                <wp:lineTo x="0" y="21194"/>
                <wp:lineTo x="21266" y="21194"/>
                <wp:lineTo x="21266" y="0"/>
                <wp:lineTo x="0" y="0"/>
              </wp:wrapPolygon>
            </wp:wrapTight>
            <wp:docPr id="2754280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428012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22"/>
                    <a:stretch/>
                  </pic:blipFill>
                  <pic:spPr bwMode="auto">
                    <a:xfrm>
                      <a:off x="0" y="0"/>
                      <a:ext cx="1315720" cy="91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5BCAC" w14:textId="47B4B9FE" w:rsidR="00905C37" w:rsidRDefault="009B404B">
      <w:pPr>
        <w:pStyle w:val="Subttulo"/>
      </w:pPr>
      <w:r>
        <w:t xml:space="preserve">3.1 Coleção Documental e Bibliográfica “Prof. Dr. Habib Fraiha Neto” </w:t>
      </w:r>
    </w:p>
    <w:p w14:paraId="65E3DD1C" w14:textId="4DC0E236" w:rsidR="00905C37" w:rsidRDefault="00000000" w:rsidP="009B404B">
      <w:pPr>
        <w:pStyle w:val="analise"/>
        <w:rPr>
          <w:color w:val="4F81BD"/>
        </w:rPr>
      </w:pPr>
      <w:r w:rsidRPr="002F26C3">
        <w:t xml:space="preserve">A coleção </w:t>
      </w:r>
      <w:r w:rsidR="009B404B" w:rsidRPr="002F26C3">
        <w:t xml:space="preserve">do professor Habib é localizada dentro da biblioteca </w:t>
      </w:r>
      <w:r w:rsidRPr="002F26C3">
        <w:t xml:space="preserve">do Núcleo de Medicina Tropical da </w:t>
      </w:r>
      <w:r w:rsidR="009B404B" w:rsidRPr="002F26C3">
        <w:t>NMT-</w:t>
      </w:r>
      <w:r w:rsidRPr="002F26C3">
        <w:t>UFPA</w:t>
      </w:r>
      <w:r w:rsidR="009B404B" w:rsidRPr="002F26C3">
        <w:t>, em uma sala separada, não acessível e não identificada</w:t>
      </w:r>
      <w:r w:rsidRPr="002F26C3">
        <w:t>.</w:t>
      </w:r>
      <w:r w:rsidR="009B404B">
        <w:t xml:space="preserve"> </w:t>
      </w:r>
    </w:p>
    <w:p w14:paraId="71A67813" w14:textId="418EC8FA" w:rsidR="00905C37" w:rsidRDefault="008E031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4F81BD"/>
          <w:sz w:val="24"/>
          <w:szCs w:val="24"/>
        </w:rPr>
      </w:pPr>
      <w:r w:rsidRPr="008E031B">
        <w:rPr>
          <w:noProof/>
        </w:rPr>
        <w:drawing>
          <wp:anchor distT="0" distB="0" distL="114300" distR="114300" simplePos="0" relativeHeight="251674624" behindDoc="1" locked="0" layoutInCell="1" allowOverlap="1" wp14:anchorId="7A3E89B3" wp14:editId="1AAB7FE5">
            <wp:simplePos x="0" y="0"/>
            <wp:positionH relativeFrom="margin">
              <wp:align>left</wp:align>
            </wp:positionH>
            <wp:positionV relativeFrom="paragraph">
              <wp:posOffset>172720</wp:posOffset>
            </wp:positionV>
            <wp:extent cx="854710" cy="1203960"/>
            <wp:effectExtent l="0" t="0" r="2540" b="0"/>
            <wp:wrapTight wrapText="bothSides">
              <wp:wrapPolygon edited="0">
                <wp:start x="0" y="0"/>
                <wp:lineTo x="0" y="21190"/>
                <wp:lineTo x="21183" y="21190"/>
                <wp:lineTo x="21183" y="0"/>
                <wp:lineTo x="0" y="0"/>
              </wp:wrapPolygon>
            </wp:wrapTight>
            <wp:docPr id="1098665004" name="Imagem 1" descr="Geladeira com porta abert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665004" name="Imagem 1" descr="Geladeira com porta aberta&#10;&#10;Descrição gerada automaticamente com confiança baixa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9693D" w14:textId="03C8987E" w:rsidR="00905C37" w:rsidRDefault="00000000">
      <w:pPr>
        <w:pStyle w:val="Subttulo"/>
      </w:pPr>
      <w:bookmarkStart w:id="0" w:name="_gjdgxs" w:colFirst="0" w:colLast="0"/>
      <w:bookmarkEnd w:id="0"/>
      <w:r>
        <w:t>3.2 Coleção Entomológica de Animais Peçonhentos da Amazônia</w:t>
      </w:r>
      <w:r w:rsidR="009B404B">
        <w:t xml:space="preserve"> - LEMAP</w:t>
      </w:r>
    </w:p>
    <w:p w14:paraId="1B44B666" w14:textId="3BF7AAE6" w:rsidR="002047D9" w:rsidRPr="002047D9" w:rsidRDefault="00000000" w:rsidP="002047D9">
      <w:pPr>
        <w:pStyle w:val="analise"/>
      </w:pPr>
      <w:r w:rsidRPr="002F26C3">
        <w:t xml:space="preserve">A coleção pertence ao Laboratório de Entomologia Médica e Animais Peçonhentos </w:t>
      </w:r>
      <w:r w:rsidR="009B404B" w:rsidRPr="002F26C3">
        <w:t>do NMT-UFPA</w:t>
      </w:r>
      <w:r w:rsidRPr="002F26C3">
        <w:t xml:space="preserve">, </w:t>
      </w:r>
      <w:r w:rsidR="009B404B" w:rsidRPr="002F26C3">
        <w:t>e está fechada em um armário desde a pandemia</w:t>
      </w:r>
      <w:r w:rsidR="00662404" w:rsidRPr="002F26C3">
        <w:t>, quando encerraram o acervo vivo</w:t>
      </w:r>
      <w:r w:rsidR="008E031B" w:rsidRPr="002F26C3">
        <w:t>. Os espécimes estão conservados em álcool</w:t>
      </w:r>
      <w:r w:rsidR="009B404B" w:rsidRPr="002F26C3">
        <w:t xml:space="preserve"> </w:t>
      </w:r>
      <w:r w:rsidR="008E031B" w:rsidRPr="002F26C3">
        <w:t>e a</w:t>
      </w:r>
      <w:r w:rsidR="009B404B" w:rsidRPr="002F26C3">
        <w:t xml:space="preserve"> coleção não está acessível</w:t>
      </w:r>
      <w:r w:rsidR="008E031B" w:rsidRPr="002F26C3">
        <w:t>,</w:t>
      </w:r>
      <w:r w:rsidR="009B404B" w:rsidRPr="002F26C3">
        <w:t xml:space="preserve"> nem possui identificação visual</w:t>
      </w:r>
      <w:r w:rsidR="009B404B">
        <w:t xml:space="preserve"> </w:t>
      </w:r>
    </w:p>
    <w:p w14:paraId="39CA77C5" w14:textId="77777777" w:rsidR="00905C37" w:rsidRDefault="00000000">
      <w:pPr>
        <w:pStyle w:val="Ttulo1"/>
      </w:pPr>
      <w:r>
        <w:lastRenderedPageBreak/>
        <w:t xml:space="preserve">3. CONSIDERAÇÕES FINAIS  </w:t>
      </w:r>
    </w:p>
    <w:p w14:paraId="27618D25" w14:textId="30DE77CC" w:rsidR="00905C37" w:rsidRDefault="002047D9" w:rsidP="00ED725E">
      <w:pPr>
        <w:pStyle w:val="textoepca"/>
      </w:pPr>
      <w:r>
        <w:t>Os m</w:t>
      </w:r>
      <w:r w:rsidR="00000000">
        <w:t>useus universitários carregam intrins</w:t>
      </w:r>
      <w:r>
        <w:t>e</w:t>
      </w:r>
      <w:r w:rsidR="00000000">
        <w:t>camente um duplo desafio para existirem: pertencem tanto ao setor cultural como ao se</w:t>
      </w:r>
      <w:r w:rsidR="00000000" w:rsidRPr="00ED725E">
        <w:t>tor educacional, historicamente alvos de cortes de recursos públicos – quem não se lembra do incêndio do Museu Nacional, fundado em 1818 (o então Museu Real) e administrado pela Universidade Federal do Rio de Janeiro desde 1946? A falta de identificadores visuais – e de presença digital – ou a inconsistência de uso dos vários identificadores visuais para um mesm</w:t>
      </w:r>
      <w:r>
        <w:t>o museu ou</w:t>
      </w:r>
      <w:r w:rsidR="00000000" w:rsidRPr="00ED725E">
        <w:t xml:space="preserve"> coleção da UFPA é exemplo da falta de recursos financeiros e humanos dedicados ao patrimônio universitário</w:t>
      </w:r>
      <w:r w:rsidR="00000000">
        <w:t>.</w:t>
      </w:r>
    </w:p>
    <w:p w14:paraId="64709058" w14:textId="781E6424" w:rsidR="00905C37" w:rsidRPr="002F26C3" w:rsidRDefault="00000000" w:rsidP="00ED725E">
      <w:pPr>
        <w:pStyle w:val="textoepca"/>
      </w:pPr>
      <w:r>
        <w:t xml:space="preserve">Ao seguir o levantamento de museus e coleções da UFPA realizado por Santos, Benchimol e Rocha (2022) percebemos que muita coisa mudou ou está para mudar, no panorama do patrimônio cultural da universidade. Enquanto alguns museus e coleções estão subutilizados, </w:t>
      </w:r>
      <w:r w:rsidR="004B1552" w:rsidRPr="002F26C3">
        <w:t>inacessíveis</w:t>
      </w:r>
      <w:r w:rsidRPr="002F26C3">
        <w:t xml:space="preserve"> ou são pouco conhecidos pelo público interno e externo à UFPA, outros devem ser inaugurados no próximo ano, e recebem grandes investimentos, como a Galeria de Arte da (GAU) e o Museu de Ciências do Patrimônio Cultural. Esses e outros equipamentos culturais farão parte do novo complexo acadêmico e cultural: o P</w:t>
      </w:r>
      <w:r w:rsidR="002F26C3">
        <w:t>o</w:t>
      </w:r>
      <w:r w:rsidRPr="002F26C3">
        <w:t xml:space="preserve">lo Mercedários UFPA (Portal UFPA, 2023).    </w:t>
      </w:r>
    </w:p>
    <w:p w14:paraId="299CE6AC" w14:textId="0AF9293B" w:rsidR="00EF42D7" w:rsidRDefault="00000000" w:rsidP="00EF42D7">
      <w:pPr>
        <w:pStyle w:val="textoepca"/>
      </w:pPr>
      <w:r w:rsidRPr="002F26C3">
        <w:t>Acreditamos que criar ou atualizar os logotipos</w:t>
      </w:r>
      <w:r w:rsidR="00EF42D7" w:rsidRPr="002F26C3">
        <w:t xml:space="preserve">, e </w:t>
      </w:r>
      <w:r w:rsidR="00EF42D7" w:rsidRPr="002F26C3">
        <w:t>usá-los</w:t>
      </w:r>
      <w:r w:rsidR="00EF42D7" w:rsidRPr="002F26C3">
        <w:t xml:space="preserve"> consistentemente ao longo de todos os pontos-de-contato</w:t>
      </w:r>
      <w:r w:rsidR="00EF42D7" w:rsidRPr="002F26C3">
        <w:t xml:space="preserve"> dos</w:t>
      </w:r>
      <w:r w:rsidRPr="002F26C3">
        <w:t xml:space="preserve"> museus e coleções</w:t>
      </w:r>
      <w:r w:rsidR="004B1552" w:rsidRPr="002F26C3">
        <w:t>,</w:t>
      </w:r>
      <w:r w:rsidRPr="002F26C3">
        <w:t xml:space="preserve"> colabora para a valorização da universidade e seu patrimônio.</w:t>
      </w:r>
      <w:r w:rsidRPr="00EF42D7">
        <w:t xml:space="preserve"> E que fortalecer os museus </w:t>
      </w:r>
      <w:r w:rsidR="00F34565" w:rsidRPr="00EF42D7">
        <w:t xml:space="preserve">e coleções </w:t>
      </w:r>
      <w:r w:rsidRPr="00EF42D7">
        <w:t xml:space="preserve">da UFPA é um caminho para a intensificação dos vínculos identitários entre os paraenses, sejam ou não alunos, professores ou funcionários, e dos vínculos de pertencimento desses indivíduos com </w:t>
      </w:r>
      <w:r>
        <w:t>a universidade e com o patrimônio científico, natural e cultural paraense.</w:t>
      </w:r>
      <w:r w:rsidR="00EF42D7">
        <w:t xml:space="preserve"> </w:t>
      </w:r>
    </w:p>
    <w:p w14:paraId="37AB0BBE" w14:textId="77777777" w:rsidR="00905C37" w:rsidRDefault="00905C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7EE4D4B" w14:textId="77777777" w:rsidR="00905C37" w:rsidRDefault="00000000" w:rsidP="009B404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REFERÊNCIAS BIBLIOGRÁFICAS</w:t>
      </w:r>
    </w:p>
    <w:p w14:paraId="507EC110" w14:textId="14DDDF33" w:rsidR="00905C37" w:rsidRPr="00EB1315" w:rsidRDefault="00000000" w:rsidP="00EF42D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16" w:lineRule="auto"/>
        <w:rPr>
          <w:rFonts w:ascii="Arial" w:eastAsia="Arial" w:hAnsi="Arial" w:cs="Arial"/>
          <w:color w:val="000000"/>
          <w:lang w:val="en-US"/>
        </w:rPr>
      </w:pPr>
      <w:r>
        <w:rPr>
          <w:rFonts w:ascii="Arial" w:eastAsia="Arial" w:hAnsi="Arial" w:cs="Arial"/>
          <w:color w:val="000000"/>
        </w:rPr>
        <w:t xml:space="preserve">ABALADA, Victor E. T. M.; GRANATO, Marcus. </w:t>
      </w:r>
      <w:r w:rsidRPr="00EB1315">
        <w:rPr>
          <w:rFonts w:ascii="Arial" w:eastAsia="Arial" w:hAnsi="Arial" w:cs="Arial"/>
          <w:color w:val="000000"/>
          <w:lang w:val="en-US"/>
        </w:rPr>
        <w:t xml:space="preserve">Like Counting Grains of Sand: An Overview of University Museums in Brazil. </w:t>
      </w:r>
      <w:r w:rsidRPr="00EB1315">
        <w:rPr>
          <w:rFonts w:ascii="Arial" w:eastAsia="Arial" w:hAnsi="Arial" w:cs="Arial"/>
          <w:b/>
          <w:color w:val="000000"/>
          <w:lang w:val="en-US"/>
        </w:rPr>
        <w:t>University Museums and Collections Journal</w:t>
      </w:r>
      <w:r w:rsidRPr="00EB1315">
        <w:rPr>
          <w:rFonts w:ascii="Arial" w:eastAsia="Arial" w:hAnsi="Arial" w:cs="Arial"/>
          <w:color w:val="000000"/>
          <w:lang w:val="en-US"/>
        </w:rPr>
        <w:t>, v.15, n.1, p. 68-79, 2023</w:t>
      </w:r>
    </w:p>
    <w:p w14:paraId="7AA1BD9D" w14:textId="5B8EEB18" w:rsidR="00905C37" w:rsidRPr="00EB1315" w:rsidRDefault="00000000" w:rsidP="00EF42D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16" w:lineRule="auto"/>
        <w:rPr>
          <w:rFonts w:ascii="Arial" w:eastAsia="Arial" w:hAnsi="Arial" w:cs="Arial"/>
          <w:color w:val="000000"/>
          <w:lang w:val="en-US"/>
        </w:rPr>
      </w:pPr>
      <w:r w:rsidRPr="00EB1315">
        <w:rPr>
          <w:rFonts w:ascii="Arial" w:eastAsia="Arial" w:hAnsi="Arial" w:cs="Arial"/>
          <w:color w:val="000000"/>
          <w:lang w:val="en-US"/>
        </w:rPr>
        <w:t xml:space="preserve">LENCASTRE, Paulo.; CÔRTE-REAL, Ana. </w:t>
      </w:r>
      <w:r>
        <w:rPr>
          <w:rFonts w:ascii="Arial" w:eastAsia="Arial" w:hAnsi="Arial" w:cs="Arial"/>
          <w:color w:val="000000"/>
        </w:rPr>
        <w:t xml:space="preserve">Um triângulo da marca para evitar a branding </w:t>
      </w:r>
      <w:proofErr w:type="spellStart"/>
      <w:r>
        <w:rPr>
          <w:rFonts w:ascii="Arial" w:eastAsia="Arial" w:hAnsi="Arial" w:cs="Arial"/>
          <w:color w:val="000000"/>
        </w:rPr>
        <w:t>myopia</w:t>
      </w:r>
      <w:proofErr w:type="spellEnd"/>
      <w:r>
        <w:rPr>
          <w:rFonts w:ascii="Arial" w:eastAsia="Arial" w:hAnsi="Arial" w:cs="Arial"/>
          <w:color w:val="000000"/>
        </w:rPr>
        <w:t xml:space="preserve">: contribuição semiótica para um modelo integrado de compreensão da marca. </w:t>
      </w:r>
      <w:proofErr w:type="spellStart"/>
      <w:r w:rsidRPr="00EB1315">
        <w:rPr>
          <w:rFonts w:ascii="Arial" w:eastAsia="Arial" w:hAnsi="Arial" w:cs="Arial"/>
          <w:b/>
          <w:color w:val="000000"/>
          <w:lang w:val="en-US"/>
        </w:rPr>
        <w:t>Revista</w:t>
      </w:r>
      <w:proofErr w:type="spellEnd"/>
      <w:r w:rsidRPr="00EB1315">
        <w:rPr>
          <w:rFonts w:ascii="Arial" w:eastAsia="Arial" w:hAnsi="Arial" w:cs="Arial"/>
          <w:b/>
          <w:color w:val="000000"/>
          <w:lang w:val="en-US"/>
        </w:rPr>
        <w:t xml:space="preserve"> </w:t>
      </w:r>
      <w:proofErr w:type="spellStart"/>
      <w:r w:rsidRPr="00EB1315">
        <w:rPr>
          <w:rFonts w:ascii="Arial" w:eastAsia="Arial" w:hAnsi="Arial" w:cs="Arial"/>
          <w:b/>
          <w:color w:val="000000"/>
          <w:lang w:val="en-US"/>
        </w:rPr>
        <w:t>Organicom</w:t>
      </w:r>
      <w:proofErr w:type="spellEnd"/>
      <w:r w:rsidRPr="00EB1315">
        <w:rPr>
          <w:rFonts w:ascii="Arial" w:eastAsia="Arial" w:hAnsi="Arial" w:cs="Arial"/>
          <w:color w:val="000000"/>
          <w:lang w:val="en-US"/>
        </w:rPr>
        <w:t>, v.4, n.7, p. 98-113, 2007.</w:t>
      </w:r>
    </w:p>
    <w:p w14:paraId="147BCD7C" w14:textId="3B2D7FDC" w:rsidR="00905C37" w:rsidRPr="00EB1315" w:rsidRDefault="00000000" w:rsidP="00EF42D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16" w:lineRule="auto"/>
        <w:rPr>
          <w:rFonts w:ascii="Arial" w:eastAsia="Arial" w:hAnsi="Arial" w:cs="Arial"/>
          <w:color w:val="000000"/>
          <w:lang w:val="en-US"/>
        </w:rPr>
      </w:pPr>
      <w:r w:rsidRPr="00EB1315">
        <w:rPr>
          <w:rFonts w:ascii="Arial" w:eastAsia="Arial" w:hAnsi="Arial" w:cs="Arial"/>
          <w:color w:val="000000"/>
          <w:lang w:val="en-US"/>
        </w:rPr>
        <w:t xml:space="preserve">MERRIMAN, Nick. The current state of higher education museums, galleries and collections in the UK. </w:t>
      </w:r>
      <w:proofErr w:type="spellStart"/>
      <w:r w:rsidRPr="00EB1315">
        <w:rPr>
          <w:rFonts w:ascii="Arial" w:eastAsia="Arial" w:hAnsi="Arial" w:cs="Arial"/>
          <w:b/>
          <w:color w:val="000000"/>
          <w:lang w:val="en-US"/>
        </w:rPr>
        <w:t>Museologia</w:t>
      </w:r>
      <w:proofErr w:type="spellEnd"/>
      <w:r w:rsidRPr="00EB1315">
        <w:rPr>
          <w:rFonts w:ascii="Arial" w:eastAsia="Arial" w:hAnsi="Arial" w:cs="Arial"/>
          <w:color w:val="000000"/>
          <w:lang w:val="en-US"/>
        </w:rPr>
        <w:t>, v.2, p. 71-80, 2002.</w:t>
      </w:r>
    </w:p>
    <w:p w14:paraId="08F760A4" w14:textId="38AF611E" w:rsidR="00905C37" w:rsidRPr="00EB1315" w:rsidRDefault="00000000" w:rsidP="00EF42D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16" w:lineRule="auto"/>
        <w:rPr>
          <w:rFonts w:ascii="Arial" w:eastAsia="Arial" w:hAnsi="Arial" w:cs="Arial"/>
          <w:color w:val="000000"/>
          <w:lang w:val="en-US"/>
        </w:rPr>
      </w:pPr>
      <w:r w:rsidRPr="00EB1315">
        <w:rPr>
          <w:rFonts w:ascii="Arial" w:eastAsia="Arial" w:hAnsi="Arial" w:cs="Arial"/>
          <w:color w:val="000000"/>
          <w:lang w:val="en-US"/>
        </w:rPr>
        <w:t xml:space="preserve">MORRIS, Charles Williams. </w:t>
      </w:r>
      <w:r w:rsidRPr="00EB1315">
        <w:rPr>
          <w:rFonts w:ascii="Arial" w:eastAsia="Arial" w:hAnsi="Arial" w:cs="Arial"/>
          <w:b/>
          <w:color w:val="000000"/>
          <w:lang w:val="en-US"/>
        </w:rPr>
        <w:t>Foundations of the theory of signs</w:t>
      </w:r>
      <w:r w:rsidRPr="00EB1315">
        <w:rPr>
          <w:rFonts w:ascii="Arial" w:eastAsia="Arial" w:hAnsi="Arial" w:cs="Arial"/>
          <w:color w:val="000000"/>
          <w:lang w:val="en-US"/>
        </w:rPr>
        <w:t>. Chicago: The University of Chicago Press, 1938.</w:t>
      </w:r>
    </w:p>
    <w:p w14:paraId="4AB72759" w14:textId="0674F141" w:rsidR="00905C37" w:rsidRDefault="00000000" w:rsidP="00EF42D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16" w:lineRule="auto"/>
        <w:rPr>
          <w:rFonts w:ascii="Arial" w:eastAsia="Arial" w:hAnsi="Arial" w:cs="Arial"/>
          <w:color w:val="000000"/>
        </w:rPr>
      </w:pPr>
      <w:r w:rsidRPr="00EB1315">
        <w:rPr>
          <w:rFonts w:ascii="Arial" w:eastAsia="Arial" w:hAnsi="Arial" w:cs="Arial"/>
          <w:color w:val="000000"/>
          <w:lang w:val="en-US"/>
        </w:rPr>
        <w:t xml:space="preserve">NOTH, Winfried. </w:t>
      </w:r>
      <w:r w:rsidRPr="00EB1315">
        <w:rPr>
          <w:rFonts w:ascii="Arial" w:eastAsia="Arial" w:hAnsi="Arial" w:cs="Arial"/>
          <w:b/>
          <w:color w:val="000000"/>
          <w:lang w:val="en-US"/>
        </w:rPr>
        <w:t>Handbook of semiotics</w:t>
      </w:r>
      <w:r w:rsidRPr="00EB1315">
        <w:rPr>
          <w:rFonts w:ascii="Arial" w:eastAsia="Arial" w:hAnsi="Arial" w:cs="Arial"/>
          <w:color w:val="000000"/>
          <w:lang w:val="en-US"/>
        </w:rPr>
        <w:t xml:space="preserve">. </w:t>
      </w:r>
      <w:r>
        <w:rPr>
          <w:rFonts w:ascii="Arial" w:eastAsia="Arial" w:hAnsi="Arial" w:cs="Arial"/>
          <w:color w:val="000000"/>
        </w:rPr>
        <w:t xml:space="preserve">Indiana </w:t>
      </w:r>
      <w:proofErr w:type="spellStart"/>
      <w:r>
        <w:rPr>
          <w:rFonts w:ascii="Arial" w:eastAsia="Arial" w:hAnsi="Arial" w:cs="Arial"/>
          <w:color w:val="000000"/>
        </w:rPr>
        <w:t>University</w:t>
      </w:r>
      <w:proofErr w:type="spellEnd"/>
      <w:r>
        <w:rPr>
          <w:rFonts w:ascii="Arial" w:eastAsia="Arial" w:hAnsi="Arial" w:cs="Arial"/>
          <w:color w:val="000000"/>
        </w:rPr>
        <w:t xml:space="preserve"> Press, 1990.</w:t>
      </w:r>
    </w:p>
    <w:p w14:paraId="4EFF534C" w14:textId="2C710CB1" w:rsidR="00905C37" w:rsidRDefault="00000000" w:rsidP="00EF42D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1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PORTAL UFPA. Belém,</w:t>
      </w:r>
      <w:r>
        <w:t xml:space="preserve"> </w:t>
      </w:r>
      <w:r w:rsidR="004D25CD">
        <w:rPr>
          <w:rFonts w:ascii="Arial" w:eastAsia="Arial" w:hAnsi="Arial" w:cs="Arial"/>
          <w:color w:val="000000"/>
        </w:rPr>
        <w:t>junho</w:t>
      </w:r>
      <w:r>
        <w:rPr>
          <w:rFonts w:ascii="Arial" w:eastAsia="Arial" w:hAnsi="Arial" w:cs="Arial"/>
          <w:color w:val="000000"/>
        </w:rPr>
        <w:t xml:space="preserve"> de 2023. </w:t>
      </w:r>
      <w:hyperlink r:id="rId20">
        <w:r w:rsidR="00905C37">
          <w:rPr>
            <w:rFonts w:ascii="Arial" w:eastAsia="Arial" w:hAnsi="Arial" w:cs="Arial"/>
            <w:color w:val="0000FF"/>
            <w:u w:val="single"/>
          </w:rPr>
          <w:t>www.portal.ufpa.br/index.php/ultimas-noticias2/14477-bndes-destinara-36-milhoes-para-restauro-do-polo-mercedarios-ufpa</w:t>
        </w:r>
      </w:hyperlink>
      <w:r>
        <w:rPr>
          <w:rFonts w:ascii="Arial" w:eastAsia="Arial" w:hAnsi="Arial" w:cs="Arial"/>
          <w:color w:val="000000"/>
        </w:rPr>
        <w:t xml:space="preserve"> . Ace</w:t>
      </w:r>
      <w:r w:rsidR="009B404B"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</w:rPr>
        <w:t xml:space="preserve">so em 01/10/2024. </w:t>
      </w:r>
    </w:p>
    <w:p w14:paraId="0065D9B2" w14:textId="4F58104C" w:rsidR="00905C37" w:rsidRPr="00EB1315" w:rsidRDefault="00000000" w:rsidP="00EF42D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16" w:lineRule="auto"/>
        <w:rPr>
          <w:rFonts w:ascii="Arial" w:eastAsia="Arial" w:hAnsi="Arial" w:cs="Arial"/>
          <w:color w:val="000000"/>
          <w:lang w:val="en-US"/>
        </w:rPr>
      </w:pPr>
      <w:r>
        <w:rPr>
          <w:rFonts w:ascii="Arial" w:eastAsia="Arial" w:hAnsi="Arial" w:cs="Arial"/>
          <w:color w:val="000000"/>
        </w:rPr>
        <w:t xml:space="preserve">SANTOS, Manuela Soutello Mendes da Fonseca; BENCHIMOL, Alegria Celia; ROCHA, </w:t>
      </w:r>
      <w:proofErr w:type="spellStart"/>
      <w:r>
        <w:rPr>
          <w:rFonts w:ascii="Arial" w:eastAsia="Arial" w:hAnsi="Arial" w:cs="Arial"/>
          <w:color w:val="000000"/>
        </w:rPr>
        <w:t>Luisa</w:t>
      </w:r>
      <w:proofErr w:type="spellEnd"/>
      <w:r>
        <w:rPr>
          <w:rFonts w:ascii="Arial" w:eastAsia="Arial" w:hAnsi="Arial" w:cs="Arial"/>
          <w:color w:val="000000"/>
        </w:rPr>
        <w:t xml:space="preserve"> Maria Gomes de Mattos. Museus da Universidade Federal do Pará: ensino, pesquisa e extensão. </w:t>
      </w:r>
      <w:proofErr w:type="spellStart"/>
      <w:r w:rsidRPr="00EB1315">
        <w:rPr>
          <w:rFonts w:ascii="Arial" w:eastAsia="Arial" w:hAnsi="Arial" w:cs="Arial"/>
          <w:b/>
          <w:color w:val="000000"/>
          <w:lang w:val="en-US"/>
        </w:rPr>
        <w:t>Revista</w:t>
      </w:r>
      <w:proofErr w:type="spellEnd"/>
      <w:r w:rsidRPr="00EB1315">
        <w:rPr>
          <w:rFonts w:ascii="Arial" w:eastAsia="Arial" w:hAnsi="Arial" w:cs="Arial"/>
          <w:b/>
          <w:color w:val="000000"/>
          <w:lang w:val="en-US"/>
        </w:rPr>
        <w:t xml:space="preserve"> CPC</w:t>
      </w:r>
      <w:r w:rsidRPr="00EB1315">
        <w:rPr>
          <w:rFonts w:ascii="Arial" w:eastAsia="Arial" w:hAnsi="Arial" w:cs="Arial"/>
          <w:color w:val="000000"/>
          <w:lang w:val="en-US"/>
        </w:rPr>
        <w:t>, v. 17, n. 33, p. 95-121, 2022.</w:t>
      </w:r>
    </w:p>
    <w:p w14:paraId="5E5D239B" w14:textId="77777777" w:rsidR="00905C37" w:rsidRPr="00EB1315" w:rsidRDefault="00000000" w:rsidP="00EF42D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16" w:lineRule="auto"/>
        <w:rPr>
          <w:rFonts w:ascii="Arial" w:eastAsia="Arial" w:hAnsi="Arial" w:cs="Arial"/>
          <w:color w:val="000000"/>
          <w:lang w:val="en-US"/>
        </w:rPr>
      </w:pPr>
      <w:r w:rsidRPr="00EB1315">
        <w:rPr>
          <w:rFonts w:ascii="Arial" w:eastAsia="Arial" w:hAnsi="Arial" w:cs="Arial"/>
          <w:color w:val="000000"/>
          <w:lang w:val="en-US"/>
        </w:rPr>
        <w:t xml:space="preserve">WARHURST, Alan. Triple crisis in university museums. </w:t>
      </w:r>
      <w:r w:rsidRPr="00EB1315">
        <w:rPr>
          <w:rFonts w:ascii="Arial" w:eastAsia="Arial" w:hAnsi="Arial" w:cs="Arial"/>
          <w:b/>
          <w:color w:val="000000"/>
          <w:lang w:val="en-US"/>
        </w:rPr>
        <w:t>Museums Journal</w:t>
      </w:r>
      <w:r w:rsidRPr="00EB1315">
        <w:rPr>
          <w:rFonts w:ascii="Arial" w:eastAsia="Arial" w:hAnsi="Arial" w:cs="Arial"/>
          <w:color w:val="000000"/>
          <w:lang w:val="en-US"/>
        </w:rPr>
        <w:t>, v. 86, n. 3, p. 137-140, 1986.</w:t>
      </w:r>
    </w:p>
    <w:sectPr w:rsidR="00905C37" w:rsidRPr="00EB1315">
      <w:headerReference w:type="default" r:id="rId21"/>
      <w:footerReference w:type="default" r:id="rId22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F36C34" w14:textId="77777777" w:rsidR="00A428C3" w:rsidRDefault="00A428C3">
      <w:pPr>
        <w:spacing w:after="0" w:line="240" w:lineRule="auto"/>
      </w:pPr>
      <w:r>
        <w:separator/>
      </w:r>
    </w:p>
  </w:endnote>
  <w:endnote w:type="continuationSeparator" w:id="0">
    <w:p w14:paraId="5E21B708" w14:textId="77777777" w:rsidR="00A428C3" w:rsidRDefault="00A42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B37CFB" w14:textId="77777777" w:rsidR="00905C37" w:rsidRDefault="00905C3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15"/>
      <w:rPr>
        <w:b/>
        <w:color w:val="00000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DC34A0" w14:textId="77777777" w:rsidR="00A428C3" w:rsidRDefault="00A428C3">
      <w:pPr>
        <w:spacing w:after="0" w:line="240" w:lineRule="auto"/>
      </w:pPr>
      <w:r>
        <w:separator/>
      </w:r>
    </w:p>
  </w:footnote>
  <w:footnote w:type="continuationSeparator" w:id="0">
    <w:p w14:paraId="34C85E0F" w14:textId="77777777" w:rsidR="00A428C3" w:rsidRDefault="00A428C3">
      <w:pPr>
        <w:spacing w:after="0" w:line="240" w:lineRule="auto"/>
      </w:pPr>
      <w:r>
        <w:continuationSeparator/>
      </w:r>
    </w:p>
  </w:footnote>
  <w:footnote w:id="1">
    <w:p w14:paraId="44FEB75C" w14:textId="77777777" w:rsidR="00905C37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16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Aluno da graduação do curso de Comunicação Social – Publicidade e Propaganda da Faculdade de Comunicação na Universidade Federal do Pará: matheus.lima@ilc.ufpa.br </w:t>
      </w:r>
    </w:p>
  </w:footnote>
  <w:footnote w:id="2">
    <w:p w14:paraId="7ACD23A7" w14:textId="77777777" w:rsidR="00905C3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16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Professora na Faculdade de Comunicação na Universidade Federal do Pará, Doutora em Ciências da Comunicação pela Escola de Comunicações e Arte da USP: f.gonsales@ufpa.br </w:t>
      </w:r>
    </w:p>
  </w:footnote>
  <w:footnote w:id="3">
    <w:p w14:paraId="46678DCB" w14:textId="5EC87A84" w:rsidR="00B473EA" w:rsidRDefault="00B473EA">
      <w:pPr>
        <w:pStyle w:val="Textodenotaderodap"/>
      </w:pPr>
      <w:r>
        <w:rPr>
          <w:rStyle w:val="Refdenotaderodap"/>
        </w:rPr>
        <w:footnoteRef/>
      </w:r>
      <w:r>
        <w:t xml:space="preserve"> Disponível em </w:t>
      </w:r>
      <w:hyperlink r:id="rId1" w:history="1">
        <w:r w:rsidRPr="00000A1A">
          <w:rPr>
            <w:rStyle w:val="Hyperlink"/>
          </w:rPr>
          <w:t>https://ufpa.br/orgaos/museu-da-ufpa</w:t>
        </w:r>
      </w:hyperlink>
      <w:r>
        <w:t xml:space="preserve"> . Acesso em 01/10/2024.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088E09" w14:textId="77777777" w:rsidR="00905C3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7F58573A" wp14:editId="7B173950">
          <wp:extent cx="5400040" cy="1080135"/>
          <wp:effectExtent l="0" t="0" r="0" b="0"/>
          <wp:docPr id="9" name="image9.png" descr="Cabeçalho_ModeloArtigo_Prancheta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 descr="Cabeçalho_ModeloArtigo_Prancheta 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1080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C3DC01E" w14:textId="77777777" w:rsidR="00905C37" w:rsidRDefault="00905C3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D92F1A"/>
    <w:multiLevelType w:val="multilevel"/>
    <w:tmpl w:val="CF9ACE6E"/>
    <w:lvl w:ilvl="0">
      <w:start w:val="1"/>
      <w:numFmt w:val="bullet"/>
      <w:pStyle w:val="itens"/>
      <w:lvlText w:val="●"/>
      <w:lvlJc w:val="left"/>
      <w:pPr>
        <w:ind w:left="15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</w:rPr>
    </w:lvl>
  </w:abstractNum>
  <w:num w:numId="1" w16cid:durableId="15215520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C37"/>
    <w:rsid w:val="000D063C"/>
    <w:rsid w:val="000E5BE0"/>
    <w:rsid w:val="00180738"/>
    <w:rsid w:val="001D4997"/>
    <w:rsid w:val="001E3644"/>
    <w:rsid w:val="002047D9"/>
    <w:rsid w:val="002E3714"/>
    <w:rsid w:val="002F26C3"/>
    <w:rsid w:val="00321108"/>
    <w:rsid w:val="00376FC8"/>
    <w:rsid w:val="003923E1"/>
    <w:rsid w:val="003C12F2"/>
    <w:rsid w:val="00467444"/>
    <w:rsid w:val="004B1552"/>
    <w:rsid w:val="004D25CD"/>
    <w:rsid w:val="0055336B"/>
    <w:rsid w:val="00561F90"/>
    <w:rsid w:val="005F40CB"/>
    <w:rsid w:val="005F4CB4"/>
    <w:rsid w:val="00662404"/>
    <w:rsid w:val="007F323F"/>
    <w:rsid w:val="0080232F"/>
    <w:rsid w:val="008E031B"/>
    <w:rsid w:val="00905C37"/>
    <w:rsid w:val="009B404B"/>
    <w:rsid w:val="00A07E29"/>
    <w:rsid w:val="00A428C3"/>
    <w:rsid w:val="00AB217F"/>
    <w:rsid w:val="00B2323E"/>
    <w:rsid w:val="00B473EA"/>
    <w:rsid w:val="00B66979"/>
    <w:rsid w:val="00C17554"/>
    <w:rsid w:val="00C41669"/>
    <w:rsid w:val="00D27214"/>
    <w:rsid w:val="00E4113B"/>
    <w:rsid w:val="00E91098"/>
    <w:rsid w:val="00EA66D0"/>
    <w:rsid w:val="00EB1315"/>
    <w:rsid w:val="00ED725E"/>
    <w:rsid w:val="00EF42D7"/>
    <w:rsid w:val="00F34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88793F"/>
  <w15:docId w15:val="{01662F49-27F4-4C5C-B882-BABA62499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outlineLvl w:val="0"/>
    </w:pPr>
    <w:rPr>
      <w:rFonts w:ascii="Arial" w:eastAsia="Arial" w:hAnsi="Arial" w:cs="Arial"/>
      <w:b/>
      <w:color w:val="000000"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57" w:type="dxa"/>
        <w:right w:w="57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473EA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473EA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B473EA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B473E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473EA"/>
    <w:rPr>
      <w:color w:val="605E5C"/>
      <w:shd w:val="clear" w:color="auto" w:fill="E1DFDD"/>
    </w:rPr>
  </w:style>
  <w:style w:type="paragraph" w:customStyle="1" w:styleId="textoepca">
    <w:name w:val="@ texto epca"/>
    <w:basedOn w:val="Normal"/>
    <w:qFormat/>
    <w:rsid w:val="00662404"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ind w:firstLine="851"/>
      <w:jc w:val="both"/>
    </w:pPr>
    <w:rPr>
      <w:rFonts w:ascii="Arial" w:eastAsia="Arial" w:hAnsi="Arial" w:cs="Arial"/>
      <w:sz w:val="24"/>
      <w:szCs w:val="24"/>
    </w:rPr>
  </w:style>
  <w:style w:type="paragraph" w:customStyle="1" w:styleId="itens">
    <w:name w:val="@itens"/>
    <w:basedOn w:val="Normal"/>
    <w:qFormat/>
    <w:rsid w:val="00662404"/>
    <w:pPr>
      <w:widowControl w:val="0"/>
      <w:numPr>
        <w:numId w:val="1"/>
      </w:numPr>
      <w:pBdr>
        <w:top w:val="nil"/>
        <w:left w:val="nil"/>
        <w:bottom w:val="nil"/>
        <w:right w:val="nil"/>
        <w:between w:val="nil"/>
      </w:pBdr>
      <w:spacing w:after="60" w:line="240" w:lineRule="auto"/>
      <w:ind w:left="1570" w:hanging="357"/>
      <w:jc w:val="both"/>
    </w:pPr>
    <w:rPr>
      <w:rFonts w:ascii="Arial" w:eastAsia="Arial" w:hAnsi="Arial" w:cs="Arial"/>
      <w:color w:val="000000" w:themeColor="text1"/>
      <w:sz w:val="24"/>
      <w:szCs w:val="24"/>
    </w:rPr>
  </w:style>
  <w:style w:type="paragraph" w:customStyle="1" w:styleId="analise">
    <w:name w:val="@analise"/>
    <w:basedOn w:val="Normal"/>
    <w:qFormat/>
    <w:rsid w:val="00662404"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Arial" w:eastAsia="Arial" w:hAnsi="Arial" w:cs="Arial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3C12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12F2"/>
  </w:style>
  <w:style w:type="paragraph" w:styleId="Rodap">
    <w:name w:val="footer"/>
    <w:basedOn w:val="Normal"/>
    <w:link w:val="RodapChar"/>
    <w:uiPriority w:val="99"/>
    <w:unhideWhenUsed/>
    <w:rsid w:val="003C12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12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portal.ufpa.br/index.php/ultimas-noticias2/14477-bndes-destinara-36-milhoes-para-restauro-do-polo-mercedarios-ufp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ufpa.br/orgaos/museu-da-ufp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376B26-D6BE-486A-9E55-250B574A6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2656</Words>
  <Characters>14347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Luis Pilli</cp:lastModifiedBy>
  <cp:revision>13</cp:revision>
  <dcterms:created xsi:type="dcterms:W3CDTF">2024-10-08T20:55:00Z</dcterms:created>
  <dcterms:modified xsi:type="dcterms:W3CDTF">2024-10-08T22:06:00Z</dcterms:modified>
</cp:coreProperties>
</file>