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C124CF" w14:textId="77777777" w:rsidR="00016AB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PARA O DESENVOLVIMENTO DE SÍNDROMES HIPERTENSIVAS DURANTE A GRAVIDEZ: UMA EXPLORAÇÃO DOS ELEMENTOS ASSOCIADOS</w:t>
      </w:r>
    </w:p>
    <w:p w14:paraId="55AE137B" w14:textId="6FF4CCED" w:rsidR="00016AB8" w:rsidRDefault="00000000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Keyla Liana Bezer</w:t>
      </w:r>
      <w:r w:rsidR="0001225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Machado ¹</w:t>
      </w:r>
    </w:p>
    <w:p w14:paraId="122E404F" w14:textId="77777777" w:rsidR="00016AB8" w:rsidRDefault="00000000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Farmacêutica, Universidade Federal do Piauí, Teresina-Piauí, lilibezerra2@hotmail.com</w:t>
      </w:r>
    </w:p>
    <w:p w14:paraId="1365DC63" w14:textId="553D799A" w:rsidR="00016AB8" w:rsidRDefault="00CC0D18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>Rian Ricardo Henrique da Silva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</w:p>
    <w:p w14:paraId="747FAD6D" w14:textId="77777777" w:rsidR="00CC0D18" w:rsidRDefault="00CC0D18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 Universidade Federal de Pernambuco, Recife-PE, rianricard46@gmail.com</w:t>
      </w:r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C6D06A4" w14:textId="41102BA4" w:rsidR="00016AB8" w:rsidRDefault="00CC0D18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>Thatiane Jule Pereira Alves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992E71A" w14:textId="46C899E8" w:rsidR="00016AB8" w:rsidRDefault="00CC0D18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proofErr w:type="spellStart"/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>Faminas</w:t>
      </w:r>
      <w:proofErr w:type="spellEnd"/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-BH, Belo </w:t>
      </w:r>
      <w:proofErr w:type="spellStart"/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>Horizonte-MG</w:t>
      </w:r>
      <w:proofErr w:type="spellEnd"/>
      <w:r w:rsidRPr="00CC0D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6" w:history="1">
        <w:r w:rsidRPr="00061FF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Thatianejule.pa@gmail.com</w:t>
        </w:r>
      </w:hyperlink>
    </w:p>
    <w:p w14:paraId="3F1BA1A9" w14:textId="3FABE8D6" w:rsidR="00CC0D18" w:rsidRDefault="00CC0D18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CC0D18">
        <w:rPr>
          <w:rFonts w:ascii="Times New Roman" w:eastAsia="Times New Roman" w:hAnsi="Times New Roman" w:cs="Times New Roman"/>
          <w:bCs/>
          <w:sz w:val="20"/>
          <w:szCs w:val="20"/>
        </w:rPr>
        <w:t>Ronan Sales Farias</w:t>
      </w:r>
      <w:r w:rsidRPr="00CC0D18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4</w:t>
      </w:r>
    </w:p>
    <w:p w14:paraId="1DA53574" w14:textId="30ED3112" w:rsidR="00CC0D18" w:rsidRDefault="0001225E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225E">
        <w:rPr>
          <w:rFonts w:ascii="Times New Roman" w:eastAsia="Times New Roman" w:hAnsi="Times New Roman" w:cs="Times New Roman"/>
          <w:bCs/>
          <w:sz w:val="20"/>
          <w:szCs w:val="20"/>
        </w:rPr>
        <w:t xml:space="preserve">Farmacêutico. Mestrando no Programa em SAÚDE E BIODIVERSIDADE - UFRR,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B</w:t>
      </w:r>
      <w:r w:rsidRPr="0001225E">
        <w:rPr>
          <w:rFonts w:ascii="Times New Roman" w:eastAsia="Times New Roman" w:hAnsi="Times New Roman" w:cs="Times New Roman"/>
          <w:bCs/>
          <w:sz w:val="20"/>
          <w:szCs w:val="20"/>
        </w:rPr>
        <w:t>oa vista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01225E">
        <w:rPr>
          <w:rFonts w:ascii="Times New Roman" w:eastAsia="Times New Roman" w:hAnsi="Times New Roman" w:cs="Times New Roman"/>
          <w:bCs/>
          <w:sz w:val="20"/>
          <w:szCs w:val="20"/>
        </w:rPr>
        <w:t xml:space="preserve">RR, </w:t>
      </w:r>
      <w:hyperlink r:id="rId7" w:history="1">
        <w:r w:rsidRPr="00061FF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ronansalles@hotmail.com</w:t>
        </w:r>
      </w:hyperlink>
    </w:p>
    <w:p w14:paraId="53D3DDAA" w14:textId="6A7BBA26" w:rsidR="0001225E" w:rsidRDefault="0001225E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01225E">
        <w:rPr>
          <w:rFonts w:ascii="Times New Roman" w:eastAsia="Times New Roman" w:hAnsi="Times New Roman" w:cs="Times New Roman"/>
          <w:bCs/>
          <w:sz w:val="20"/>
          <w:szCs w:val="20"/>
        </w:rPr>
        <w:t>Francisca Liliane Lucas Chaves</w:t>
      </w:r>
      <w:r w:rsidRPr="0001225E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5</w:t>
      </w:r>
    </w:p>
    <w:p w14:paraId="7F1BBC2B" w14:textId="711CB333" w:rsidR="00016AB8" w:rsidRDefault="0001225E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225E">
        <w:rPr>
          <w:rFonts w:ascii="Times New Roman" w:eastAsia="Times New Roman" w:hAnsi="Times New Roman" w:cs="Times New Roman"/>
          <w:bCs/>
          <w:sz w:val="20"/>
          <w:szCs w:val="20"/>
        </w:rPr>
        <w:t xml:space="preserve">Enfermeira, Universidade de Fortaleza -UNIFOR, </w:t>
      </w:r>
      <w:hyperlink r:id="rId8" w:history="1">
        <w:r w:rsidR="00545BD0" w:rsidRPr="00061FF1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liliane.l.chaves@gmail.com</w:t>
        </w:r>
      </w:hyperlink>
    </w:p>
    <w:p w14:paraId="42108B8D" w14:textId="4A68BC2A" w:rsidR="00545BD0" w:rsidRDefault="00545BD0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545BD0">
        <w:rPr>
          <w:rFonts w:ascii="Times New Roman" w:eastAsia="Times New Roman" w:hAnsi="Times New Roman" w:cs="Times New Roman"/>
          <w:bCs/>
          <w:sz w:val="20"/>
          <w:szCs w:val="20"/>
        </w:rPr>
        <w:t>Anderson Matheus Pereira da Silva</w:t>
      </w:r>
      <w:r w:rsidRPr="00545BD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6</w:t>
      </w:r>
    </w:p>
    <w:p w14:paraId="4CD52EE2" w14:textId="05C9728C" w:rsidR="00545BD0" w:rsidRPr="00545BD0" w:rsidRDefault="00545BD0" w:rsidP="0001225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5BD0">
        <w:rPr>
          <w:rFonts w:ascii="Times New Roman" w:eastAsia="Times New Roman" w:hAnsi="Times New Roman" w:cs="Times New Roman"/>
          <w:bCs/>
          <w:sz w:val="20"/>
          <w:szCs w:val="20"/>
        </w:rPr>
        <w:t>Bioquímico, Universidade Federal do Vale do São Francisco - UNIVASF, Petrolina-PE, anderson.mhps@icloud.com</w:t>
      </w:r>
    </w:p>
    <w:p w14:paraId="607803AC" w14:textId="77777777" w:rsidR="00016AB8" w:rsidRDefault="00016AB8" w:rsidP="0001225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31BC0A" w14:textId="56A174FA" w:rsidR="00016AB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síndromes hipertensivas na gestação são uma preocupação relevante em saúde materna, com impactos para a mãe e para o embrião. Essas condições, incluindo pré-eclâmpsia, eclâmpsia e hipertensão gestacional, caracterizam-se por hipertensão arterial durante a gravidez. Define-se como hipertensão crônica quando observada previamente à gravidez ou antes de 20 semanas de gestação, ou durante a gravidez e persistindo até 12 semanas após o parto. A pré-eclâmpsia/eclâmpsia define-se como hipertensão que surge após 20 semanas de gestação ou antes.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Fornecer uma visão ampla acerca das síndromes hipertensivas na gestação, a fim de mitigar seu impacto e avançar em direção a uma melhor saúde materna e neonatal.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Empregou-se uma revisão bibliográfica para discutir acerca das contribuições para o desenvolvimento de síndromes hipertensivas no momento da gravidez. A busca bibliográfica foi realizada em bases de dados especializadas, 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Google Scholar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critérios de inclusão e exclusão.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 e Discussões: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Síndromes Hipertensivas Gestacionais (SHG) são as mais importantes complicações no momento do ciclo gravídico, em que a incidência pode variar entre 6% a 30% das gestações.  As complicações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maternas podem se manifestar como trombocitopenia, o aumento das enzimas hepáticas, a hemólise das hemácias, e a Eclâmpsia.  No feto, pode ocorrer o comprometimento do seu desenvolvimento, parto prematuro, baixo peso ao nascer e morte perinatal.  Idade materna avançada,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primigestidade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(primeira gestação) 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multigestidade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(gestações múltiplas), obesidade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-gestacional e o ganho excessivo de peso durante a gestação, são reconhecidos como fatores de riscos significativos para complicações gestacionais.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Considerações Finais:  </w:t>
      </w:r>
      <w:r w:rsidR="00CC0D18">
        <w:rPr>
          <w:rFonts w:ascii="Times New Roman" w:eastAsia="Times New Roman" w:hAnsi="Times New Roman" w:cs="Times New Roman"/>
          <w:color w:val="000000"/>
          <w:sz w:val="24"/>
          <w:szCs w:val="24"/>
        </w:rPr>
        <w:t>As SHG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uma das complicações mais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sobressaltantes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ciclo gravídico, contribuindo para altos índices de morbidade materna, e sendo uma das principais causas de mortalidade materna. As complicações associadas aos distúrbios hipertensivos expressam um número significativo </w:t>
      </w:r>
      <w:r w:rsidR="00CC0D18">
        <w:rPr>
          <w:rFonts w:ascii="Times New Roman" w:eastAsia="Times New Roman" w:hAnsi="Times New Roman" w:cs="Times New Roman"/>
          <w:color w:val="000000"/>
          <w:sz w:val="24"/>
          <w:szCs w:val="24"/>
        </w:rPr>
        <w:t>dos óbitos maternos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ocorrem globalmente, além de serem as principais causas de nascimentos prematuros, com números sobresselentes no Brasil. Logo, a administração de maneira adequada dos fatores de risco e a implementação de estratégias preventivas </w:t>
      </w:r>
      <w:r w:rsidR="00CC0D18">
        <w:rPr>
          <w:rFonts w:ascii="Times New Roman" w:eastAsia="Times New Roman" w:hAnsi="Times New Roman" w:cs="Times New Roman"/>
          <w:color w:val="000000"/>
          <w:sz w:val="24"/>
          <w:szCs w:val="24"/>
        </w:rPr>
        <w:t>são importantes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reduzir a incidência e a gravidade das SHG, a fim de garantir uma melhor saúde materna e fetal durante o ciclo gravídico.</w:t>
      </w:r>
    </w:p>
    <w:p w14:paraId="4A07D4AD" w14:textId="77777777" w:rsidR="00016A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Hipertensão; Gravidez; Síndromes.</w:t>
      </w:r>
    </w:p>
    <w:p w14:paraId="2976D33B" w14:textId="77777777" w:rsidR="00016A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 e Biológicas em geral.</w:t>
      </w:r>
    </w:p>
    <w:p w14:paraId="4E9244DE" w14:textId="77777777" w:rsidR="00016A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lilibezerra2@hotmail.com</w:t>
      </w:r>
    </w:p>
    <w:p w14:paraId="5C68C898" w14:textId="77777777" w:rsidR="00016AB8" w:rsidRDefault="0001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E46827" w14:textId="77777777" w:rsidR="00016AB8" w:rsidRDefault="0001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7C8073" w14:textId="77777777" w:rsidR="00016AB8" w:rsidRDefault="00016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E58A547" w14:textId="77777777" w:rsidR="00016AB8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19C9650B" w14:textId="77777777" w:rsidR="00016AB8" w:rsidRDefault="00000000">
      <w:pPr>
        <w:pStyle w:val="Corpodetex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síndromes hipertensivas na gestação representam uma preocupação significativa em saúde materna, com impactos tanto para a mãe quanto para o feto. Essas condições, incluindo pré-eclâmpsia, eclâmpsia e hipertensão gestacional, caracterizam-se por hipertensão arterial durante a gravidez, muitas vezes associada a proteinúria e disfunção de órgãos. Apesar dos avanços na compreensão e manejo dessas síndromes, elas continuam a ser uma das principais causas de morbidade e mortalidade materna e neonatal em todo o mundo (HAUTH </w:t>
      </w:r>
      <w:r>
        <w:rPr>
          <w:rFonts w:ascii="Times New Roman" w:hAnsi="Times New Roman"/>
          <w:i/>
          <w:iCs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>, 2000).</w:t>
      </w:r>
    </w:p>
    <w:p w14:paraId="5E361F13" w14:textId="5BDF5642" w:rsidR="00016AB8" w:rsidRDefault="00000000">
      <w:pPr>
        <w:pStyle w:val="Corpodetex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pressão arterial igual ou maior que 140/90mmHg que se baseia na média de, pelo menos, duas medidas. Dessa forma, considera-se como pressão sistólica o primeiro ruído, </w:t>
      </w:r>
      <w:r w:rsidR="00CC0D18">
        <w:rPr>
          <w:rFonts w:ascii="Times New Roman" w:hAnsi="Times New Roman"/>
          <w:sz w:val="24"/>
          <w:szCs w:val="24"/>
        </w:rPr>
        <w:t>o aparecimento</w:t>
      </w:r>
      <w:r>
        <w:rPr>
          <w:rFonts w:ascii="Times New Roman" w:hAnsi="Times New Roman"/>
          <w:sz w:val="24"/>
          <w:szCs w:val="24"/>
        </w:rPr>
        <w:t xml:space="preserve"> do som, </w:t>
      </w:r>
      <w:r w:rsidR="00CC0D18">
        <w:rPr>
          <w:rFonts w:ascii="Times New Roman" w:hAnsi="Times New Roman"/>
          <w:sz w:val="24"/>
          <w:szCs w:val="24"/>
        </w:rPr>
        <w:t>e a</w:t>
      </w:r>
      <w:r>
        <w:rPr>
          <w:rFonts w:ascii="Times New Roman" w:hAnsi="Times New Roman"/>
          <w:sz w:val="24"/>
          <w:szCs w:val="24"/>
        </w:rPr>
        <w:t xml:space="preserve"> pressão diastólica o quinto ruído de </w:t>
      </w:r>
      <w:proofErr w:type="spellStart"/>
      <w:r>
        <w:rPr>
          <w:rFonts w:ascii="Times New Roman" w:hAnsi="Times New Roman"/>
          <w:sz w:val="24"/>
          <w:szCs w:val="24"/>
        </w:rPr>
        <w:t>Korotkoff</w:t>
      </w:r>
      <w:proofErr w:type="spellEnd"/>
      <w:r>
        <w:rPr>
          <w:rFonts w:ascii="Times New Roman" w:hAnsi="Times New Roman"/>
          <w:sz w:val="24"/>
          <w:szCs w:val="24"/>
        </w:rPr>
        <w:t xml:space="preserve">, ou o desaparecimento do som. Deve mensurar a pressão arterial com a gestante sentada, com o braço no nível do </w:t>
      </w:r>
      <w:r>
        <w:rPr>
          <w:rFonts w:ascii="Times New Roman" w:hAnsi="Times New Roman"/>
          <w:sz w:val="24"/>
          <w:szCs w:val="24"/>
        </w:rPr>
        <w:lastRenderedPageBreak/>
        <w:t>coração e com um manguito de tamanho apropriado. Logo, se houver uma consistente discrepância de pressão arterial entre os braços, o braço com os valores mais elevados deve-se priorizar para todas as medições.</w:t>
      </w:r>
      <w:r w:rsidR="00CC0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Dessa forma, para a aferição da pressão arterial, é recomendado o uso preferencial de esfigmomanômetros de coluna de mercúrio ou dispositivos aneroides calibrados. A utilização de aparelhos automáticos (digitais) só é aconselhável se forem validados adequadamente para aferição em casos de pré-eclâmpsia (BRASIL, 2010).</w:t>
      </w:r>
    </w:p>
    <w:p w14:paraId="5D531210" w14:textId="77777777" w:rsidR="00016AB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Em relação à hipertensão crônica, quando observada previamente à gravidez ou antes de 20 semanas de gestação, ou diagnosticada durante a gravidez e persistindo até 12 semanas após o parto. No que se refere à pré-eclâmpsia/eclâmpsia, define-se como hipertensão que surge após 20 semanas de gestação, ou antes, em casos de doença </w:t>
      </w:r>
      <w:proofErr w:type="spellStart"/>
      <w:r>
        <w:rPr>
          <w:rFonts w:ascii="Times New Roman" w:hAnsi="Times New Roman"/>
          <w:sz w:val="24"/>
          <w:szCs w:val="24"/>
        </w:rPr>
        <w:t>trofoblástica</w:t>
      </w:r>
      <w:proofErr w:type="spellEnd"/>
      <w:r>
        <w:rPr>
          <w:rFonts w:ascii="Times New Roman" w:hAnsi="Times New Roman"/>
          <w:sz w:val="24"/>
          <w:szCs w:val="24"/>
        </w:rPr>
        <w:t xml:space="preserve"> gestacional ou </w:t>
      </w:r>
      <w:proofErr w:type="spellStart"/>
      <w:r>
        <w:rPr>
          <w:rFonts w:ascii="Times New Roman" w:hAnsi="Times New Roman"/>
          <w:sz w:val="24"/>
          <w:szCs w:val="24"/>
        </w:rPr>
        <w:t>hidrópsia</w:t>
      </w:r>
      <w:proofErr w:type="spellEnd"/>
      <w:r>
        <w:rPr>
          <w:rFonts w:ascii="Times New Roman" w:hAnsi="Times New Roman"/>
          <w:sz w:val="24"/>
          <w:szCs w:val="24"/>
        </w:rPr>
        <w:t xml:space="preserve"> fetal, acompanhada de proteinúria, com resolução até 12 semanas pós-parto. Na ausência de proteinúria, suspeita-se quando o aumento da pressão é associado a sintomas como cefaleia, distúrbios visuais, dor abdominal, plaquetopenia e elevação de enzimas hepáticas (BRASIL, 2010).</w:t>
      </w:r>
    </w:p>
    <w:p w14:paraId="56E8DACF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histórico médico materno possui uma função essencial no prognóstico da gestação, principalmente em relação ao desenvolvimento de síndromes hipertensivas. Antecedentes de condições crônicas como hipertensão arterial, diabetes, obesidade e doenças renais prévias estão associados a um aumento significativo do risco de ocorrência dessas síndromes durante a gestação. Pesquisas indicam que mulheres com essas condições pré-existentes possuem uma probabilidade maior de desenvolver hipertensão gestacional, pré-eclâmpsia e outras complicações hipertensivas durante a gravidez (ROBERTS, 2011).</w:t>
      </w:r>
      <w:r>
        <w:rPr>
          <w:rFonts w:ascii="Times New Roman" w:hAnsi="Times New Roman"/>
          <w:sz w:val="24"/>
          <w:szCs w:val="24"/>
        </w:rPr>
        <w:tab/>
        <w:t>Dessa forma, este capítulo possui como objetivo fornecer uma abrangente visão acerca das síndromes hipertensivas na gestação. Ao compreender melhor os fatores que contribuem para essas condições e as estratégias para mitigar seu impacto, pode-se avançar em direção a uma melhor saúde materna e neonatal.</w:t>
      </w:r>
    </w:p>
    <w:p w14:paraId="3E1F1FBA" w14:textId="77777777" w:rsidR="00016AB8" w:rsidRDefault="00016A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10E4F5" w14:textId="77777777" w:rsidR="00016AB8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622C624B" w14:textId="77777777" w:rsidR="00016AB8" w:rsidRDefault="00000000">
      <w:pPr>
        <w:pStyle w:val="Corpodetexto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empregou uma revisão bibliográfica para discutir sobre as contribuições para o desenvolvimento de síndromes hipertensivas no momento da gravidez,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o objetivo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investigar os progressos em abordagens terapêuticas nesse sentido. A busca bibliográfica foi realizada em bases de dados especializadas, 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Google Scholar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C3C889" w14:textId="77777777" w:rsidR="00016AB8" w:rsidRDefault="00000000">
      <w:pPr>
        <w:pStyle w:val="Corpodetexto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estabelecidos critérios para inclusão, considerando estudos recentes focados nesse tema. Excluíram-se os estudos irrelevantes para o escopo. Posteriormente à seleção com base em títulos e resumo, realizou-se a leitura das pesquisas que continham os critérios de inclusão, de maneira a assegurar uma análise detalhada e abrangente. Depois disso, foram selecionados os artigos para a discussão. </w:t>
      </w:r>
    </w:p>
    <w:p w14:paraId="00F12230" w14:textId="77777777" w:rsidR="00016AB8" w:rsidRDefault="00016AB8">
      <w:pPr>
        <w:pStyle w:val="Corpodetexto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94CED" w14:textId="77777777" w:rsidR="00016AB8" w:rsidRDefault="00000000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DISCUSSÕES</w:t>
      </w:r>
    </w:p>
    <w:p w14:paraId="08C8F080" w14:textId="77777777" w:rsidR="00016AB8" w:rsidRDefault="00016A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FBF199F" w14:textId="01CB2D4D" w:rsidR="00016AB8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Consideram-se as Síndromes Hipertensivas Gestacionais (SHG) como umas das mais importantes complicações no momento do ciclo gravídico. Dessa forma, a incidência pode variar entre 6% a 30% das gestações, de maneira a contribuir para elevados índices de morbidade materna, e a principal causa de morte no mundo. As complicações ocorridas nos distúrbios hipertensivos como pré-eclâmpsia e eclâmpsia equivalem a 25% de todas as mortes maternas em todo mundo, e as causas predominantes de nascimentos prematuros, além </w:t>
      </w:r>
      <w:r w:rsidR="00CC0D18">
        <w:rPr>
          <w:rFonts w:ascii="Times New Roman" w:hAnsi="Times New Roman"/>
          <w:sz w:val="24"/>
          <w:szCs w:val="24"/>
        </w:rPr>
        <w:t>disso, no</w:t>
      </w:r>
      <w:r>
        <w:rPr>
          <w:rFonts w:ascii="Times New Roman" w:hAnsi="Times New Roman"/>
          <w:sz w:val="24"/>
          <w:szCs w:val="24"/>
        </w:rPr>
        <w:t xml:space="preserve"> Brasil, esses números correspondem a 20%. Define-se as SHG pelo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High </w:t>
      </w:r>
      <w:proofErr w:type="spellStart"/>
      <w:r>
        <w:rPr>
          <w:rFonts w:ascii="Times New Roman" w:hAnsi="Times New Roman"/>
          <w:sz w:val="24"/>
          <w:szCs w:val="24"/>
        </w:rPr>
        <w:t>Blood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Pressure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</w:t>
      </w:r>
      <w:proofErr w:type="spellEnd"/>
      <w:r>
        <w:rPr>
          <w:rFonts w:ascii="Times New Roman" w:hAnsi="Times New Roman"/>
          <w:sz w:val="24"/>
          <w:szCs w:val="24"/>
        </w:rPr>
        <w:t xml:space="preserve"> (NHBPEP) – Programa Nacional de Educação de Pressão Arterial, Hipertensão Arterial Crônica (HAC), Hipertensão Gestacional (HG), Pré-eclâmpsia (PE) e Hipertensão Arterial Crônica sobreposta à Pré-eclâmpsia (HAC+PE) (SBARDELOTTO, 2018).</w:t>
      </w:r>
    </w:p>
    <w:p w14:paraId="0146A84E" w14:textId="77777777" w:rsidR="00016AB8" w:rsidRDefault="0000000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que se refere às complicações maternas, são destacadas a trombocitopenia, o aumento das enzimas hepáticas, a hemólise das hemácias, a Síndrome HELLP (</w:t>
      </w:r>
      <w:proofErr w:type="spellStart"/>
      <w:r>
        <w:rPr>
          <w:rFonts w:ascii="Times New Roman" w:hAnsi="Times New Roman"/>
          <w:sz w:val="24"/>
          <w:szCs w:val="24"/>
        </w:rPr>
        <w:t>Hemolytic</w:t>
      </w:r>
      <w:proofErr w:type="spellEnd"/>
      <w:r>
        <w:rPr>
          <w:rFonts w:ascii="Times New Roman" w:hAnsi="Times New Roman"/>
          <w:sz w:val="24"/>
          <w:szCs w:val="24"/>
        </w:rPr>
        <w:t xml:space="preserve"> Anemia, </w:t>
      </w:r>
      <w:proofErr w:type="spellStart"/>
      <w:r>
        <w:rPr>
          <w:rFonts w:ascii="Times New Roman" w:hAnsi="Times New Roman"/>
          <w:sz w:val="24"/>
          <w:szCs w:val="24"/>
        </w:rPr>
        <w:t>Elevated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Liver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Enzymes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Platelet</w:t>
      </w:r>
      <w:proofErr w:type="spellEnd"/>
      <w:r>
        <w:rPr>
          <w:rFonts w:ascii="Times New Roman" w:hAnsi="Times New Roman"/>
          <w:sz w:val="24"/>
          <w:szCs w:val="24"/>
        </w:rPr>
        <w:t xml:space="preserve"> Count) e a Eclâmpsia. Enquanto, no feto, ocorre o comprometimento do seu desenvolvimento, o parto prematuro, baixo peso ao nascer e morte perinatal (REF5-6). Dessa maneira, a identificação das pacientes em risco para o desenvolvimento das síndromes hipertensivas na gestação (SHG), por agentes relacionados à sua ocorrência, ou por características definidoras de suas modalidades, pode colaborar para uma redução da imprecisão na escolha diagnóstica para as situações e problemas que são apresentados, de maneira a prevenir ou retardar a apresentação clínica das formas mais graves </w:t>
      </w:r>
      <w:r>
        <w:rPr>
          <w:rFonts w:ascii="Times New Roman" w:hAnsi="Times New Roman"/>
          <w:sz w:val="24"/>
          <w:szCs w:val="24"/>
        </w:rPr>
        <w:lastRenderedPageBreak/>
        <w:t>(REF7). Aliado a isso, as características definidoras são um conjunto de evidências que se agrupam como manifestação dos sinais e sintomas que asseguram a presença de um determinado diagnóstico, enquanto os fatores relacionados são os que constituem a etiologia deste diagnóstico, ou seja, que determinam as causas da origem de um determinado fenômeno (HUTCHEON, 2011; DE MOURA, 2013; MYATT, 2014).</w:t>
      </w:r>
    </w:p>
    <w:p w14:paraId="0EB36D04" w14:textId="77777777" w:rsidR="00016AB8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idade materna avançada tem sido reconhecida como um fator de risco significativo para complicações gestacionais, juntamente com a pré-eclâmpsia e outras síndromes hipertensivas. Um estudo conduzido por Xiong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(2017) mencionou que mulheres grávidas com idade avançada, com 35 anos ou mais, possuem um risco aumentado de desenvolver pré-eclâmpsia em comparação com mulheres mais jovens. Aliado a isso, uma meta-análise realizada por Li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(2020) corroborou essa pesquisa, ao encontrar uma associação significativa entre idade materna avançada e pré-eclâmpsia, independentemente de outros fatores de risco.</w:t>
      </w:r>
    </w:p>
    <w:p w14:paraId="1469DA2B" w14:textId="77777777" w:rsidR="00016AB8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Nessa perspectiva, outros estudos investigaram também os mecanismos subjacentes a essa associação, como o de Roberts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(2019), que sugeriu que mulheres mais velhas podem apresentar disfunção endotelial, além de alterações no sistema imunológico que contribuem para o desenvolvimento de pré-eclâmpsia. Aliado a isso, fatores como obesidade e doenças crônicas, mais comuns em mulheres mais velhas, podem aumentar também o risco de complicações hipertensivas durante a gestação, como destacado por Roberts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(2018).</w:t>
      </w:r>
    </w:p>
    <w:p w14:paraId="3BE36CF0" w14:textId="77777777" w:rsidR="00016AB8" w:rsidRDefault="00000000">
      <w:pPr>
        <w:pStyle w:val="Corpodetexto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primigestidade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(primeira gestação) 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multigestidade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(gestações múltiplas) são fatores importantes a considerar no contexto das síndromes hipertensivas na gestação (SHG). Um estudo realizado por Bellamy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(2007) evidenciou que mulheres primigestas têm um risco aumentado de desenvolver pré-eclâmpsia em comparação com mulheres multíparas. Isso sugere que a experiência prévia de gravidez pode conferir alguma proteção contra o desenvolvimento de pré-eclâmpsia.</w:t>
      </w:r>
    </w:p>
    <w:p w14:paraId="1ED7160F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 gestações múltiplas, como gêmeos ou trigêmeos, associam-se a um risco maior de complicações hipertensivas, como a pré-eclâmpsia. Uma análise sistemática realizada por Conde-Agudelo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(2014) encontrou uma associação significativa entre gestações múltiplas e pré-eclâmpsia, de modo a ressaltar a importância da vigilância e cuidado intensivo em </w:t>
      </w:r>
      <w:r>
        <w:rPr>
          <w:rFonts w:ascii="Times New Roman" w:hAnsi="Times New Roman"/>
          <w:sz w:val="24"/>
          <w:szCs w:val="24"/>
        </w:rPr>
        <w:lastRenderedPageBreak/>
        <w:t>mulheres grávidas de múltiplos embriões. Pesquisas demonstram que o número de gestações anteriores pode induzir o risco de desenvolvimento de complicações hipertensivas.</w:t>
      </w:r>
    </w:p>
    <w:p w14:paraId="3C75F798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Constata-se que mulheres com mais gestações anteriores possuem um risco aumentado de pré-eclâmpsia, independentemente da idade materna. Desse modo, a </w:t>
      </w:r>
      <w:proofErr w:type="spellStart"/>
      <w:r>
        <w:rPr>
          <w:rFonts w:ascii="Times New Roman" w:hAnsi="Times New Roman"/>
          <w:sz w:val="24"/>
          <w:szCs w:val="24"/>
        </w:rPr>
        <w:t>primigestidade</w:t>
      </w:r>
      <w:proofErr w:type="spellEnd"/>
      <w:r>
        <w:rPr>
          <w:rFonts w:ascii="Times New Roman" w:hAnsi="Times New Roman"/>
          <w:sz w:val="24"/>
          <w:szCs w:val="24"/>
        </w:rPr>
        <w:t xml:space="preserve"> e a </w:t>
      </w:r>
      <w:proofErr w:type="spellStart"/>
      <w:r>
        <w:rPr>
          <w:rFonts w:ascii="Times New Roman" w:hAnsi="Times New Roman"/>
          <w:sz w:val="24"/>
          <w:szCs w:val="24"/>
        </w:rPr>
        <w:t>multigestidade</w:t>
      </w:r>
      <w:proofErr w:type="spellEnd"/>
      <w:r>
        <w:rPr>
          <w:rFonts w:ascii="Times New Roman" w:hAnsi="Times New Roman"/>
          <w:sz w:val="24"/>
          <w:szCs w:val="24"/>
        </w:rPr>
        <w:t xml:space="preserve"> são fatores relevantes a serem considerados na avaliação do risco de síndromes hipertensivas na gestação, ressaltando a necessidade de uma abordagem personalizada e vigilância cuidadosa durante o pré-natal. A obesidade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-gestacional e o ganho excessivo de peso durante a gestação são fatores de risco importantes para o desenvolvimento de complicações hipertensivas na gestação, incluindo hipertensão gestacional e pré-eclâmpsia. Diversos estudos têm investigado essa associação e evidenciado sua relevância clínica. (BARTSCH, 2016). </w:t>
      </w:r>
    </w:p>
    <w:p w14:paraId="14A85A43" w14:textId="05554700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Aliado a isso, demonstra-se uma relação dose-resposta entre o índice de massa corporal (IMC)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-gestacional elevado e o risco aumentado de pré-eclâmpsia. Segundo SANTOS </w:t>
      </w:r>
      <w:r>
        <w:rPr>
          <w:rFonts w:ascii="Times New Roman" w:hAnsi="Times New Roman"/>
          <w:i/>
          <w:iCs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, (2020), há </w:t>
      </w:r>
      <w:r w:rsidR="00CC0D18">
        <w:rPr>
          <w:rFonts w:ascii="Times New Roman" w:hAnsi="Times New Roman"/>
          <w:sz w:val="24"/>
          <w:szCs w:val="24"/>
        </w:rPr>
        <w:t>uma associação</w:t>
      </w:r>
      <w:r>
        <w:rPr>
          <w:rFonts w:ascii="Times New Roman" w:hAnsi="Times New Roman"/>
          <w:sz w:val="24"/>
          <w:szCs w:val="24"/>
        </w:rPr>
        <w:t xml:space="preserve"> significativa entre obesidade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-gestacional e pré-eclâmpsia, enfatizando a importância do controle do peso antes da concepção como estratégia preventiva. Além disso, uma pesquisa realizada por Gaillard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., (2013) investigou o impacto do ganho de peso no momento da gestação na ocorrência de hipertensão gestacional. Os resultados indicaram que um ganho excessivo de peso durante a gravidez estava relacionado a um maior risco de desenvolver hipertensão gestacional, independentemente do IMC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>-gestacional. Faz-se necessário, então, ressaltar a importância da gestão do peso durante todo o curso da gravidez para a prevenção de complicações hipertensivas.</w:t>
      </w:r>
    </w:p>
    <w:p w14:paraId="199B803A" w14:textId="77777777" w:rsidR="00016AB8" w:rsidRDefault="00016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92FA46" w14:textId="77777777" w:rsidR="00016AB8" w:rsidRDefault="00000000">
      <w:pPr>
        <w:spacing w:after="0" w:line="360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 OU CONSIDERAÇÕES FINAIS</w:t>
      </w:r>
    </w:p>
    <w:p w14:paraId="0A983B08" w14:textId="770C6EBA" w:rsidR="00016AB8" w:rsidRDefault="00000000">
      <w:pPr>
        <w:pStyle w:val="Corpodetex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as Síndromes Hipertensivas Gestacionais (SHG) emergem como uma das complicações mais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sobressaltantes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ciclo gravídico, com uma incidência entre 6% e 30% das gestações, de maneira a contribuir para altos índices de morbidade materna e representando uma das principais causas de mortalidade materna em todo o mundo. As complicações que são associadas aos distúrbios hipertensivos, como pré-eclâmpsia e eclâmpsia, expressam uma parcela significativa </w:t>
      </w:r>
      <w:r w:rsidR="00CC0D18">
        <w:rPr>
          <w:rFonts w:ascii="Times New Roman" w:eastAsia="Times New Roman" w:hAnsi="Times New Roman" w:cs="Times New Roman"/>
          <w:color w:val="000000"/>
          <w:sz w:val="24"/>
          <w:szCs w:val="24"/>
        </w:rPr>
        <w:t>dos óbitos maternos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ocorrem globalmente, além de serem as principais causas de nascimentos prematuros, com números sobresselentes no Brasil.</w:t>
      </w:r>
    </w:p>
    <w:p w14:paraId="0D1D4F17" w14:textId="3E86A4A8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As SHG, que são definidas pelo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High </w:t>
      </w:r>
      <w:proofErr w:type="spellStart"/>
      <w:r>
        <w:rPr>
          <w:rFonts w:ascii="Times New Roman" w:hAnsi="Times New Roman"/>
          <w:sz w:val="24"/>
          <w:szCs w:val="24"/>
        </w:rPr>
        <w:t>Blood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Pressure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</w:t>
      </w:r>
      <w:proofErr w:type="spellEnd"/>
      <w:r>
        <w:rPr>
          <w:rFonts w:ascii="Times New Roman" w:hAnsi="Times New Roman"/>
          <w:sz w:val="24"/>
          <w:szCs w:val="24"/>
        </w:rPr>
        <w:t xml:space="preserve"> (NHBPEP), compreendam a hipertensão arterial </w:t>
      </w:r>
      <w:r w:rsidR="00CC0D18">
        <w:rPr>
          <w:rFonts w:ascii="Times New Roman" w:hAnsi="Times New Roman"/>
          <w:sz w:val="24"/>
          <w:szCs w:val="24"/>
        </w:rPr>
        <w:t>crônica, pré</w:t>
      </w:r>
      <w:r>
        <w:rPr>
          <w:rFonts w:ascii="Times New Roman" w:hAnsi="Times New Roman"/>
          <w:sz w:val="24"/>
          <w:szCs w:val="24"/>
        </w:rPr>
        <w:t>-</w:t>
      </w:r>
      <w:r w:rsidR="00CC0D18">
        <w:rPr>
          <w:rFonts w:ascii="Times New Roman" w:hAnsi="Times New Roman"/>
          <w:sz w:val="24"/>
          <w:szCs w:val="24"/>
        </w:rPr>
        <w:t>eclâmpsia, hipertensão</w:t>
      </w:r>
      <w:r>
        <w:rPr>
          <w:rFonts w:ascii="Times New Roman" w:hAnsi="Times New Roman"/>
          <w:sz w:val="24"/>
          <w:szCs w:val="24"/>
        </w:rPr>
        <w:t xml:space="preserve"> gestacional e hipertensão arterial crônica sobreposta à pré-eclâmpsia. As complicações maternas, como a </w:t>
      </w:r>
      <w:r w:rsidR="00CC0D18">
        <w:rPr>
          <w:rFonts w:ascii="Times New Roman" w:hAnsi="Times New Roman"/>
          <w:sz w:val="24"/>
          <w:szCs w:val="24"/>
        </w:rPr>
        <w:t>trombocitopenia, hemólise</w:t>
      </w:r>
      <w:r>
        <w:rPr>
          <w:rFonts w:ascii="Times New Roman" w:hAnsi="Times New Roman"/>
          <w:sz w:val="24"/>
          <w:szCs w:val="24"/>
        </w:rPr>
        <w:t xml:space="preserve"> das </w:t>
      </w:r>
      <w:r w:rsidR="00CC0D18">
        <w:rPr>
          <w:rFonts w:ascii="Times New Roman" w:hAnsi="Times New Roman"/>
          <w:sz w:val="24"/>
          <w:szCs w:val="24"/>
        </w:rPr>
        <w:t>hemácias, síndrome</w:t>
      </w:r>
      <w:r>
        <w:rPr>
          <w:rFonts w:ascii="Times New Roman" w:hAnsi="Times New Roman"/>
          <w:sz w:val="24"/>
          <w:szCs w:val="24"/>
        </w:rPr>
        <w:t xml:space="preserve"> HELLP, aumento das enzimas </w:t>
      </w:r>
      <w:r w:rsidR="00CC0D18">
        <w:rPr>
          <w:rFonts w:ascii="Times New Roman" w:hAnsi="Times New Roman"/>
          <w:sz w:val="24"/>
          <w:szCs w:val="24"/>
        </w:rPr>
        <w:t>hepáticas e</w:t>
      </w:r>
      <w:r>
        <w:rPr>
          <w:rFonts w:ascii="Times New Roman" w:hAnsi="Times New Roman"/>
          <w:sz w:val="24"/>
          <w:szCs w:val="24"/>
        </w:rPr>
        <w:t xml:space="preserve"> eclâmpsia, em conjunto com o comprometimento do desenvolvimento do embrião, parto prematuro, baixo peso ao nascer e morte perinatal, fatores que evidenciam a gravidade e a complexidade destas ocorrências.</w:t>
      </w:r>
    </w:p>
    <w:p w14:paraId="386FED23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Faz-se necessário identificar as pacientes em risco para o desenvolvimento das SHG, por fatores relacionados à sua ocorrência ou por características definidoras de suas modalidades, em que se pode contribuir para uma redução da imprecisão no diagnóstico, prevenindo ou retardando a apresentação clínica das formas mais graves. As características definidoras, que representam um conjunto de evidências dos sinais e sintomas que asseguram a presença de um determinado diagnóstico, e os fatores relacionados, que determinam as causas da origem de um determinado fenômeno, são essenciais na abordagem clínica e nas decisões terapêuticas.</w:t>
      </w:r>
    </w:p>
    <w:p w14:paraId="38E93201" w14:textId="33993EF4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0D1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C0D18">
        <w:rPr>
          <w:rFonts w:ascii="Times New Roman" w:hAnsi="Times New Roman"/>
          <w:sz w:val="24"/>
          <w:szCs w:val="24"/>
        </w:rPr>
        <w:t>primigestidade</w:t>
      </w:r>
      <w:proofErr w:type="spellEnd"/>
      <w:r>
        <w:rPr>
          <w:rFonts w:ascii="Times New Roman" w:hAnsi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/>
          <w:sz w:val="24"/>
          <w:szCs w:val="24"/>
        </w:rPr>
        <w:t>multigestidade</w:t>
      </w:r>
      <w:proofErr w:type="spellEnd"/>
      <w:r>
        <w:rPr>
          <w:rFonts w:ascii="Times New Roman" w:hAnsi="Times New Roman"/>
          <w:sz w:val="24"/>
          <w:szCs w:val="24"/>
        </w:rPr>
        <w:t xml:space="preserve">, a idade materna avançada </w:t>
      </w:r>
      <w:r w:rsidR="00CC0D18">
        <w:rPr>
          <w:rFonts w:ascii="Times New Roman" w:hAnsi="Times New Roman"/>
          <w:sz w:val="24"/>
          <w:szCs w:val="24"/>
        </w:rPr>
        <w:t>e índice</w:t>
      </w:r>
      <w:r>
        <w:rPr>
          <w:rFonts w:ascii="Times New Roman" w:hAnsi="Times New Roman"/>
          <w:sz w:val="24"/>
          <w:szCs w:val="24"/>
        </w:rPr>
        <w:t xml:space="preserve"> de massa corporal elevado emergem como fatores de risco significativos para o desenvolvimento das SHG. Pesquisas destacam a associação entre idade materna avançada e um maior risco de pré-eclâmpsia, assim como a importância dos mecanismos subjacentes a esta associação, como a disfunção endotelial e alterações no sistema imunológico.</w:t>
      </w:r>
    </w:p>
    <w:p w14:paraId="6530257B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Aliado a isso, a experiência prévia de gravidez pode influenciar o risco de desenvolvimento de pré-eclâmpsia, com mulheres primigestas, de maneira a apresentar um risco aumentado em comparação com mulheres multíparas. Gestações múltiplas associam-se também a um maior risco de complicações hipertensivas, destacando-se a necessidade de uma vigilância cuidadosa em mulheres grávidas de múltiplos embriões.</w:t>
      </w:r>
    </w:p>
    <w:p w14:paraId="031AC6B7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obesidade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 xml:space="preserve">-gestacional e o ganho excessivo de peso durante a gestação são fatores de risco importantes para o desenvolvimento de complicações hipertensivas na gestação. As pesquisas supracitadas neste estudo demonstram uma relação dose-resposta entre o índice de </w:t>
      </w:r>
      <w:r>
        <w:rPr>
          <w:rFonts w:ascii="Times New Roman" w:hAnsi="Times New Roman"/>
          <w:sz w:val="24"/>
          <w:szCs w:val="24"/>
        </w:rPr>
        <w:lastRenderedPageBreak/>
        <w:t xml:space="preserve">massa corporal </w:t>
      </w:r>
      <w:proofErr w:type="spellStart"/>
      <w:r>
        <w:rPr>
          <w:rFonts w:ascii="Times New Roman" w:hAnsi="Times New Roman"/>
          <w:sz w:val="24"/>
          <w:szCs w:val="24"/>
        </w:rPr>
        <w:t>pré</w:t>
      </w:r>
      <w:proofErr w:type="spellEnd"/>
      <w:r>
        <w:rPr>
          <w:rFonts w:ascii="Times New Roman" w:hAnsi="Times New Roman"/>
          <w:sz w:val="24"/>
          <w:szCs w:val="24"/>
        </w:rPr>
        <w:t>-gestacional elevado e o risco aumentado de pré-eclâmpsia, além do impacto do ganho de peso durante a gestação na ocorrência de hipertensão gestacional.</w:t>
      </w:r>
    </w:p>
    <w:p w14:paraId="35460497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Para tanto, a gestão adequada dos fatores de risco e a implementação de estratégias preventivas são essenciais para reduzir a incidência e a gravidade das SHG, garantindo uma melhor saúde materna e fetal durante o ciclo gravídico.</w:t>
      </w:r>
    </w:p>
    <w:p w14:paraId="5A2AF1D8" w14:textId="77777777" w:rsidR="00016AB8" w:rsidRDefault="00016AB8">
      <w:pPr>
        <w:spacing w:after="0" w:line="240" w:lineRule="auto"/>
      </w:pPr>
    </w:p>
    <w:p w14:paraId="3C8CC5E8" w14:textId="77777777" w:rsidR="00016AB8" w:rsidRDefault="00016A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913855" w14:textId="77777777" w:rsidR="00016AB8" w:rsidRDefault="00000000">
      <w:pPr>
        <w:spacing w:line="360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12B1A08" w14:textId="77777777" w:rsidR="00016AB8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BARTSCH, Emily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pre-eclampsia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Bmj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353, 2016.</w:t>
      </w:r>
    </w:p>
    <w:p w14:paraId="6D924FD6" w14:textId="77777777" w:rsidR="00016AB8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BELLAMY, </w:t>
      </w:r>
      <w:proofErr w:type="spellStart"/>
      <w:r>
        <w:rPr>
          <w:rFonts w:ascii="Times New Roman" w:hAnsi="Times New Roman"/>
          <w:sz w:val="24"/>
          <w:szCs w:val="24"/>
        </w:rPr>
        <w:t>Leanne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Pre-eclampsia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cardiovascular </w:t>
      </w:r>
      <w:proofErr w:type="spellStart"/>
      <w:r>
        <w:rPr>
          <w:rFonts w:ascii="Times New Roman" w:hAnsi="Times New Roman"/>
          <w:sz w:val="24"/>
          <w:szCs w:val="24"/>
        </w:rPr>
        <w:t>disease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cancer</w:t>
      </w:r>
      <w:proofErr w:type="spellEnd"/>
      <w:r>
        <w:rPr>
          <w:rFonts w:ascii="Times New Roman" w:hAnsi="Times New Roman"/>
          <w:sz w:val="24"/>
          <w:szCs w:val="24"/>
        </w:rPr>
        <w:t xml:space="preserve"> in later </w:t>
      </w:r>
      <w:proofErr w:type="spellStart"/>
      <w:r>
        <w:rPr>
          <w:rFonts w:ascii="Times New Roman" w:hAnsi="Times New Roman"/>
          <w:sz w:val="24"/>
          <w:szCs w:val="24"/>
        </w:rPr>
        <w:t>life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systematic</w:t>
      </w:r>
      <w:proofErr w:type="spellEnd"/>
      <w:r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meta-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Bmj</w:t>
      </w:r>
      <w:proofErr w:type="spellEnd"/>
      <w:r>
        <w:rPr>
          <w:rFonts w:ascii="Times New Roman" w:hAnsi="Times New Roman"/>
          <w:sz w:val="24"/>
          <w:szCs w:val="24"/>
        </w:rPr>
        <w:t>, v. 335, n. 7627, p. 974, 2007.</w:t>
      </w:r>
    </w:p>
    <w:p w14:paraId="210DC805" w14:textId="77777777" w:rsidR="00016AB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BRASIL, M. S. Departamento de Ações Programáticas Estratégicas. Gestação de alto risco: manual técnico/ministério da saúde, secretaria de atenção à saúde, Departamento de Ações Programáticas Estratégicas.-5ª ed. Brasília. </w:t>
      </w:r>
      <w:r>
        <w:rPr>
          <w:rFonts w:ascii="Times New Roman" w:hAnsi="Times New Roman"/>
          <w:b/>
          <w:sz w:val="24"/>
          <w:szCs w:val="24"/>
        </w:rPr>
        <w:t>Editora do Ministério da Saúde</w:t>
      </w:r>
      <w:r>
        <w:rPr>
          <w:rFonts w:ascii="Times New Roman" w:hAnsi="Times New Roman"/>
          <w:sz w:val="24"/>
          <w:szCs w:val="24"/>
        </w:rPr>
        <w:t>, 2010.</w:t>
      </w:r>
    </w:p>
    <w:p w14:paraId="28BF2FD3" w14:textId="77777777" w:rsidR="00016AB8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CONDE-AGUDELO, Agustín; VILLAR, José; LINDHEIMER, Marshall. Maternal </w:t>
      </w:r>
      <w:proofErr w:type="spellStart"/>
      <w:r>
        <w:rPr>
          <w:rFonts w:ascii="Times New Roman" w:hAnsi="Times New Roman"/>
          <w:sz w:val="24"/>
          <w:szCs w:val="24"/>
        </w:rPr>
        <w:t>infection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systematic</w:t>
      </w:r>
      <w:proofErr w:type="spellEnd"/>
      <w:r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metaanalysis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American </w:t>
      </w:r>
      <w:proofErr w:type="spellStart"/>
      <w:r>
        <w:rPr>
          <w:rFonts w:ascii="Times New Roman" w:hAnsi="Times New Roman"/>
          <w:b/>
          <w:sz w:val="24"/>
          <w:szCs w:val="24"/>
        </w:rPr>
        <w:t>journal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obstetrics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gynecology</w:t>
      </w:r>
      <w:proofErr w:type="spellEnd"/>
      <w:r>
        <w:rPr>
          <w:rFonts w:ascii="Times New Roman" w:hAnsi="Times New Roman"/>
          <w:sz w:val="24"/>
          <w:szCs w:val="24"/>
        </w:rPr>
        <w:t>, v. 198, n. 1, p. 7-22, 2008.</w:t>
      </w:r>
    </w:p>
    <w:p w14:paraId="499A7A7B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DE MOURA, M. D. R.; </w:t>
      </w:r>
      <w:proofErr w:type="spellStart"/>
      <w:r>
        <w:rPr>
          <w:rFonts w:ascii="Times New Roman" w:hAnsi="Times New Roman"/>
          <w:sz w:val="24"/>
          <w:szCs w:val="24"/>
        </w:rPr>
        <w:t>Margotto</w:t>
      </w:r>
      <w:proofErr w:type="spellEnd"/>
      <w:r>
        <w:rPr>
          <w:rFonts w:ascii="Times New Roman" w:hAnsi="Times New Roman"/>
          <w:sz w:val="24"/>
          <w:szCs w:val="24"/>
        </w:rPr>
        <w:t xml:space="preserve">, P. R.; </w:t>
      </w:r>
      <w:proofErr w:type="spellStart"/>
      <w:r>
        <w:rPr>
          <w:rFonts w:ascii="Times New Roman" w:hAnsi="Times New Roman"/>
          <w:sz w:val="24"/>
          <w:szCs w:val="24"/>
        </w:rPr>
        <w:t>Rugolo</w:t>
      </w:r>
      <w:proofErr w:type="spellEnd"/>
      <w:r>
        <w:rPr>
          <w:rFonts w:ascii="Times New Roman" w:hAnsi="Times New Roman"/>
          <w:sz w:val="24"/>
          <w:szCs w:val="24"/>
        </w:rPr>
        <w:t xml:space="preserve">, L. M. S. S. Alterações do fluxo sanguíneo em artéria umbilical na síndrome hipertensiva gestacional e suas implicações nos resultados neonatais. </w:t>
      </w:r>
      <w:r>
        <w:rPr>
          <w:rStyle w:val="nfase"/>
          <w:rFonts w:ascii="Times New Roman" w:hAnsi="Times New Roman"/>
          <w:sz w:val="24"/>
          <w:szCs w:val="24"/>
        </w:rPr>
        <w:t>Revista Brasileira de Ginecologia e Obstetrícia</w:t>
      </w:r>
      <w:r>
        <w:rPr>
          <w:rFonts w:ascii="Times New Roman" w:hAnsi="Times New Roman"/>
          <w:sz w:val="24"/>
          <w:szCs w:val="24"/>
        </w:rPr>
        <w:t>, v. 35, n. 2, 2013. Disponível em: &lt;</w:t>
      </w:r>
      <w:hyperlink r:id="rId9" w:tgtFrame="_new">
        <w:r>
          <w:rPr>
            <w:rStyle w:val="LinkdaInternet"/>
            <w:rFonts w:ascii="Times New Roman" w:hAnsi="Times New Roman"/>
            <w:sz w:val="24"/>
            <w:szCs w:val="24"/>
          </w:rPr>
          <w:t>http://dx.doi.org/10.1590/S0100-72032013000200006</w:t>
        </w:r>
      </w:hyperlink>
      <w:r>
        <w:rPr>
          <w:rFonts w:ascii="Times New Roman" w:hAnsi="Times New Roman"/>
          <w:sz w:val="24"/>
          <w:szCs w:val="24"/>
        </w:rPr>
        <w:t>&gt;. Acesso em: 19 mai. 2024.</w:t>
      </w:r>
    </w:p>
    <w:p w14:paraId="4659AFCD" w14:textId="77777777" w:rsidR="00016AB8" w:rsidRDefault="00000000">
      <w:pPr>
        <w:pStyle w:val="Corpodetexto"/>
      </w:pPr>
      <w:r>
        <w:rPr>
          <w:rFonts w:ascii="Times New Roman" w:hAnsi="Times New Roman"/>
          <w:sz w:val="24"/>
          <w:szCs w:val="24"/>
        </w:rPr>
        <w:t xml:space="preserve">GAILLARD, R.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 Maternal </w:t>
      </w:r>
      <w:proofErr w:type="spellStart"/>
      <w:r>
        <w:rPr>
          <w:rFonts w:ascii="Times New Roman" w:hAnsi="Times New Roman"/>
          <w:sz w:val="24"/>
          <w:szCs w:val="24"/>
        </w:rPr>
        <w:t>weight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gain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different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pregnancy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childhood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cardio-metabolic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outcomes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nfase"/>
          <w:rFonts w:ascii="Times New Roman" w:hAnsi="Times New Roman"/>
          <w:b/>
          <w:bCs/>
          <w:sz w:val="24"/>
          <w:szCs w:val="24"/>
        </w:rPr>
        <w:t xml:space="preserve">The Generation R </w:t>
      </w:r>
      <w:proofErr w:type="spellStart"/>
      <w:r>
        <w:rPr>
          <w:rStyle w:val="nfase"/>
          <w:rFonts w:ascii="Times New Roman" w:hAnsi="Times New Roman"/>
          <w:b/>
          <w:bCs/>
          <w:sz w:val="24"/>
          <w:szCs w:val="24"/>
        </w:rPr>
        <w:t>Study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Style w:val="nfase"/>
          <w:rFonts w:ascii="Times New Roman" w:hAnsi="Times New Roman"/>
          <w:b/>
          <w:bCs/>
          <w:sz w:val="24"/>
          <w:szCs w:val="24"/>
        </w:rPr>
        <w:t>International</w:t>
      </w:r>
      <w:proofErr w:type="spellEnd"/>
      <w:r>
        <w:rPr>
          <w:rStyle w:val="nfas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sz w:val="24"/>
          <w:szCs w:val="24"/>
        </w:rPr>
        <w:t>Journal</w:t>
      </w:r>
      <w:proofErr w:type="spellEnd"/>
      <w:r>
        <w:rPr>
          <w:rStyle w:val="nfas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Style w:val="nfas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sz w:val="24"/>
          <w:szCs w:val="24"/>
        </w:rPr>
        <w:t>Obesity</w:t>
      </w:r>
      <w:proofErr w:type="spellEnd"/>
      <w:r>
        <w:rPr>
          <w:rFonts w:ascii="Times New Roman" w:hAnsi="Times New Roman"/>
          <w:sz w:val="24"/>
          <w:szCs w:val="24"/>
        </w:rPr>
        <w:t>, v. 37, n. 4,  p. 576-582. 2013.</w:t>
      </w:r>
    </w:p>
    <w:p w14:paraId="79BA339F" w14:textId="77777777" w:rsidR="00016AB8" w:rsidRDefault="00000000">
      <w:pPr>
        <w:pStyle w:val="Corpodetexto"/>
        <w:spacing w:line="360" w:lineRule="auto"/>
        <w:jc w:val="both"/>
      </w:pPr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HAUTH, J. C. et al.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Pregnancy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outcomes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in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healthy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nulliparas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who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developed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hypertension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Calcium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for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Preeclampsia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Prevention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Study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Group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Obstetrics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&amp;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Gynecology</w:t>
      </w:r>
      <w:proofErr w:type="spellEnd"/>
      <w:r>
        <w:rPr>
          <w:rStyle w:val="nfase"/>
          <w:rFonts w:ascii="Times New Roman" w:hAnsi="Times New Roman"/>
          <w:i w:val="0"/>
          <w:iCs w:val="0"/>
          <w:sz w:val="24"/>
          <w:szCs w:val="24"/>
        </w:rPr>
        <w:t>, v. 95, n. 1, p. 24-28, 2000.</w:t>
      </w:r>
    </w:p>
    <w:p w14:paraId="775B4708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HEDDERSON, M. M.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Prepregnancy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cardiometabolic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profile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gestational</w:t>
      </w:r>
      <w:proofErr w:type="spellEnd"/>
      <w:r>
        <w:rPr>
          <w:rFonts w:ascii="Times New Roman" w:hAnsi="Times New Roman"/>
          <w:sz w:val="24"/>
          <w:szCs w:val="24"/>
        </w:rPr>
        <w:t xml:space="preserve"> diabetes mellitus. </w:t>
      </w:r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American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Journal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of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Obstetrics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and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Gynecology</w:t>
      </w:r>
      <w:proofErr w:type="spellEnd"/>
      <w:r>
        <w:rPr>
          <w:rFonts w:ascii="Times New Roman" w:hAnsi="Times New Roman"/>
          <w:sz w:val="24"/>
          <w:szCs w:val="24"/>
        </w:rPr>
        <w:t>, v. 203, n. 6. 2010.</w:t>
      </w:r>
    </w:p>
    <w:p w14:paraId="03C0E9E2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HUTCHEON, J. A.; </w:t>
      </w:r>
      <w:proofErr w:type="spellStart"/>
      <w:r>
        <w:rPr>
          <w:rFonts w:ascii="Times New Roman" w:hAnsi="Times New Roman"/>
          <w:sz w:val="24"/>
          <w:szCs w:val="24"/>
        </w:rPr>
        <w:t>Lisonkova</w:t>
      </w:r>
      <w:proofErr w:type="spellEnd"/>
      <w:r>
        <w:rPr>
          <w:rFonts w:ascii="Times New Roman" w:hAnsi="Times New Roman"/>
          <w:sz w:val="24"/>
          <w:szCs w:val="24"/>
        </w:rPr>
        <w:t xml:space="preserve">, S.; Joseph, K. S. </w:t>
      </w:r>
      <w:proofErr w:type="spellStart"/>
      <w:r>
        <w:rPr>
          <w:rFonts w:ascii="Times New Roman" w:hAnsi="Times New Roman"/>
          <w:sz w:val="24"/>
          <w:szCs w:val="24"/>
        </w:rPr>
        <w:t>Epidemiology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pre-eclampsia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hypertensive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disorders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pregnancy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Best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Practice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&amp;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Research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Clinical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Obstetrics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and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Gynaecology</w:t>
      </w:r>
      <w:proofErr w:type="spellEnd"/>
      <w:r>
        <w:rPr>
          <w:rFonts w:ascii="Times New Roman" w:hAnsi="Times New Roman"/>
          <w:sz w:val="24"/>
          <w:szCs w:val="24"/>
        </w:rPr>
        <w:t>, v. 25, n. 4, 2011. Disponível em: &lt;</w:t>
      </w:r>
      <w:hyperlink r:id="rId10" w:tgtFrame="_new">
        <w:r>
          <w:rPr>
            <w:rStyle w:val="LinkdaInternet"/>
            <w:rFonts w:ascii="Times New Roman" w:hAnsi="Times New Roman"/>
            <w:sz w:val="24"/>
            <w:szCs w:val="24"/>
          </w:rPr>
          <w:t>https://doi.org/10.1016/j.bpobgyn.2011.01.006</w:t>
        </w:r>
      </w:hyperlink>
      <w:r>
        <w:rPr>
          <w:rFonts w:ascii="Times New Roman" w:hAnsi="Times New Roman"/>
          <w:sz w:val="24"/>
          <w:szCs w:val="24"/>
        </w:rPr>
        <w:t>&gt;. Acesso em: 19 mai. 2024.</w:t>
      </w:r>
    </w:p>
    <w:p w14:paraId="1AD92CD7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Li, Y.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(2020). Maternal age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/>
          <w:sz w:val="24"/>
          <w:szCs w:val="24"/>
        </w:rPr>
        <w:t>systematic</w:t>
      </w:r>
      <w:proofErr w:type="spellEnd"/>
      <w:r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meta-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Journal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of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Perinatal Medicine</w:t>
      </w:r>
      <w:r>
        <w:rPr>
          <w:rFonts w:ascii="Times New Roman" w:hAnsi="Times New Roman"/>
          <w:sz w:val="24"/>
          <w:szCs w:val="24"/>
        </w:rPr>
        <w:t>, 48(1), 5-14.</w:t>
      </w:r>
    </w:p>
    <w:p w14:paraId="1899EE41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MYATT, L.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Strategy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Standardization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 xml:space="preserve"> Design. </w:t>
      </w:r>
      <w:proofErr w:type="spellStart"/>
      <w:r>
        <w:rPr>
          <w:rStyle w:val="nfase"/>
          <w:rFonts w:ascii="Times New Roman" w:hAnsi="Times New Roman"/>
          <w:sz w:val="24"/>
          <w:szCs w:val="24"/>
        </w:rPr>
        <w:t>Hypertension</w:t>
      </w:r>
      <w:proofErr w:type="spellEnd"/>
      <w:r>
        <w:rPr>
          <w:rFonts w:ascii="Times New Roman" w:hAnsi="Times New Roman"/>
          <w:sz w:val="24"/>
          <w:szCs w:val="24"/>
        </w:rPr>
        <w:t>, v. 63, 2014. Disponível em: &lt;https://doi.org/10.1161/HYPERTENSIONAHA.113.02664&gt;. Acesso em: 19 mai. 2024.</w:t>
      </w:r>
    </w:p>
    <w:p w14:paraId="6455E54A" w14:textId="77777777" w:rsidR="00016AB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ROBERTS, Christine L.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Population-based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trends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hypertension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pre-eclampsia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BMJ open,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1, n. 1, p. e000101, 2011.</w:t>
      </w:r>
    </w:p>
    <w:p w14:paraId="4E4A3221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Roberts, J. M.; Hubel, C. A. (2019). The </w:t>
      </w:r>
      <w:proofErr w:type="spellStart"/>
      <w:r>
        <w:rPr>
          <w:rFonts w:ascii="Times New Roman" w:hAnsi="Times New Roman"/>
          <w:sz w:val="24"/>
          <w:szCs w:val="24"/>
        </w:rPr>
        <w:t>two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stage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preeclampsia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variations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Placenta</w:t>
      </w:r>
      <w:r>
        <w:rPr>
          <w:rFonts w:ascii="Times New Roman" w:hAnsi="Times New Roman"/>
          <w:sz w:val="24"/>
          <w:szCs w:val="24"/>
        </w:rPr>
        <w:t>, 30, S32-S37.</w:t>
      </w:r>
    </w:p>
    <w:p w14:paraId="0F720B8F" w14:textId="77777777" w:rsidR="00016AB8" w:rsidRDefault="00000000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SANTOS, S.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Maternal body </w:t>
      </w:r>
      <w:proofErr w:type="spellStart"/>
      <w:r>
        <w:rPr>
          <w:rFonts w:ascii="Times New Roman" w:hAnsi="Times New Roman"/>
          <w:sz w:val="24"/>
          <w:szCs w:val="24"/>
        </w:rPr>
        <w:t>mass</w:t>
      </w:r>
      <w:proofErr w:type="spellEnd"/>
      <w:r>
        <w:rPr>
          <w:rFonts w:ascii="Times New Roman" w:hAnsi="Times New Roman"/>
          <w:sz w:val="24"/>
          <w:szCs w:val="24"/>
        </w:rPr>
        <w:t xml:space="preserve"> index, </w:t>
      </w:r>
      <w:proofErr w:type="spellStart"/>
      <w:r>
        <w:rPr>
          <w:rFonts w:ascii="Times New Roman" w:hAnsi="Times New Roman"/>
          <w:sz w:val="24"/>
          <w:szCs w:val="24"/>
        </w:rPr>
        <w:t>gestational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hypertensive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disorders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pregnancy</w:t>
      </w:r>
      <w:proofErr w:type="spellEnd"/>
      <w:r>
        <w:rPr>
          <w:rFonts w:ascii="Times New Roman" w:hAnsi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/>
          <w:sz w:val="24"/>
          <w:szCs w:val="24"/>
        </w:rPr>
        <w:t>systematic</w:t>
      </w:r>
      <w:proofErr w:type="spellEnd"/>
      <w:r>
        <w:rPr>
          <w:rFonts w:ascii="Times New Roman" w:hAnsi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meta-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cohort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American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Journal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of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Obstetrics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and</w:t>
      </w:r>
      <w:proofErr w:type="spellEnd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hAnsi="Times New Roman"/>
          <w:b/>
          <w:bCs/>
          <w:i w:val="0"/>
          <w:iCs w:val="0"/>
          <w:sz w:val="24"/>
          <w:szCs w:val="24"/>
        </w:rPr>
        <w:t>Gynecology</w:t>
      </w:r>
      <w:proofErr w:type="spellEnd"/>
      <w:r>
        <w:rPr>
          <w:rFonts w:ascii="Times New Roman" w:hAnsi="Times New Roman"/>
          <w:sz w:val="24"/>
          <w:szCs w:val="24"/>
        </w:rPr>
        <w:t>, v. 223, n. 2, p.166-178. 2020.</w:t>
      </w:r>
    </w:p>
    <w:p w14:paraId="2532322F" w14:textId="77777777" w:rsidR="00016AB8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SBARDELOTTO, </w:t>
      </w:r>
      <w:proofErr w:type="spellStart"/>
      <w:r>
        <w:rPr>
          <w:rFonts w:ascii="Times New Roman" w:hAnsi="Times New Roman"/>
          <w:sz w:val="24"/>
          <w:szCs w:val="24"/>
        </w:rPr>
        <w:t>Taize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et al</w:t>
      </w:r>
      <w:r>
        <w:rPr>
          <w:rFonts w:ascii="Times New Roman" w:hAnsi="Times New Roman"/>
          <w:sz w:val="24"/>
          <w:szCs w:val="24"/>
        </w:rPr>
        <w:t xml:space="preserve">. CARACTERÍSTICAS DEFINIDORAS E FATORES ASSOCIADOS À OCORRÊNCIA DAS SÍNDROMES HIPERTENSIVAS GESTACIONAI. </w:t>
      </w:r>
      <w:proofErr w:type="spellStart"/>
      <w:r>
        <w:rPr>
          <w:rFonts w:ascii="Times New Roman" w:hAnsi="Times New Roman"/>
          <w:b/>
          <w:sz w:val="24"/>
          <w:szCs w:val="24"/>
        </w:rPr>
        <w:t>Cogitare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Enfermagem</w:t>
      </w:r>
      <w:r>
        <w:rPr>
          <w:rFonts w:ascii="Times New Roman" w:hAnsi="Times New Roman"/>
          <w:sz w:val="24"/>
          <w:szCs w:val="24"/>
        </w:rPr>
        <w:t>, v. 23, n. 2, 2018.</w:t>
      </w:r>
    </w:p>
    <w:p w14:paraId="11BC089F" w14:textId="77777777" w:rsidR="00016AB8" w:rsidRDefault="00000000">
      <w:pPr>
        <w:pStyle w:val="Corpodetexto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XIONG T.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(2017).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Hypertensive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stillbirth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rates: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facility-based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China. </w:t>
      </w:r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Bulletin </w:t>
      </w:r>
      <w:proofErr w:type="spellStart"/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of</w:t>
      </w:r>
      <w:proofErr w:type="spellEnd"/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the</w:t>
      </w:r>
      <w:proofErr w:type="spellEnd"/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World Health </w:t>
      </w:r>
      <w:proofErr w:type="spellStart"/>
      <w:r>
        <w:rPr>
          <w:rStyle w:val="nfase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95(12), 739-747.</w:t>
      </w:r>
    </w:p>
    <w:p w14:paraId="75A3838A" w14:textId="77777777" w:rsidR="00016AB8" w:rsidRDefault="00016AB8">
      <w:pPr>
        <w:rPr>
          <w:color w:val="000000"/>
        </w:rPr>
      </w:pPr>
    </w:p>
    <w:sectPr w:rsidR="00016AB8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5675" w14:textId="77777777" w:rsidR="00B769C0" w:rsidRDefault="00B769C0">
      <w:pPr>
        <w:spacing w:after="0" w:line="240" w:lineRule="auto"/>
      </w:pPr>
      <w:r>
        <w:separator/>
      </w:r>
    </w:p>
  </w:endnote>
  <w:endnote w:type="continuationSeparator" w:id="0">
    <w:p w14:paraId="239765FC" w14:textId="77777777" w:rsidR="00B769C0" w:rsidRDefault="00B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9BB0" w14:textId="77777777" w:rsidR="00016AB8" w:rsidRDefault="00016AB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3EE9" w14:textId="77777777" w:rsidR="00B769C0" w:rsidRDefault="00B769C0">
      <w:pPr>
        <w:spacing w:after="0" w:line="240" w:lineRule="auto"/>
      </w:pPr>
      <w:r>
        <w:separator/>
      </w:r>
    </w:p>
  </w:footnote>
  <w:footnote w:type="continuationSeparator" w:id="0">
    <w:p w14:paraId="0998033C" w14:textId="77777777" w:rsidR="00B769C0" w:rsidRDefault="00B7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F051" w14:textId="77777777" w:rsidR="00016AB8" w:rsidRDefault="00000000">
    <w:pP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0" simplePos="0" relativeHeight="12" behindDoc="1" locked="0" layoutInCell="0" allowOverlap="1" wp14:anchorId="30ED14DC" wp14:editId="12461B3C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0"/>
          <wp:wrapTopAndBottom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2" behindDoc="1" locked="0" layoutInCell="0" allowOverlap="1" wp14:anchorId="268F8D93" wp14:editId="6C370825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B8"/>
    <w:rsid w:val="0001225E"/>
    <w:rsid w:val="00016AB8"/>
    <w:rsid w:val="000E09D8"/>
    <w:rsid w:val="00545BD0"/>
    <w:rsid w:val="00B769C0"/>
    <w:rsid w:val="00C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0912"/>
  <w15:docId w15:val="{C49DED6E-527E-416F-A563-A299DDA1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C0D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e.l.chave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nansalles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tianejule.p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16/j.bpobgyn.2011.01.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590/S0100-7203201300020000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3118</Words>
  <Characters>16838</Characters>
  <Application>Microsoft Office Word</Application>
  <DocSecurity>0</DocSecurity>
  <Lines>140</Lines>
  <Paragraphs>39</Paragraphs>
  <ScaleCrop>false</ScaleCrop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Keyla Liana</cp:lastModifiedBy>
  <cp:revision>44</cp:revision>
  <dcterms:created xsi:type="dcterms:W3CDTF">2023-10-03T04:38:00Z</dcterms:created>
  <dcterms:modified xsi:type="dcterms:W3CDTF">2024-05-29T18:48:00Z</dcterms:modified>
  <dc:language>pt-BR</dc:language>
</cp:coreProperties>
</file>