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FFC8" w14:textId="1AF4DDB6" w:rsidR="00BE2C4E" w:rsidRPr="00BE2C4E" w:rsidRDefault="00BE2C4E" w:rsidP="0084566D">
      <w:pPr>
        <w:tabs>
          <w:tab w:val="left" w:pos="0"/>
        </w:tabs>
        <w:spacing w:line="240" w:lineRule="auto"/>
        <w:jc w:val="left"/>
        <w:rPr>
          <w:rFonts w:eastAsia="Arial" w:cs="Arial"/>
          <w:b/>
          <w:lang w:val="pt-PT"/>
        </w:rPr>
      </w:pPr>
      <w:r w:rsidRPr="00BE2C4E">
        <w:rPr>
          <w:rFonts w:eastAsia="Arial" w:cs="Arial"/>
          <w:b/>
          <w:lang w:val="pt-PT"/>
        </w:rPr>
        <w:t>OS EFEITOS DO CIGARRO ELETRÔNICO NUMA PERSPECTIVA BIOPSICOSSOCIAL</w:t>
      </w:r>
    </w:p>
    <w:p w14:paraId="41875EA4" w14:textId="073E6683" w:rsidR="00534CB2" w:rsidRPr="005E2B5F" w:rsidRDefault="00534CB2" w:rsidP="0084566D">
      <w:pPr>
        <w:spacing w:after="160" w:line="240" w:lineRule="auto"/>
      </w:pPr>
    </w:p>
    <w:p w14:paraId="1D5A83C4" w14:textId="4C41DD11" w:rsidR="00BE2C4E" w:rsidRPr="00BE2C4E" w:rsidRDefault="00BE2C4E" w:rsidP="0084566D">
      <w:pPr>
        <w:tabs>
          <w:tab w:val="left" w:pos="3330"/>
          <w:tab w:val="left" w:pos="5700"/>
        </w:tabs>
        <w:spacing w:line="240" w:lineRule="auto"/>
        <w:rPr>
          <w:rFonts w:eastAsia="Arial" w:cs="Arial"/>
          <w:bCs/>
          <w:lang w:val="pt-PT"/>
        </w:rPr>
      </w:pPr>
      <w:r w:rsidRPr="00BE2C4E">
        <w:rPr>
          <w:rFonts w:eastAsia="Arial" w:cs="Arial"/>
          <w:b/>
          <w:u w:val="single"/>
          <w:lang w:val="pt-PT"/>
        </w:rPr>
        <w:t>MARINA GUERRA COÊLHO DE JESUS</w:t>
      </w:r>
      <w:r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Cs/>
          <w:lang w:val="pt-PT"/>
        </w:rPr>
        <w:t xml:space="preserve"> ; </w:t>
      </w:r>
      <w:proofErr w:type="spellStart"/>
      <w:r w:rsidRPr="00BE2C4E">
        <w:rPr>
          <w:rFonts w:eastAsia="Arial" w:cs="Arial"/>
          <w:bCs/>
          <w:lang w:val="pt-PT"/>
        </w:rPr>
        <w:t>DÉBORAH</w:t>
      </w:r>
      <w:proofErr w:type="spellEnd"/>
      <w:r w:rsidRPr="00BE2C4E">
        <w:rPr>
          <w:rFonts w:eastAsia="Arial" w:cs="Arial"/>
          <w:bCs/>
          <w:lang w:val="pt-PT"/>
        </w:rPr>
        <w:t xml:space="preserve"> ELOYSE SANTOS FREITAS</w:t>
      </w:r>
      <w:r w:rsidR="00D6615B"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/>
          <w:lang w:val="pt-PT"/>
        </w:rPr>
        <w:t xml:space="preserve">; </w:t>
      </w:r>
      <w:r w:rsidRPr="00BE2C4E">
        <w:rPr>
          <w:rFonts w:eastAsia="Arial" w:cs="Arial"/>
          <w:bCs/>
          <w:lang w:val="pt-PT"/>
        </w:rPr>
        <w:t>GABRIEL CARNEIRO DE ARAÚJO</w:t>
      </w:r>
      <w:r w:rsidR="00D6615B"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Cs/>
          <w:lang w:val="pt-PT"/>
        </w:rPr>
        <w:t>; GABRIELA DE LIMA SILVA</w:t>
      </w:r>
      <w:r w:rsidR="00767F6B"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Cs/>
          <w:lang w:val="pt-PT"/>
        </w:rPr>
        <w:t xml:space="preserve">; </w:t>
      </w:r>
      <w:proofErr w:type="spellStart"/>
      <w:r w:rsidRPr="00BE2C4E">
        <w:rPr>
          <w:rFonts w:eastAsia="Arial" w:cs="Arial"/>
          <w:bCs/>
          <w:lang w:val="pt-PT"/>
        </w:rPr>
        <w:t>GIORBÉLIO</w:t>
      </w:r>
      <w:proofErr w:type="spellEnd"/>
      <w:r w:rsidRPr="00BE2C4E">
        <w:rPr>
          <w:rFonts w:eastAsia="Arial" w:cs="Arial"/>
          <w:bCs/>
          <w:lang w:val="pt-PT"/>
        </w:rPr>
        <w:t xml:space="preserve"> DOS SANTOS SILVA JÚNIOR</w:t>
      </w:r>
      <w:r w:rsidR="00767F6B"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Cs/>
          <w:lang w:val="pt-PT"/>
        </w:rPr>
        <w:t>; LAÍS MARIA REGO COTA</w:t>
      </w:r>
      <w:r w:rsidR="00767F6B"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Cs/>
          <w:lang w:val="pt-PT"/>
        </w:rPr>
        <w:t>; PEDRO FAGNER TELES MOURA</w:t>
      </w:r>
      <w:r w:rsidR="00767F6B" w:rsidRPr="00BE2C4E">
        <w:rPr>
          <w:rFonts w:ascii="Times New Roman" w:eastAsia="Calibri" w:hAnsi="Times New Roman" w:cs="Arial"/>
          <w:vertAlign w:val="superscript"/>
          <w:lang w:val="pt-PT"/>
        </w:rPr>
        <w:t>1</w:t>
      </w:r>
      <w:r w:rsidRPr="00BE2C4E">
        <w:rPr>
          <w:rFonts w:eastAsia="Arial" w:cs="Arial"/>
          <w:bCs/>
          <w:lang w:val="pt-PT"/>
        </w:rPr>
        <w:t>; KELLY CRISTINA LIRA DE ANDRADE</w:t>
      </w:r>
      <w:r w:rsidR="00466ABB">
        <w:rPr>
          <w:rFonts w:ascii="Times New Roman" w:eastAsia="Calibri" w:hAnsi="Times New Roman" w:cs="Arial"/>
          <w:vertAlign w:val="superscript"/>
          <w:lang w:val="pt-PT"/>
        </w:rPr>
        <w:t>2</w:t>
      </w:r>
    </w:p>
    <w:p w14:paraId="0AD3EF8B" w14:textId="347DAA94" w:rsidR="00534CB2" w:rsidRPr="00534CB2" w:rsidRDefault="00534CB2" w:rsidP="0084566D">
      <w:pPr>
        <w:spacing w:after="160" w:line="240" w:lineRule="auto"/>
        <w:rPr>
          <w:rFonts w:eastAsia="Calibri" w:cs="Arial"/>
        </w:rPr>
      </w:pPr>
    </w:p>
    <w:p w14:paraId="7DDEDFFB" w14:textId="7ED0C1DD" w:rsidR="00BE2C4E" w:rsidRPr="00193111" w:rsidRDefault="00534CB2" w:rsidP="00193111">
      <w:pPr>
        <w:tabs>
          <w:tab w:val="left" w:pos="3330"/>
          <w:tab w:val="left" w:pos="5700"/>
        </w:tabs>
        <w:spacing w:line="240" w:lineRule="auto"/>
        <w:rPr>
          <w:rFonts w:eastAsia="Arial" w:cs="Arial"/>
          <w:b/>
          <w:lang w:val="pt-PT"/>
        </w:rPr>
      </w:pPr>
      <w:r w:rsidRPr="002A593B">
        <w:rPr>
          <w:rFonts w:eastAsia="Calibri" w:cs="Arial"/>
          <w:vertAlign w:val="superscript"/>
        </w:rPr>
        <w:t>1</w:t>
      </w:r>
      <w:r w:rsidR="00BE2C4E" w:rsidRPr="002A593B">
        <w:rPr>
          <w:rFonts w:eastAsia="Arial" w:cs="Arial"/>
          <w:lang w:val="pt-PT"/>
        </w:rPr>
        <w:t>Discente</w:t>
      </w:r>
      <w:r w:rsidR="00BE2C4E" w:rsidRPr="002A593B">
        <w:rPr>
          <w:rFonts w:eastAsia="Arial" w:cs="Arial"/>
          <w:vertAlign w:val="superscript"/>
          <w:lang w:val="pt-PT"/>
        </w:rPr>
        <w:t xml:space="preserve">  </w:t>
      </w:r>
      <w:r w:rsidR="00BE2C4E" w:rsidRPr="002A593B">
        <w:rPr>
          <w:rFonts w:eastAsia="Arial" w:cs="Arial"/>
          <w:lang w:val="pt-PT"/>
        </w:rPr>
        <w:t>de Medicina do Centro Universitário CESMAC, Maceió, AL, Brasil</w:t>
      </w:r>
      <w:r w:rsidR="00193111">
        <w:rPr>
          <w:rFonts w:eastAsia="Arial" w:cs="Arial"/>
          <w:b/>
          <w:lang w:val="pt-PT"/>
        </w:rPr>
        <w:t xml:space="preserve">; </w:t>
      </w:r>
      <w:r w:rsidR="00BE2C4E" w:rsidRPr="002A593B">
        <w:rPr>
          <w:rFonts w:eastAsia="Arial" w:cs="Arial"/>
          <w:bCs/>
          <w:vertAlign w:val="superscript"/>
        </w:rPr>
        <w:t>2</w:t>
      </w:r>
      <w:r w:rsidR="00BE2C4E" w:rsidRPr="002A593B">
        <w:rPr>
          <w:rFonts w:eastAsia="Arial" w:cs="Arial"/>
          <w:bCs/>
        </w:rPr>
        <w:t>Docente do Curso de Medicina do Centro Universitário CESMAC, Maceió, AL, Brasil</w:t>
      </w:r>
    </w:p>
    <w:p w14:paraId="597BFFDF" w14:textId="4B2E8DA7" w:rsidR="00534CB2" w:rsidRPr="001A740F" w:rsidRDefault="00534CB2" w:rsidP="0084566D">
      <w:pPr>
        <w:spacing w:line="240" w:lineRule="auto"/>
        <w:rPr>
          <w:rFonts w:eastAsia="Calibri" w:cs="Arial"/>
          <w:sz w:val="20"/>
          <w:szCs w:val="20"/>
        </w:rPr>
      </w:pPr>
      <w:r w:rsidRPr="001A740F">
        <w:rPr>
          <w:rFonts w:eastAsia="Calibri" w:cs="Arial"/>
          <w:sz w:val="20"/>
          <w:szCs w:val="20"/>
        </w:rPr>
        <w:t>*</w:t>
      </w:r>
      <w:r w:rsidR="6A842BA2" w:rsidRPr="001A740F">
        <w:rPr>
          <w:rFonts w:eastAsia="Calibri" w:cs="Arial"/>
          <w:sz w:val="20"/>
          <w:szCs w:val="20"/>
        </w:rPr>
        <w:t>E</w:t>
      </w:r>
      <w:r w:rsidR="00BE2C4E" w:rsidRPr="001A740F">
        <w:rPr>
          <w:rFonts w:eastAsia="Calibri" w:cs="Arial"/>
          <w:sz w:val="20"/>
          <w:szCs w:val="20"/>
        </w:rPr>
        <w:t>-</w:t>
      </w:r>
      <w:r w:rsidR="6A842BA2" w:rsidRPr="001A740F">
        <w:rPr>
          <w:rFonts w:eastAsia="Calibri" w:cs="Arial"/>
          <w:sz w:val="20"/>
          <w:szCs w:val="20"/>
        </w:rPr>
        <w:t>mail</w:t>
      </w:r>
      <w:r w:rsidR="009A2DFD">
        <w:rPr>
          <w:rFonts w:eastAsia="Calibri" w:cs="Arial"/>
          <w:sz w:val="20"/>
          <w:szCs w:val="20"/>
        </w:rPr>
        <w:t xml:space="preserve"> do primeiro autor</w:t>
      </w:r>
      <w:r w:rsidR="00BE2C4E" w:rsidRPr="001A740F">
        <w:rPr>
          <w:rFonts w:eastAsia="Calibri" w:cs="Arial"/>
          <w:sz w:val="20"/>
          <w:szCs w:val="20"/>
        </w:rPr>
        <w:t>:</w:t>
      </w:r>
      <w:r w:rsidR="00BE2C4E" w:rsidRPr="001A740F">
        <w:rPr>
          <w:rFonts w:eastAsia="Arial" w:cs="Arial"/>
          <w:b/>
          <w:bCs/>
          <w:color w:val="000000" w:themeColor="text1"/>
          <w:sz w:val="20"/>
          <w:szCs w:val="20"/>
          <w:lang w:val="pt-PT"/>
        </w:rPr>
        <w:t xml:space="preserve"> </w:t>
      </w:r>
      <w:hyperlink r:id="rId8" w:history="1">
        <w:r w:rsidR="00BE2C4E" w:rsidRPr="001A740F">
          <w:rPr>
            <w:rFonts w:eastAsia="Arial" w:cs="Arial"/>
            <w:color w:val="000000" w:themeColor="text1"/>
            <w:sz w:val="20"/>
            <w:szCs w:val="20"/>
            <w:u w:val="single"/>
            <w:lang w:val="pt-PT"/>
          </w:rPr>
          <w:t>2219974755@academico.</w:t>
        </w:r>
        <w:r w:rsidR="000568F3">
          <w:rPr>
            <w:rFonts w:eastAsia="Arial" w:cs="Arial"/>
            <w:color w:val="000000" w:themeColor="text1"/>
            <w:sz w:val="20"/>
            <w:szCs w:val="20"/>
            <w:u w:val="single"/>
            <w:lang w:val="pt-PT"/>
          </w:rPr>
          <w:t>ces</w:t>
        </w:r>
        <w:r w:rsidR="00BE2C4E" w:rsidRPr="001A740F">
          <w:rPr>
            <w:rFonts w:eastAsia="Arial" w:cs="Arial"/>
            <w:color w:val="000000" w:themeColor="text1"/>
            <w:sz w:val="20"/>
            <w:szCs w:val="20"/>
            <w:u w:val="single"/>
            <w:lang w:val="pt-PT"/>
          </w:rPr>
          <w:t>mac.edu.br</w:t>
        </w:r>
      </w:hyperlink>
      <w:r w:rsidR="00BE2C4E" w:rsidRPr="001A740F">
        <w:rPr>
          <w:rFonts w:eastAsia="Calibri" w:cs="Arial"/>
          <w:sz w:val="20"/>
          <w:szCs w:val="20"/>
        </w:rPr>
        <w:t>;</w:t>
      </w:r>
      <w:r w:rsidR="005E2B5F" w:rsidRPr="001A740F">
        <w:rPr>
          <w:rFonts w:eastAsia="Calibri" w:cs="Arial"/>
          <w:sz w:val="20"/>
          <w:szCs w:val="20"/>
        </w:rPr>
        <w:t xml:space="preserve"> </w:t>
      </w:r>
      <w:r w:rsidR="6A842BA2" w:rsidRPr="001A740F">
        <w:rPr>
          <w:rFonts w:eastAsia="Calibri" w:cs="Arial"/>
          <w:sz w:val="20"/>
          <w:szCs w:val="20"/>
        </w:rPr>
        <w:t>*</w:t>
      </w:r>
      <w:r w:rsidRPr="001A740F">
        <w:rPr>
          <w:rFonts w:eastAsia="Calibri" w:cs="Arial"/>
          <w:sz w:val="20"/>
          <w:szCs w:val="20"/>
        </w:rPr>
        <w:t>E-mail: do orientador:</w:t>
      </w:r>
      <w:r w:rsidR="00BE2C4E" w:rsidRPr="001A740F">
        <w:rPr>
          <w:rFonts w:eastAsia="Calibri" w:cs="Arial"/>
          <w:sz w:val="20"/>
          <w:szCs w:val="20"/>
        </w:rPr>
        <w:t xml:space="preserve"> </w:t>
      </w:r>
      <w:hyperlink r:id="rId9" w:history="1">
        <w:r w:rsidR="00BE2C4E" w:rsidRPr="001A740F">
          <w:rPr>
            <w:rFonts w:eastAsia="Arial" w:cs="Arial"/>
            <w:color w:val="000000" w:themeColor="text1"/>
            <w:sz w:val="20"/>
            <w:szCs w:val="20"/>
            <w:u w:val="single"/>
            <w:lang w:val="pt-PT"/>
          </w:rPr>
          <w:t>2219974764@academico.cesmac.edu.br</w:t>
        </w:r>
      </w:hyperlink>
    </w:p>
    <w:p w14:paraId="6582927C" w14:textId="77777777" w:rsidR="00650BAF" w:rsidRPr="002A593B" w:rsidRDefault="00650BAF" w:rsidP="0084566D">
      <w:pPr>
        <w:spacing w:after="160" w:line="240" w:lineRule="auto"/>
        <w:rPr>
          <w:rFonts w:eastAsia="Calibri" w:cs="Arial"/>
        </w:rPr>
      </w:pPr>
    </w:p>
    <w:p w14:paraId="63174373" w14:textId="6BC50459" w:rsidR="00BE2C4E" w:rsidRPr="001A740F" w:rsidRDefault="00534CB2" w:rsidP="0084566D">
      <w:pPr>
        <w:spacing w:line="240" w:lineRule="auto"/>
        <w:rPr>
          <w:rFonts w:eastAsia="Arial" w:cs="Arial"/>
          <w:sz w:val="22"/>
          <w:szCs w:val="22"/>
        </w:rPr>
      </w:pPr>
      <w:r w:rsidRPr="001A740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1A740F">
        <w:rPr>
          <w:rFonts w:eastAsia="Calibri" w:cs="Arial"/>
          <w:sz w:val="22"/>
          <w:szCs w:val="22"/>
        </w:rPr>
        <w:t xml:space="preserve"> </w:t>
      </w:r>
      <w:r w:rsidR="00BE2C4E" w:rsidRPr="001A740F">
        <w:rPr>
          <w:rFonts w:eastAsia="Arial" w:cs="Arial"/>
          <w:sz w:val="22"/>
          <w:szCs w:val="22"/>
        </w:rPr>
        <w:t xml:space="preserve">O cigarro eletrônico, embora se assemelhe ao  convencional, não envolve a combustão do tabaco, e sim a vaporização de um líquido que contém nicotina e outras substâncias que ao serem inaladas causam efeitos adversos à fisiologia humana. Ainda, influências sociais que envolvem o status </w:t>
      </w:r>
      <w:proofErr w:type="spellStart"/>
      <w:r w:rsidR="00BE2C4E" w:rsidRPr="001A740F">
        <w:rPr>
          <w:rFonts w:eastAsia="Arial" w:cs="Arial"/>
          <w:sz w:val="22"/>
          <w:szCs w:val="22"/>
        </w:rPr>
        <w:t>gourmetizado</w:t>
      </w:r>
      <w:proofErr w:type="spellEnd"/>
      <w:r w:rsidR="00BE2C4E" w:rsidRPr="001A740F">
        <w:rPr>
          <w:rFonts w:eastAsia="Arial" w:cs="Arial"/>
          <w:sz w:val="22"/>
          <w:szCs w:val="22"/>
        </w:rPr>
        <w:t xml:space="preserve"> e a inclusão em segmentos sociais, impulsionam a popularização dessa modalidade de cigarro.</w:t>
      </w:r>
      <w:r w:rsidR="00BE2C4E" w:rsidRPr="001A740F">
        <w:rPr>
          <w:rFonts w:eastAsia="Arial" w:cs="Arial"/>
          <w:b/>
          <w:sz w:val="22"/>
          <w:szCs w:val="22"/>
          <w:u w:val="single"/>
        </w:rPr>
        <w:t>Objetivos</w:t>
      </w:r>
      <w:r w:rsidR="00BE2C4E" w:rsidRPr="001A740F">
        <w:rPr>
          <w:rFonts w:eastAsia="Arial" w:cs="Arial"/>
          <w:sz w:val="22"/>
          <w:szCs w:val="22"/>
        </w:rPr>
        <w:t xml:space="preserve">: Analisar os efeitos do cigarro eletrônico numa perspectiva física, mental e social. </w:t>
      </w:r>
      <w:r w:rsidR="00BE2C4E" w:rsidRPr="001A740F">
        <w:rPr>
          <w:rFonts w:eastAsia="Arial" w:cs="Arial"/>
          <w:b/>
          <w:color w:val="000000"/>
          <w:sz w:val="22"/>
          <w:szCs w:val="22"/>
          <w:u w:val="single"/>
        </w:rPr>
        <w:t>Métodos</w:t>
      </w:r>
      <w:r w:rsidR="00BE2C4E" w:rsidRPr="001A740F">
        <w:rPr>
          <w:rFonts w:eastAsia="Arial" w:cs="Arial"/>
          <w:color w:val="000000"/>
          <w:sz w:val="22"/>
          <w:szCs w:val="22"/>
        </w:rPr>
        <w:t xml:space="preserve">: </w:t>
      </w:r>
      <w:r w:rsidR="00BE2C4E" w:rsidRPr="001A740F">
        <w:rPr>
          <w:rFonts w:cs="Arial"/>
          <w:color w:val="000000"/>
          <w:sz w:val="22"/>
          <w:szCs w:val="22"/>
        </w:rPr>
        <w:t xml:space="preserve">O presente estudo é uma revisão de literatura, tendo como busca bibliográfica as bases LILACS, </w:t>
      </w:r>
      <w:proofErr w:type="spellStart"/>
      <w:r w:rsidR="00BE2C4E" w:rsidRPr="001A740F">
        <w:rPr>
          <w:rFonts w:cs="Arial"/>
          <w:color w:val="000000"/>
          <w:sz w:val="22"/>
          <w:szCs w:val="22"/>
        </w:rPr>
        <w:t>MEDLINE</w:t>
      </w:r>
      <w:proofErr w:type="spellEnd"/>
      <w:r w:rsidR="00BE2C4E" w:rsidRPr="001A740F">
        <w:rPr>
          <w:rFonts w:cs="Arial"/>
          <w:color w:val="000000"/>
          <w:sz w:val="22"/>
          <w:szCs w:val="22"/>
        </w:rPr>
        <w:t xml:space="preserve"> via PUBMED e SCIELO, usando as seguintes estratégias de busca: AND como operador booleano, Efeitos, Cigarro Eletrônico e Biopsicossocial como descritores, com um recorte de 10 anos. Além disso, foram incluídos artigos  com jovens e adultos, artigos em português e inglês. Da mesma forma, foram excluídos artigos que citavam o cigarro eletrônico como droga lícita. As etapas de leitura do trabalho foram: leitura de título, resumos e artigos por completo.</w:t>
      </w:r>
      <w:r w:rsidR="00BE2C4E" w:rsidRPr="001A740F">
        <w:rPr>
          <w:rFonts w:eastAsia="Arial" w:cs="Arial"/>
          <w:b/>
          <w:bCs/>
          <w:color w:val="000000"/>
          <w:sz w:val="22"/>
          <w:szCs w:val="22"/>
          <w:u w:val="single"/>
        </w:rPr>
        <w:t>Resultados</w:t>
      </w:r>
      <w:r w:rsidR="00BE2C4E" w:rsidRPr="001A740F">
        <w:rPr>
          <w:rFonts w:eastAsia="Arial" w:cs="Arial"/>
          <w:b/>
          <w:bCs/>
          <w:color w:val="000000"/>
          <w:sz w:val="22"/>
          <w:szCs w:val="22"/>
        </w:rPr>
        <w:t xml:space="preserve">: </w:t>
      </w:r>
      <w:r w:rsidR="00BE2C4E" w:rsidRPr="001A740F">
        <w:rPr>
          <w:rFonts w:eastAsia="Arial" w:cs="Arial"/>
          <w:color w:val="000000"/>
          <w:sz w:val="22"/>
          <w:szCs w:val="22"/>
        </w:rPr>
        <w:t xml:space="preserve">De 1548 artigos encontrados na base de dados SCIELO, foram selecionados 10 por título, desses 3 a partir do resumo e, para ler o artigo completo, fora selecionados 2. De 4.882 resultados encontrados na base </w:t>
      </w:r>
      <w:proofErr w:type="spellStart"/>
      <w:r w:rsidR="00BE2C4E" w:rsidRPr="001A740F">
        <w:rPr>
          <w:rFonts w:eastAsia="Arial" w:cs="Arial"/>
          <w:color w:val="000000"/>
          <w:sz w:val="22"/>
          <w:szCs w:val="22"/>
        </w:rPr>
        <w:t>MEDLINE</w:t>
      </w:r>
      <w:proofErr w:type="spellEnd"/>
      <w:r w:rsidR="00BE2C4E" w:rsidRPr="001A740F">
        <w:rPr>
          <w:rFonts w:eastAsia="Arial" w:cs="Arial"/>
          <w:color w:val="000000"/>
          <w:sz w:val="22"/>
          <w:szCs w:val="22"/>
        </w:rPr>
        <w:t xml:space="preserve">, 20 foram selecionados por título, </w:t>
      </w:r>
      <w:r w:rsidR="00BE2C4E" w:rsidRPr="001A740F">
        <w:rPr>
          <w:rFonts w:eastAsia="Arial" w:cs="Arial"/>
          <w:color w:val="000000"/>
          <w:sz w:val="22"/>
          <w:szCs w:val="22"/>
        </w:rPr>
        <w:lastRenderedPageBreak/>
        <w:t xml:space="preserve">desses 20 foram selecionados 10 a partir do resumo, e para ler o artigo completo, 4 escolhidos. Por último, de 18 resultados encontrados na base LILACS, foram selecionados 7 por título, desses 7 foram selecionados 4 a partir do resumo e para ler o artigo completo, 3 foram selecionados. Percebeu-se que, o cigarro eletrônico traz diversas doenças ao corpo, como a degeneração dos brônquios, cardiopatias e câncer. Os efeitos psicológicos envolvem a dependência e o aumento da ansiedade e depressão. Além disso, no âmbito social, o cigarro eletrônico propicia o tráfico, o aumento de fumantes passivos e a banalização do antitabagismo. </w:t>
      </w:r>
      <w:r w:rsidR="00BE2C4E" w:rsidRPr="001A740F">
        <w:rPr>
          <w:rFonts w:eastAsia="Arial" w:cs="Arial"/>
          <w:b/>
          <w:sz w:val="22"/>
          <w:szCs w:val="22"/>
          <w:u w:val="single"/>
        </w:rPr>
        <w:t>Conclusões</w:t>
      </w:r>
      <w:r w:rsidR="00BE2C4E" w:rsidRPr="001A740F">
        <w:rPr>
          <w:rFonts w:eastAsia="Arial" w:cs="Arial"/>
          <w:sz w:val="22"/>
          <w:szCs w:val="22"/>
        </w:rPr>
        <w:t>: O cigarro eletrônico traz  perspectivas biopsicossociais negativas, visto que é um exemplo de consequência psicossocial, pois o indivíduo que passou por traumas psicológicos ou vive em um meio desfavorável tem uma tendência a adotar comportamentos deletérios como fumar ou beber demasiadamente, afetando drasticamente a saúde.</w:t>
      </w:r>
    </w:p>
    <w:p w14:paraId="18CFBCFE" w14:textId="77777777" w:rsidR="00E22D75" w:rsidRDefault="00E22D75" w:rsidP="0084566D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2EFF805A" w14:textId="7527F430" w:rsidR="00534CB2" w:rsidRPr="002F50B5" w:rsidRDefault="00534CB2" w:rsidP="0084566D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E22D75" w:rsidRPr="002F50B5">
        <w:rPr>
          <w:rFonts w:eastAsia="Arial" w:cs="Arial"/>
          <w:color w:val="000000"/>
          <w:sz w:val="22"/>
          <w:szCs w:val="22"/>
        </w:rPr>
        <w:t>Efeitos. Cigarro Eletrônico. Biopsicossocial.</w:t>
      </w:r>
    </w:p>
    <w:p w14:paraId="3C061787" w14:textId="2B769037" w:rsidR="00191423" w:rsidRDefault="00D7675A" w:rsidP="0084566D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5457BB06" w14:textId="44AEAE45" w:rsidR="00E22D75" w:rsidRDefault="00E22D75" w:rsidP="0084566D">
      <w:pPr>
        <w:spacing w:line="240" w:lineRule="auto"/>
        <w:jc w:val="left"/>
        <w:rPr>
          <w:rFonts w:cs="Arial"/>
          <w:b/>
          <w:bCs/>
        </w:rPr>
      </w:pPr>
    </w:p>
    <w:p w14:paraId="192D85E5" w14:textId="77777777" w:rsidR="00E22D75" w:rsidRPr="00F0135B" w:rsidRDefault="00E22D75" w:rsidP="008456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  <w:sz w:val="20"/>
          <w:szCs w:val="20"/>
          <w:lang w:val="pt-PT"/>
        </w:rPr>
      </w:pP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Barufaldi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, Laura Augusta et al. Risco de iniciação ao tabagismo com o uso de cigarros eletrônicos: revisão sistemática e meta-análise. </w:t>
      </w:r>
      <w:r w:rsidRPr="00F0135B">
        <w:rPr>
          <w:rFonts w:eastAsia="Arial" w:cs="Arial"/>
          <w:b/>
          <w:bCs/>
          <w:color w:val="000000"/>
          <w:sz w:val="20"/>
          <w:szCs w:val="20"/>
          <w:lang w:val="pt-PT"/>
        </w:rPr>
        <w:t xml:space="preserve">Ciência &amp; Saúde Coletiva </w:t>
      </w:r>
      <w:r w:rsidRPr="00F0135B">
        <w:rPr>
          <w:rFonts w:eastAsia="Arial" w:cs="Arial"/>
          <w:color w:val="000000"/>
          <w:sz w:val="20"/>
          <w:szCs w:val="20"/>
          <w:lang w:val="pt-PT"/>
        </w:rPr>
        <w:t>[online]. 2021, v. 26, n. 12 [Acessado em: 01 jun. 2022 , pp. 6089-6103. Disponível em: &lt;https://doi.org/10.1590/1413-812320212612.35032020&gt;. Epub 13 Dez 2021. ISSN 1678-4561. https://doi.org/10.1590/1413-812320212612.35032020.</w:t>
      </w:r>
    </w:p>
    <w:p w14:paraId="02766CC0" w14:textId="77777777" w:rsidR="00E22D75" w:rsidRPr="00F0135B" w:rsidRDefault="00E22D75" w:rsidP="008456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20"/>
          <w:szCs w:val="20"/>
          <w:lang w:val="pt-PT"/>
        </w:rPr>
      </w:pPr>
    </w:p>
    <w:p w14:paraId="1436AAF7" w14:textId="77777777" w:rsidR="00E22D75" w:rsidRPr="00F0135B" w:rsidRDefault="00E22D75" w:rsidP="008456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 w:cs="Arial"/>
          <w:color w:val="000000"/>
          <w:sz w:val="20"/>
          <w:szCs w:val="20"/>
          <w:lang w:val="pt-PT"/>
        </w:rPr>
      </w:pPr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Callahan-Lyon, Priscilla.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Electronic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cigarettes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: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human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health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effects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. </w:t>
      </w:r>
      <w:proofErr w:type="spellStart"/>
      <w:r w:rsidRPr="00F0135B">
        <w:rPr>
          <w:rFonts w:eastAsia="Arial" w:cs="Arial"/>
          <w:b/>
          <w:bCs/>
          <w:color w:val="000000"/>
          <w:sz w:val="20"/>
          <w:szCs w:val="20"/>
          <w:lang w:val="pt-PT"/>
        </w:rPr>
        <w:t>Tobacco</w:t>
      </w:r>
      <w:proofErr w:type="spellEnd"/>
      <w:r w:rsidRPr="00F0135B">
        <w:rPr>
          <w:rFonts w:eastAsia="Arial" w:cs="Arial"/>
          <w:b/>
          <w:bCs/>
          <w:color w:val="000000"/>
          <w:sz w:val="20"/>
          <w:szCs w:val="20"/>
          <w:lang w:val="pt-PT"/>
        </w:rPr>
        <w:t xml:space="preserve"> </w:t>
      </w:r>
      <w:proofErr w:type="spellStart"/>
      <w:r w:rsidRPr="00F0135B">
        <w:rPr>
          <w:rFonts w:eastAsia="Arial" w:cs="Arial"/>
          <w:b/>
          <w:bCs/>
          <w:color w:val="000000"/>
          <w:sz w:val="20"/>
          <w:szCs w:val="20"/>
          <w:lang w:val="pt-PT"/>
        </w:rPr>
        <w:t>Control</w:t>
      </w:r>
      <w:proofErr w:type="spellEnd"/>
      <w:r w:rsidRPr="00F0135B">
        <w:rPr>
          <w:rFonts w:eastAsia="Arial" w:cs="Arial"/>
          <w:b/>
          <w:bCs/>
          <w:color w:val="000000"/>
          <w:sz w:val="20"/>
          <w:szCs w:val="20"/>
          <w:lang w:val="pt-PT"/>
        </w:rPr>
        <w:t xml:space="preserve"> </w:t>
      </w:r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Office of Science, Center for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Tobacco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 Products, FDA, 9200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Corporate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Blvd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, </w:t>
      </w:r>
      <w:proofErr w:type="spellStart"/>
      <w:r w:rsidRPr="00F0135B">
        <w:rPr>
          <w:rFonts w:eastAsia="Arial" w:cs="Arial"/>
          <w:color w:val="000000"/>
          <w:sz w:val="20"/>
          <w:szCs w:val="20"/>
          <w:lang w:val="pt-PT"/>
        </w:rPr>
        <w:t>Rockville</w:t>
      </w:r>
      <w:proofErr w:type="spellEnd"/>
      <w:r w:rsidRPr="00F0135B">
        <w:rPr>
          <w:rFonts w:eastAsia="Arial" w:cs="Arial"/>
          <w:color w:val="000000"/>
          <w:sz w:val="20"/>
          <w:szCs w:val="20"/>
          <w:lang w:val="pt-PT"/>
        </w:rPr>
        <w:t xml:space="preserve">, MD 20850., USA; Disponível em: </w:t>
      </w:r>
      <w:hyperlink r:id="rId10">
        <w:r w:rsidRPr="00F0135B">
          <w:rPr>
            <w:rFonts w:eastAsia="Arial" w:cs="Arial"/>
            <w:color w:val="000000" w:themeColor="text1"/>
            <w:sz w:val="20"/>
            <w:szCs w:val="20"/>
            <w:lang w:val="pt-PT"/>
          </w:rPr>
          <w:t>https://tobaccocontrol.bmj.com/content/23/suppl_2/ii36</w:t>
        </w:r>
      </w:hyperlink>
      <w:r w:rsidRPr="00F0135B">
        <w:rPr>
          <w:rFonts w:eastAsia="Arial" w:cs="Arial"/>
          <w:color w:val="000000"/>
          <w:sz w:val="20"/>
          <w:szCs w:val="20"/>
          <w:lang w:val="pt-PT"/>
        </w:rPr>
        <w:t>&gt;. Acesso em: 01 jun. 2022.</w:t>
      </w:r>
    </w:p>
    <w:p w14:paraId="10497577" w14:textId="77777777" w:rsidR="00E22D75" w:rsidRPr="00F0135B" w:rsidRDefault="00E22D75" w:rsidP="0084566D">
      <w:pPr>
        <w:spacing w:line="240" w:lineRule="auto"/>
        <w:jc w:val="left"/>
        <w:rPr>
          <w:rFonts w:eastAsia="Arial" w:cs="Arial"/>
          <w:sz w:val="20"/>
          <w:szCs w:val="20"/>
          <w:lang w:val="pt-PT"/>
        </w:rPr>
      </w:pPr>
    </w:p>
    <w:p w14:paraId="7C6065C7" w14:textId="77777777" w:rsidR="00E22D75" w:rsidRPr="00F2333F" w:rsidRDefault="00E22D75" w:rsidP="0084566D">
      <w:pPr>
        <w:spacing w:line="240" w:lineRule="auto"/>
        <w:jc w:val="left"/>
        <w:rPr>
          <w:rFonts w:cs="Arial"/>
          <w:b/>
          <w:bCs/>
        </w:rPr>
      </w:pPr>
    </w:p>
    <w:p w14:paraId="049F31CB" w14:textId="77777777" w:rsidR="004B17EF" w:rsidRDefault="004B17EF" w:rsidP="0084566D">
      <w:pPr>
        <w:spacing w:line="240" w:lineRule="auto"/>
        <w:rPr>
          <w:rFonts w:cs="Arial"/>
          <w:sz w:val="20"/>
          <w:szCs w:val="20"/>
        </w:rPr>
      </w:pPr>
    </w:p>
    <w:p w14:paraId="53128261" w14:textId="77777777" w:rsidR="00CD07AD" w:rsidRDefault="00CD07AD" w:rsidP="0084566D">
      <w:pPr>
        <w:spacing w:line="240" w:lineRule="auto"/>
      </w:pPr>
    </w:p>
    <w:sectPr w:rsidR="00CD07AD" w:rsidSect="00CF34D0">
      <w:headerReference w:type="default" r:id="rId11"/>
      <w:footerReference w:type="default" r:id="rId12"/>
      <w:headerReference w:type="first" r:id="rId13"/>
      <w:footerReference w:type="first" r:id="rId14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2479" w14:textId="77777777" w:rsidR="00E05F84" w:rsidRDefault="00E05F84" w:rsidP="00EE20DF">
      <w:pPr>
        <w:spacing w:line="240" w:lineRule="auto"/>
      </w:pPr>
      <w:r>
        <w:separator/>
      </w:r>
    </w:p>
  </w:endnote>
  <w:endnote w:type="continuationSeparator" w:id="0">
    <w:p w14:paraId="12E1D8DA" w14:textId="77777777" w:rsidR="00E05F84" w:rsidRDefault="00E05F8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2933" w14:textId="77777777" w:rsidR="00E05F84" w:rsidRDefault="00E05F84" w:rsidP="00EE20DF">
      <w:pPr>
        <w:spacing w:line="240" w:lineRule="auto"/>
      </w:pPr>
      <w:r>
        <w:separator/>
      </w:r>
    </w:p>
  </w:footnote>
  <w:footnote w:type="continuationSeparator" w:id="0">
    <w:p w14:paraId="50D48283" w14:textId="77777777" w:rsidR="00E05F84" w:rsidRDefault="00E05F8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12F2787D">
                <wp:extent cx="928736" cy="625475"/>
                <wp:effectExtent l="0" t="0" r="0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975" cy="631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8F3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93111"/>
    <w:rsid w:val="001A0BEB"/>
    <w:rsid w:val="001A740F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0FE1"/>
    <w:rsid w:val="002A3125"/>
    <w:rsid w:val="002A593B"/>
    <w:rsid w:val="002A6621"/>
    <w:rsid w:val="002A75BA"/>
    <w:rsid w:val="002C47AD"/>
    <w:rsid w:val="002D0194"/>
    <w:rsid w:val="002D1F4C"/>
    <w:rsid w:val="002E24E4"/>
    <w:rsid w:val="002E432F"/>
    <w:rsid w:val="002F50B5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66ABB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473BA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0BAF"/>
    <w:rsid w:val="00657884"/>
    <w:rsid w:val="006610BD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67F6B"/>
    <w:rsid w:val="00771EE7"/>
    <w:rsid w:val="00782E33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34DDC"/>
    <w:rsid w:val="0084272D"/>
    <w:rsid w:val="00844F54"/>
    <w:rsid w:val="0084566D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A2DFD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2C4E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736F7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4D0"/>
    <w:rsid w:val="00CF3902"/>
    <w:rsid w:val="00CF59B6"/>
    <w:rsid w:val="00CF641E"/>
    <w:rsid w:val="00D0296D"/>
    <w:rsid w:val="00D23C3A"/>
    <w:rsid w:val="00D36973"/>
    <w:rsid w:val="00D400E9"/>
    <w:rsid w:val="00D44317"/>
    <w:rsid w:val="00D5285D"/>
    <w:rsid w:val="00D5667C"/>
    <w:rsid w:val="00D63577"/>
    <w:rsid w:val="00D6615B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B4501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5F84"/>
    <w:rsid w:val="00E06EFE"/>
    <w:rsid w:val="00E12960"/>
    <w:rsid w:val="00E13636"/>
    <w:rsid w:val="00E22D75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135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87B6F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19974755@academico.Cesmac.edu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baccocontrol.bmj.com/content/23/suppl_2/ii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19974764@academico.cesmac.edu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MARINA GUERRA COELHO DE JESUS</cp:lastModifiedBy>
  <cp:revision>4</cp:revision>
  <dcterms:created xsi:type="dcterms:W3CDTF">2022-10-20T21:26:00Z</dcterms:created>
  <dcterms:modified xsi:type="dcterms:W3CDTF">2022-10-20T22:07:00Z</dcterms:modified>
</cp:coreProperties>
</file>