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42D56" w14:textId="6C758833" w:rsidR="008B3F40" w:rsidRPr="001B58C7" w:rsidRDefault="00D17BB3" w:rsidP="001B58C7">
      <w:pPr>
        <w:spacing w:after="0" w:line="240" w:lineRule="auto"/>
        <w:ind w:firstLine="709"/>
        <w:jc w:val="center"/>
        <w:rPr>
          <w:rFonts w:ascii="Times New Roman" w:hAnsi="Times New Roman" w:cs="Times New Roman"/>
          <w:b/>
          <w:bCs/>
          <w:sz w:val="24"/>
          <w:szCs w:val="24"/>
        </w:rPr>
      </w:pPr>
      <w:r w:rsidRPr="00765274">
        <w:rPr>
          <w:rFonts w:ascii="Times New Roman" w:hAnsi="Times New Roman" w:cs="Times New Roman"/>
          <w:b/>
          <w:bCs/>
          <w:sz w:val="24"/>
          <w:szCs w:val="24"/>
        </w:rPr>
        <w:t>COMÉRCIO EXTERIOR DO SETOR INDUSTRIAL POR INTENSIDADE TECNOLÓGICA EM SANTA CATARINA: UMA ANÁL</w:t>
      </w:r>
      <w:r>
        <w:rPr>
          <w:rFonts w:ascii="Times New Roman" w:hAnsi="Times New Roman" w:cs="Times New Roman"/>
          <w:b/>
          <w:bCs/>
          <w:sz w:val="24"/>
          <w:szCs w:val="24"/>
        </w:rPr>
        <w:t>ISE DO PERÍODO ENTRE 2000 E 2020</w:t>
      </w:r>
    </w:p>
    <w:p w14:paraId="686C4972" w14:textId="38C66B0B" w:rsidR="00765274" w:rsidRPr="00BC745A" w:rsidRDefault="00D60430" w:rsidP="001B58C7">
      <w:pPr>
        <w:spacing w:after="0" w:line="240" w:lineRule="auto"/>
        <w:ind w:firstLine="709"/>
        <w:jc w:val="right"/>
        <w:rPr>
          <w:rFonts w:ascii="Times New Roman" w:hAnsi="Times New Roman" w:cs="Times New Roman"/>
          <w:iCs/>
          <w:sz w:val="24"/>
          <w:szCs w:val="24"/>
        </w:rPr>
      </w:pPr>
      <w:r w:rsidRPr="00BC745A">
        <w:rPr>
          <w:rFonts w:ascii="Times New Roman" w:hAnsi="Times New Roman" w:cs="Times New Roman"/>
          <w:iCs/>
          <w:sz w:val="24"/>
          <w:szCs w:val="24"/>
        </w:rPr>
        <w:t>Silvio Antônio Ferraz Ca</w:t>
      </w:r>
      <w:r w:rsidR="00765274" w:rsidRPr="00BC745A">
        <w:rPr>
          <w:rFonts w:ascii="Times New Roman" w:hAnsi="Times New Roman" w:cs="Times New Roman"/>
          <w:iCs/>
          <w:sz w:val="24"/>
          <w:szCs w:val="24"/>
        </w:rPr>
        <w:t>rio</w:t>
      </w:r>
      <w:r w:rsidR="005E6360">
        <w:rPr>
          <w:rFonts w:ascii="Times New Roman" w:hAnsi="Times New Roman" w:cs="Times New Roman"/>
          <w:iCs/>
          <w:sz w:val="24"/>
          <w:szCs w:val="24"/>
        </w:rPr>
        <w:t xml:space="preserve">; CSE/UFSC; </w:t>
      </w:r>
      <w:hyperlink r:id="rId8" w:history="1">
        <w:r w:rsidR="005E6360" w:rsidRPr="00A046AD">
          <w:rPr>
            <w:rStyle w:val="Hyperlink"/>
            <w:rFonts w:ascii="Times New Roman" w:hAnsi="Times New Roman" w:cs="Times New Roman"/>
            <w:iCs/>
            <w:sz w:val="24"/>
            <w:szCs w:val="24"/>
          </w:rPr>
          <w:t>fecario@yahoo.com.br</w:t>
        </w:r>
      </w:hyperlink>
      <w:r w:rsidR="005E6360">
        <w:rPr>
          <w:rFonts w:ascii="Times New Roman" w:hAnsi="Times New Roman" w:cs="Times New Roman"/>
          <w:iCs/>
          <w:sz w:val="24"/>
          <w:szCs w:val="24"/>
        </w:rPr>
        <w:t xml:space="preserve"> </w:t>
      </w:r>
    </w:p>
    <w:p w14:paraId="6E2DDC07" w14:textId="6D0F8BEA" w:rsidR="00765274" w:rsidRPr="00BC745A" w:rsidRDefault="00765274" w:rsidP="001B58C7">
      <w:pPr>
        <w:spacing w:after="0" w:line="240" w:lineRule="auto"/>
        <w:ind w:firstLine="709"/>
        <w:jc w:val="right"/>
        <w:rPr>
          <w:rFonts w:ascii="Times New Roman" w:hAnsi="Times New Roman" w:cs="Times New Roman"/>
          <w:iCs/>
          <w:sz w:val="24"/>
          <w:szCs w:val="24"/>
        </w:rPr>
      </w:pPr>
      <w:r w:rsidRPr="00BC745A">
        <w:rPr>
          <w:rFonts w:ascii="Times New Roman" w:hAnsi="Times New Roman" w:cs="Times New Roman"/>
          <w:iCs/>
          <w:sz w:val="24"/>
          <w:szCs w:val="24"/>
        </w:rPr>
        <w:t>Wallace Marcelino Pereira</w:t>
      </w:r>
      <w:r w:rsidR="005E6360">
        <w:rPr>
          <w:rFonts w:ascii="Times New Roman" w:hAnsi="Times New Roman" w:cs="Times New Roman"/>
          <w:iCs/>
          <w:sz w:val="24"/>
          <w:szCs w:val="24"/>
        </w:rPr>
        <w:t xml:space="preserve">; ICSA/UFPA; </w:t>
      </w:r>
      <w:hyperlink r:id="rId9" w:history="1">
        <w:r w:rsidR="005E6360" w:rsidRPr="00A046AD">
          <w:rPr>
            <w:rStyle w:val="Hyperlink"/>
            <w:rFonts w:ascii="Times New Roman" w:hAnsi="Times New Roman" w:cs="Times New Roman"/>
            <w:iCs/>
            <w:sz w:val="24"/>
            <w:szCs w:val="24"/>
          </w:rPr>
          <w:t>wmpereirabr@ufpa.br</w:t>
        </w:r>
      </w:hyperlink>
      <w:r w:rsidR="005E6360">
        <w:rPr>
          <w:rFonts w:ascii="Times New Roman" w:hAnsi="Times New Roman" w:cs="Times New Roman"/>
          <w:iCs/>
          <w:sz w:val="24"/>
          <w:szCs w:val="24"/>
        </w:rPr>
        <w:t xml:space="preserve"> </w:t>
      </w:r>
    </w:p>
    <w:p w14:paraId="24CC013D" w14:textId="59C7555D" w:rsidR="008B3F40" w:rsidRPr="001B58C7" w:rsidRDefault="00765274" w:rsidP="001B58C7">
      <w:pPr>
        <w:spacing w:after="0" w:line="240" w:lineRule="auto"/>
        <w:ind w:firstLine="709"/>
        <w:jc w:val="right"/>
        <w:rPr>
          <w:rFonts w:ascii="Times New Roman" w:hAnsi="Times New Roman" w:cs="Times New Roman"/>
          <w:iCs/>
          <w:sz w:val="24"/>
          <w:szCs w:val="24"/>
        </w:rPr>
      </w:pPr>
      <w:r w:rsidRPr="00BC745A">
        <w:rPr>
          <w:rFonts w:ascii="Times New Roman" w:hAnsi="Times New Roman" w:cs="Times New Roman"/>
          <w:iCs/>
          <w:sz w:val="24"/>
          <w:szCs w:val="24"/>
        </w:rPr>
        <w:t>Lucas Corrêa</w:t>
      </w:r>
      <w:r w:rsidR="005E6360">
        <w:rPr>
          <w:rFonts w:ascii="Times New Roman" w:hAnsi="Times New Roman" w:cs="Times New Roman"/>
          <w:iCs/>
          <w:sz w:val="24"/>
          <w:szCs w:val="24"/>
        </w:rPr>
        <w:t xml:space="preserve">; </w:t>
      </w:r>
      <w:r w:rsidR="005E6360" w:rsidRPr="005E6360">
        <w:rPr>
          <w:rFonts w:ascii="Times New Roman" w:hAnsi="Times New Roman" w:cs="Times New Roman"/>
          <w:iCs/>
          <w:sz w:val="24"/>
          <w:szCs w:val="24"/>
        </w:rPr>
        <w:t>IE/Unicamp</w:t>
      </w:r>
      <w:r w:rsidR="005E6360">
        <w:rPr>
          <w:rFonts w:ascii="Times New Roman" w:hAnsi="Times New Roman" w:cs="Times New Roman"/>
          <w:iCs/>
          <w:sz w:val="24"/>
          <w:szCs w:val="24"/>
        </w:rPr>
        <w:t xml:space="preserve">; </w:t>
      </w:r>
      <w:hyperlink r:id="rId10" w:history="1">
        <w:r w:rsidR="005E6360" w:rsidRPr="00A046AD">
          <w:rPr>
            <w:rStyle w:val="Hyperlink"/>
            <w:rFonts w:ascii="Times New Roman" w:hAnsi="Times New Roman" w:cs="Times New Roman"/>
            <w:iCs/>
            <w:sz w:val="24"/>
            <w:szCs w:val="24"/>
          </w:rPr>
          <w:t>correa.lucas@outlook.com.br</w:t>
        </w:r>
      </w:hyperlink>
      <w:r w:rsidR="005E6360">
        <w:rPr>
          <w:rFonts w:ascii="Times New Roman" w:hAnsi="Times New Roman" w:cs="Times New Roman"/>
          <w:iCs/>
          <w:sz w:val="24"/>
          <w:szCs w:val="24"/>
        </w:rPr>
        <w:t xml:space="preserve"> </w:t>
      </w:r>
    </w:p>
    <w:p w14:paraId="1E1313BC" w14:textId="77777777" w:rsidR="005E6360" w:rsidRDefault="005E6360" w:rsidP="00BC745A">
      <w:pPr>
        <w:rPr>
          <w:rFonts w:ascii="Times New Roman" w:hAnsi="Times New Roman" w:cs="Times New Roman"/>
          <w:b/>
          <w:iCs/>
          <w:sz w:val="24"/>
          <w:szCs w:val="24"/>
        </w:rPr>
      </w:pPr>
    </w:p>
    <w:p w14:paraId="6F9D3D87" w14:textId="0AB05DD3" w:rsidR="00765274" w:rsidRDefault="00BC745A" w:rsidP="00BC745A">
      <w:pPr>
        <w:rPr>
          <w:rFonts w:ascii="Times New Roman" w:hAnsi="Times New Roman" w:cs="Times New Roman"/>
          <w:iCs/>
          <w:sz w:val="24"/>
          <w:szCs w:val="24"/>
        </w:rPr>
      </w:pPr>
      <w:r w:rsidRPr="00BC745A">
        <w:rPr>
          <w:rFonts w:ascii="Times New Roman" w:hAnsi="Times New Roman" w:cs="Times New Roman"/>
          <w:b/>
          <w:iCs/>
          <w:sz w:val="24"/>
          <w:szCs w:val="24"/>
        </w:rPr>
        <w:t>Área 5:</w:t>
      </w:r>
      <w:r w:rsidRPr="00BC745A">
        <w:rPr>
          <w:rFonts w:ascii="Times New Roman" w:hAnsi="Times New Roman" w:cs="Times New Roman"/>
          <w:iCs/>
          <w:sz w:val="24"/>
          <w:szCs w:val="24"/>
        </w:rPr>
        <w:t xml:space="preserve"> Economia Industrial, da Ciência, Tecnologia e Inovação</w:t>
      </w:r>
    </w:p>
    <w:p w14:paraId="2B0C2A7E" w14:textId="77777777" w:rsidR="005E6360" w:rsidRPr="00BC745A" w:rsidRDefault="005E6360" w:rsidP="00BC745A">
      <w:pPr>
        <w:rPr>
          <w:rFonts w:ascii="Times New Roman" w:hAnsi="Times New Roman" w:cs="Times New Roman"/>
          <w:iCs/>
          <w:sz w:val="24"/>
          <w:szCs w:val="24"/>
        </w:rPr>
      </w:pPr>
    </w:p>
    <w:p w14:paraId="51AD5785" w14:textId="5BBA4A07" w:rsidR="005E6360" w:rsidRDefault="005E6360" w:rsidP="005E636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RESUMO</w:t>
      </w:r>
    </w:p>
    <w:p w14:paraId="14B6D4F9" w14:textId="77777777" w:rsidR="005E6360" w:rsidRDefault="005E6360" w:rsidP="005E6360">
      <w:pPr>
        <w:spacing w:after="0" w:line="480" w:lineRule="auto"/>
        <w:jc w:val="center"/>
        <w:rPr>
          <w:rFonts w:ascii="Times New Roman" w:hAnsi="Times New Roman" w:cs="Times New Roman"/>
          <w:b/>
          <w:sz w:val="24"/>
          <w:szCs w:val="24"/>
        </w:rPr>
      </w:pPr>
    </w:p>
    <w:p w14:paraId="441CA57E" w14:textId="4647F5CB" w:rsidR="00270AF1" w:rsidRDefault="005C5CD8" w:rsidP="005E6360">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O objetivo desse e</w:t>
      </w:r>
      <w:r w:rsidR="00726A66">
        <w:rPr>
          <w:rFonts w:ascii="Times New Roman" w:hAnsi="Times New Roman" w:cs="Times New Roman"/>
          <w:sz w:val="24"/>
          <w:szCs w:val="24"/>
        </w:rPr>
        <w:t>studo foi</w:t>
      </w:r>
      <w:r>
        <w:rPr>
          <w:rFonts w:ascii="Times New Roman" w:hAnsi="Times New Roman" w:cs="Times New Roman"/>
          <w:sz w:val="24"/>
          <w:szCs w:val="24"/>
        </w:rPr>
        <w:t xml:space="preserve"> analisar o comércio exterior por intensidade tecnológica de Santa Catarina no </w:t>
      </w:r>
      <w:r w:rsidR="00726A66">
        <w:rPr>
          <w:rFonts w:ascii="Times New Roman" w:hAnsi="Times New Roman" w:cs="Times New Roman"/>
          <w:sz w:val="24"/>
          <w:szCs w:val="24"/>
        </w:rPr>
        <w:t xml:space="preserve">período de 2000 a 2020, </w:t>
      </w:r>
      <w:r w:rsidR="00D03B7F">
        <w:rPr>
          <w:rFonts w:ascii="Times New Roman" w:hAnsi="Times New Roman" w:cs="Times New Roman"/>
          <w:sz w:val="24"/>
          <w:szCs w:val="24"/>
        </w:rPr>
        <w:t xml:space="preserve">com o </w:t>
      </w:r>
      <w:r>
        <w:rPr>
          <w:rFonts w:ascii="Times New Roman" w:hAnsi="Times New Roman" w:cs="Times New Roman"/>
          <w:sz w:val="24"/>
          <w:szCs w:val="24"/>
        </w:rPr>
        <w:t>intuito de contribuir no debate acerca da dimensão r</w:t>
      </w:r>
      <w:r w:rsidR="002D1255">
        <w:rPr>
          <w:rFonts w:ascii="Times New Roman" w:hAnsi="Times New Roman" w:cs="Times New Roman"/>
          <w:sz w:val="24"/>
          <w:szCs w:val="24"/>
        </w:rPr>
        <w:t xml:space="preserve">egional da competitividade e ressaltar a </w:t>
      </w:r>
      <w:r>
        <w:rPr>
          <w:rFonts w:ascii="Times New Roman" w:hAnsi="Times New Roman" w:cs="Times New Roman"/>
          <w:sz w:val="24"/>
          <w:szCs w:val="24"/>
        </w:rPr>
        <w:t>importância da indústria</w:t>
      </w:r>
      <w:r w:rsidR="006C55EB">
        <w:rPr>
          <w:rFonts w:ascii="Times New Roman" w:hAnsi="Times New Roman" w:cs="Times New Roman"/>
          <w:sz w:val="24"/>
          <w:szCs w:val="24"/>
        </w:rPr>
        <w:t xml:space="preserve"> na economia estadual. O foco da</w:t>
      </w:r>
      <w:r w:rsidR="00D03B7F">
        <w:rPr>
          <w:rFonts w:ascii="Times New Roman" w:hAnsi="Times New Roman" w:cs="Times New Roman"/>
          <w:sz w:val="24"/>
          <w:szCs w:val="24"/>
        </w:rPr>
        <w:t xml:space="preserve"> </w:t>
      </w:r>
      <w:r w:rsidR="00726A66">
        <w:rPr>
          <w:rFonts w:ascii="Times New Roman" w:hAnsi="Times New Roman" w:cs="Times New Roman"/>
          <w:sz w:val="24"/>
          <w:szCs w:val="24"/>
        </w:rPr>
        <w:t>análise primou</w:t>
      </w:r>
      <w:r w:rsidR="006C55EB">
        <w:rPr>
          <w:rFonts w:ascii="Times New Roman" w:hAnsi="Times New Roman" w:cs="Times New Roman"/>
          <w:sz w:val="24"/>
          <w:szCs w:val="24"/>
        </w:rPr>
        <w:t xml:space="preserve"> pelas</w:t>
      </w:r>
      <w:r w:rsidR="00D03B7F">
        <w:rPr>
          <w:rFonts w:ascii="Times New Roman" w:hAnsi="Times New Roman" w:cs="Times New Roman"/>
          <w:sz w:val="24"/>
          <w:szCs w:val="24"/>
        </w:rPr>
        <w:t xml:space="preserve"> (i) </w:t>
      </w:r>
      <w:r w:rsidRPr="00041F45">
        <w:rPr>
          <w:rFonts w:ascii="Times New Roman" w:hAnsi="Times New Roman" w:cs="Times New Roman"/>
          <w:sz w:val="24"/>
          <w:szCs w:val="24"/>
        </w:rPr>
        <w:t>exportaçõ</w:t>
      </w:r>
      <w:r w:rsidR="00D03B7F">
        <w:rPr>
          <w:rFonts w:ascii="Times New Roman" w:hAnsi="Times New Roman" w:cs="Times New Roman"/>
          <w:sz w:val="24"/>
          <w:szCs w:val="24"/>
        </w:rPr>
        <w:t>es</w:t>
      </w:r>
      <w:r w:rsidR="006C55EB">
        <w:rPr>
          <w:rFonts w:ascii="Times New Roman" w:hAnsi="Times New Roman" w:cs="Times New Roman"/>
          <w:sz w:val="24"/>
          <w:szCs w:val="24"/>
        </w:rPr>
        <w:t xml:space="preserve"> e</w:t>
      </w:r>
      <w:r w:rsidR="00D03B7F">
        <w:rPr>
          <w:rFonts w:ascii="Times New Roman" w:hAnsi="Times New Roman" w:cs="Times New Roman"/>
          <w:sz w:val="24"/>
          <w:szCs w:val="24"/>
        </w:rPr>
        <w:t xml:space="preserve"> (ii)</w:t>
      </w:r>
      <w:r w:rsidRPr="00041F45">
        <w:rPr>
          <w:rFonts w:ascii="Times New Roman" w:hAnsi="Times New Roman" w:cs="Times New Roman"/>
          <w:sz w:val="24"/>
          <w:szCs w:val="24"/>
        </w:rPr>
        <w:t xml:space="preserve"> importações catarinenses por intensidade tecnológica</w:t>
      </w:r>
      <w:r w:rsidR="006C55EB">
        <w:rPr>
          <w:rFonts w:ascii="Times New Roman" w:eastAsia="Times New Roman" w:hAnsi="Times New Roman" w:cs="Times New Roman"/>
          <w:color w:val="000000"/>
          <w:sz w:val="24"/>
          <w:szCs w:val="24"/>
          <w:lang w:eastAsia="pt-BR"/>
        </w:rPr>
        <w:t xml:space="preserve"> </w:t>
      </w:r>
      <w:r w:rsidR="006C55EB">
        <w:rPr>
          <w:rFonts w:ascii="Times New Roman" w:hAnsi="Times New Roman" w:cs="Times New Roman"/>
          <w:sz w:val="24"/>
          <w:szCs w:val="24"/>
        </w:rPr>
        <w:t>visando demonstrar o nível de agregação de valor dos produtos fabricados para mercado externo, bem como adquiridos externamente do país.</w:t>
      </w:r>
      <w:r w:rsidR="00D03B7F">
        <w:rPr>
          <w:rFonts w:ascii="Times New Roman" w:eastAsia="Times New Roman" w:hAnsi="Times New Roman" w:cs="Times New Roman"/>
          <w:color w:val="000000"/>
          <w:sz w:val="24"/>
          <w:szCs w:val="24"/>
          <w:lang w:eastAsia="pt-BR"/>
        </w:rPr>
        <w:t xml:space="preserve"> </w:t>
      </w:r>
      <w:r w:rsidR="006C55EB">
        <w:rPr>
          <w:rFonts w:ascii="Times New Roman" w:eastAsia="Times New Roman" w:hAnsi="Times New Roman" w:cs="Times New Roman"/>
          <w:color w:val="000000"/>
          <w:sz w:val="24"/>
          <w:szCs w:val="24"/>
          <w:lang w:eastAsia="pt-BR"/>
        </w:rPr>
        <w:t>Além disso, considerou o</w:t>
      </w:r>
      <w:r w:rsidR="00D03B7F">
        <w:rPr>
          <w:rFonts w:ascii="Times New Roman" w:eastAsia="Times New Roman" w:hAnsi="Times New Roman" w:cs="Times New Roman"/>
          <w:color w:val="000000"/>
          <w:sz w:val="24"/>
          <w:szCs w:val="24"/>
          <w:lang w:eastAsia="pt-BR"/>
        </w:rPr>
        <w:t xml:space="preserve"> </w:t>
      </w:r>
      <w:r w:rsidR="002D1255">
        <w:rPr>
          <w:rFonts w:ascii="Times New Roman" w:eastAsia="Times New Roman" w:hAnsi="Times New Roman" w:cs="Times New Roman"/>
          <w:color w:val="000000"/>
          <w:sz w:val="24"/>
          <w:szCs w:val="24"/>
          <w:lang w:eastAsia="pt-BR"/>
        </w:rPr>
        <w:t>(ii</w:t>
      </w:r>
      <w:r w:rsidR="00D03B7F">
        <w:rPr>
          <w:rFonts w:ascii="Times New Roman" w:eastAsia="Times New Roman" w:hAnsi="Times New Roman" w:cs="Times New Roman"/>
          <w:color w:val="000000"/>
          <w:sz w:val="24"/>
          <w:szCs w:val="24"/>
          <w:lang w:eastAsia="pt-BR"/>
        </w:rPr>
        <w:t>i</w:t>
      </w:r>
      <w:r w:rsidR="002D1255">
        <w:rPr>
          <w:rFonts w:ascii="Times New Roman" w:eastAsia="Times New Roman" w:hAnsi="Times New Roman" w:cs="Times New Roman"/>
          <w:color w:val="000000"/>
          <w:sz w:val="24"/>
          <w:szCs w:val="24"/>
          <w:lang w:eastAsia="pt-BR"/>
        </w:rPr>
        <w:t>) p</w:t>
      </w:r>
      <w:r w:rsidR="00D03B7F">
        <w:rPr>
          <w:rFonts w:ascii="Times New Roman" w:eastAsia="Times New Roman" w:hAnsi="Times New Roman" w:cs="Times New Roman"/>
          <w:color w:val="000000"/>
          <w:sz w:val="24"/>
          <w:szCs w:val="24"/>
          <w:lang w:eastAsia="pt-BR"/>
        </w:rPr>
        <w:t>roduto interno bruto (PIB); (iv</w:t>
      </w:r>
      <w:r w:rsidR="002D1255">
        <w:rPr>
          <w:rFonts w:ascii="Times New Roman" w:eastAsia="Times New Roman" w:hAnsi="Times New Roman" w:cs="Times New Roman"/>
          <w:color w:val="000000"/>
          <w:sz w:val="24"/>
          <w:szCs w:val="24"/>
          <w:lang w:eastAsia="pt-BR"/>
        </w:rPr>
        <w:t>) va</w:t>
      </w:r>
      <w:r w:rsidR="006C55EB">
        <w:rPr>
          <w:rFonts w:ascii="Times New Roman" w:eastAsia="Times New Roman" w:hAnsi="Times New Roman" w:cs="Times New Roman"/>
          <w:color w:val="000000"/>
          <w:sz w:val="24"/>
          <w:szCs w:val="24"/>
          <w:lang w:eastAsia="pt-BR"/>
        </w:rPr>
        <w:t>lor bruto da produção (VBPI); (</w:t>
      </w:r>
      <w:r w:rsidR="002D1255">
        <w:rPr>
          <w:rFonts w:ascii="Times New Roman" w:eastAsia="Times New Roman" w:hAnsi="Times New Roman" w:cs="Times New Roman"/>
          <w:color w:val="000000"/>
          <w:sz w:val="24"/>
          <w:szCs w:val="24"/>
          <w:lang w:eastAsia="pt-BR"/>
        </w:rPr>
        <w:t>v) valor da transformação industrial (VTI); (v</w:t>
      </w:r>
      <w:r w:rsidR="006C55EB">
        <w:rPr>
          <w:rFonts w:ascii="Times New Roman" w:eastAsia="Times New Roman" w:hAnsi="Times New Roman" w:cs="Times New Roman"/>
          <w:color w:val="000000"/>
          <w:sz w:val="24"/>
          <w:szCs w:val="24"/>
          <w:lang w:eastAsia="pt-BR"/>
        </w:rPr>
        <w:t>i</w:t>
      </w:r>
      <w:r w:rsidR="002D1255">
        <w:rPr>
          <w:rFonts w:ascii="Times New Roman" w:eastAsia="Times New Roman" w:hAnsi="Times New Roman" w:cs="Times New Roman"/>
          <w:color w:val="000000"/>
          <w:sz w:val="24"/>
          <w:szCs w:val="24"/>
          <w:lang w:eastAsia="pt-BR"/>
        </w:rPr>
        <w:t>) número de estabelecimentos; (vi</w:t>
      </w:r>
      <w:r w:rsidR="006C55EB">
        <w:rPr>
          <w:rFonts w:ascii="Times New Roman" w:eastAsia="Times New Roman" w:hAnsi="Times New Roman" w:cs="Times New Roman"/>
          <w:color w:val="000000"/>
          <w:sz w:val="24"/>
          <w:szCs w:val="24"/>
          <w:lang w:eastAsia="pt-BR"/>
        </w:rPr>
        <w:t>i</w:t>
      </w:r>
      <w:r w:rsidR="002D1255">
        <w:rPr>
          <w:rFonts w:ascii="Times New Roman" w:eastAsia="Times New Roman" w:hAnsi="Times New Roman" w:cs="Times New Roman"/>
          <w:color w:val="000000"/>
          <w:sz w:val="24"/>
          <w:szCs w:val="24"/>
          <w:lang w:eastAsia="pt-BR"/>
        </w:rPr>
        <w:t>) emprego; (vii</w:t>
      </w:r>
      <w:r w:rsidR="006C55EB">
        <w:rPr>
          <w:rFonts w:ascii="Times New Roman" w:eastAsia="Times New Roman" w:hAnsi="Times New Roman" w:cs="Times New Roman"/>
          <w:color w:val="000000"/>
          <w:sz w:val="24"/>
          <w:szCs w:val="24"/>
          <w:lang w:eastAsia="pt-BR"/>
        </w:rPr>
        <w:t>i</w:t>
      </w:r>
      <w:r w:rsidR="002D1255">
        <w:rPr>
          <w:rFonts w:ascii="Times New Roman" w:eastAsia="Times New Roman" w:hAnsi="Times New Roman" w:cs="Times New Roman"/>
          <w:color w:val="000000"/>
          <w:sz w:val="24"/>
          <w:szCs w:val="24"/>
          <w:lang w:eastAsia="pt-BR"/>
        </w:rPr>
        <w:t>) densidade produtiva</w:t>
      </w:r>
      <w:r w:rsidR="002D1255" w:rsidRPr="003C3BDB">
        <w:rPr>
          <w:rFonts w:ascii="Times New Roman" w:eastAsia="Times New Roman" w:hAnsi="Times New Roman" w:cs="Times New Roman"/>
          <w:color w:val="000000"/>
          <w:sz w:val="24"/>
          <w:szCs w:val="24"/>
          <w:lang w:eastAsia="pt-BR"/>
        </w:rPr>
        <w:t xml:space="preserve"> </w:t>
      </w:r>
      <w:r w:rsidR="002D1255">
        <w:rPr>
          <w:rFonts w:ascii="Times New Roman" w:eastAsia="Times New Roman" w:hAnsi="Times New Roman" w:cs="Times New Roman"/>
          <w:color w:val="000000"/>
          <w:sz w:val="24"/>
          <w:szCs w:val="24"/>
          <w:lang w:eastAsia="pt-BR"/>
        </w:rPr>
        <w:t>(</w:t>
      </w:r>
      <w:r w:rsidR="002D1255" w:rsidRPr="003C3BDB">
        <w:rPr>
          <w:rFonts w:ascii="Times New Roman" w:eastAsia="Times New Roman" w:hAnsi="Times New Roman" w:cs="Times New Roman"/>
          <w:color w:val="000000"/>
          <w:sz w:val="24"/>
          <w:szCs w:val="24"/>
          <w:lang w:eastAsia="pt-BR"/>
        </w:rPr>
        <w:t>VTI/VBPI</w:t>
      </w:r>
      <w:r w:rsidR="002D1255">
        <w:rPr>
          <w:rFonts w:ascii="Times New Roman" w:eastAsia="Times New Roman" w:hAnsi="Times New Roman" w:cs="Times New Roman"/>
          <w:color w:val="000000"/>
          <w:sz w:val="24"/>
          <w:szCs w:val="24"/>
          <w:lang w:eastAsia="pt-BR"/>
        </w:rPr>
        <w:t>);</w:t>
      </w:r>
      <w:r w:rsidR="002D1255" w:rsidRPr="003C3BDB">
        <w:rPr>
          <w:rFonts w:ascii="Times New Roman" w:eastAsia="Times New Roman" w:hAnsi="Times New Roman" w:cs="Times New Roman"/>
          <w:color w:val="000000"/>
          <w:sz w:val="24"/>
          <w:szCs w:val="24"/>
          <w:lang w:eastAsia="pt-BR"/>
        </w:rPr>
        <w:t xml:space="preserve"> e </w:t>
      </w:r>
      <w:r w:rsidR="006C55EB">
        <w:rPr>
          <w:rFonts w:ascii="Times New Roman" w:eastAsia="Times New Roman" w:hAnsi="Times New Roman" w:cs="Times New Roman"/>
          <w:color w:val="000000"/>
          <w:sz w:val="24"/>
          <w:szCs w:val="24"/>
          <w:lang w:eastAsia="pt-BR"/>
        </w:rPr>
        <w:t>(ix</w:t>
      </w:r>
      <w:r w:rsidR="00D60430">
        <w:rPr>
          <w:rFonts w:ascii="Times New Roman" w:eastAsia="Times New Roman" w:hAnsi="Times New Roman" w:cs="Times New Roman"/>
          <w:color w:val="000000"/>
          <w:sz w:val="24"/>
          <w:szCs w:val="24"/>
          <w:lang w:eastAsia="pt-BR"/>
        </w:rPr>
        <w:t xml:space="preserve">) </w:t>
      </w:r>
      <w:r w:rsidR="002D1255" w:rsidRPr="003C3BDB">
        <w:rPr>
          <w:rFonts w:ascii="Times New Roman" w:eastAsia="Times New Roman" w:hAnsi="Times New Roman" w:cs="Times New Roman"/>
          <w:color w:val="000000"/>
          <w:sz w:val="24"/>
          <w:szCs w:val="24"/>
          <w:lang w:eastAsia="pt-BR"/>
        </w:rPr>
        <w:t>coeficient</w:t>
      </w:r>
      <w:r w:rsidR="002D1255">
        <w:rPr>
          <w:rFonts w:ascii="Times New Roman" w:eastAsia="Times New Roman" w:hAnsi="Times New Roman" w:cs="Times New Roman"/>
          <w:color w:val="000000"/>
          <w:sz w:val="24"/>
          <w:szCs w:val="24"/>
          <w:lang w:eastAsia="pt-BR"/>
        </w:rPr>
        <w:t xml:space="preserve">e de penetração </w:t>
      </w:r>
      <w:r w:rsidR="006C55EB">
        <w:rPr>
          <w:rFonts w:ascii="Times New Roman" w:eastAsia="Times New Roman" w:hAnsi="Times New Roman" w:cs="Times New Roman"/>
          <w:color w:val="000000"/>
          <w:sz w:val="24"/>
          <w:szCs w:val="24"/>
          <w:lang w:eastAsia="pt-BR"/>
        </w:rPr>
        <w:t>das importações (CPM)</w:t>
      </w:r>
      <w:r w:rsidR="002D1255">
        <w:rPr>
          <w:rFonts w:ascii="Times New Roman" w:eastAsia="Times New Roman" w:hAnsi="Times New Roman" w:cs="Times New Roman"/>
          <w:color w:val="000000"/>
          <w:sz w:val="24"/>
          <w:szCs w:val="24"/>
          <w:lang w:eastAsia="pt-BR"/>
        </w:rPr>
        <w:t xml:space="preserve">. </w:t>
      </w:r>
      <w:r w:rsidR="00BC745A">
        <w:rPr>
          <w:rFonts w:ascii="Times New Roman" w:eastAsia="Times New Roman" w:hAnsi="Times New Roman" w:cs="Times New Roman"/>
          <w:color w:val="000000"/>
          <w:sz w:val="24"/>
          <w:szCs w:val="24"/>
          <w:lang w:eastAsia="pt-BR"/>
        </w:rPr>
        <w:t>Observou-se que</w:t>
      </w:r>
      <w:r w:rsidR="00D60430">
        <w:rPr>
          <w:rFonts w:ascii="Times New Roman" w:eastAsia="Times New Roman" w:hAnsi="Times New Roman" w:cs="Times New Roman"/>
          <w:color w:val="000000"/>
          <w:sz w:val="24"/>
          <w:szCs w:val="24"/>
          <w:lang w:eastAsia="pt-BR"/>
        </w:rPr>
        <w:t xml:space="preserve"> </w:t>
      </w:r>
      <w:r w:rsidR="00270AF1">
        <w:rPr>
          <w:rFonts w:ascii="Times New Roman" w:hAnsi="Times New Roman" w:cs="Times New Roman"/>
          <w:sz w:val="24"/>
          <w:szCs w:val="24"/>
        </w:rPr>
        <w:t xml:space="preserve">as exportações catarinenses foram constituídas </w:t>
      </w:r>
      <w:r w:rsidR="00726A66">
        <w:rPr>
          <w:rFonts w:ascii="Times New Roman" w:hAnsi="Times New Roman" w:cs="Times New Roman"/>
          <w:sz w:val="24"/>
          <w:szCs w:val="24"/>
        </w:rPr>
        <w:t xml:space="preserve">pelo </w:t>
      </w:r>
      <w:r w:rsidR="00270AF1">
        <w:rPr>
          <w:rFonts w:ascii="Times New Roman" w:eastAsia="Times New Roman" w:hAnsi="Times New Roman" w:cs="Times New Roman"/>
          <w:sz w:val="24"/>
          <w:szCs w:val="24"/>
        </w:rPr>
        <w:t>setor industrial de menor sofisticação tecnológica, em particular nos setores de média-baixa intensidade tecnológica</w:t>
      </w:r>
      <w:r w:rsidR="00726A66">
        <w:rPr>
          <w:rFonts w:ascii="Times New Roman" w:eastAsia="Times New Roman" w:hAnsi="Times New Roman" w:cs="Times New Roman"/>
          <w:sz w:val="24"/>
          <w:szCs w:val="24"/>
        </w:rPr>
        <w:t xml:space="preserve"> (</w:t>
      </w:r>
      <w:r w:rsidR="00270AF1">
        <w:rPr>
          <w:rFonts w:ascii="Times New Roman" w:eastAsia="Times New Roman" w:hAnsi="Times New Roman" w:cs="Times New Roman"/>
          <w:sz w:val="24"/>
          <w:szCs w:val="24"/>
        </w:rPr>
        <w:t>alimentos</w:t>
      </w:r>
      <w:r w:rsidR="00726A66">
        <w:rPr>
          <w:rFonts w:ascii="Times New Roman" w:eastAsia="Times New Roman" w:hAnsi="Times New Roman" w:cs="Times New Roman"/>
          <w:sz w:val="24"/>
          <w:szCs w:val="24"/>
        </w:rPr>
        <w:t xml:space="preserve"> e produtos da madeira). As </w:t>
      </w:r>
      <w:r w:rsidR="00270AF1">
        <w:rPr>
          <w:rFonts w:ascii="Times New Roman" w:eastAsia="Times New Roman" w:hAnsi="Times New Roman" w:cs="Times New Roman"/>
          <w:sz w:val="24"/>
          <w:szCs w:val="24"/>
        </w:rPr>
        <w:t xml:space="preserve">importações demandadas </w:t>
      </w:r>
      <w:r w:rsidR="00726A66">
        <w:rPr>
          <w:rFonts w:ascii="Times New Roman" w:eastAsia="Times New Roman" w:hAnsi="Times New Roman" w:cs="Times New Roman"/>
          <w:sz w:val="24"/>
          <w:szCs w:val="24"/>
        </w:rPr>
        <w:t xml:space="preserve">foram </w:t>
      </w:r>
      <w:r w:rsidR="00270AF1">
        <w:rPr>
          <w:rFonts w:ascii="Times New Roman" w:eastAsia="Times New Roman" w:hAnsi="Times New Roman" w:cs="Times New Roman"/>
          <w:sz w:val="24"/>
          <w:szCs w:val="24"/>
        </w:rPr>
        <w:t>caracterizadas por uma maior sofistica</w:t>
      </w:r>
      <w:r w:rsidR="00726A66">
        <w:rPr>
          <w:rFonts w:ascii="Times New Roman" w:eastAsia="Times New Roman" w:hAnsi="Times New Roman" w:cs="Times New Roman"/>
          <w:sz w:val="24"/>
          <w:szCs w:val="24"/>
        </w:rPr>
        <w:t xml:space="preserve">ção tecnológica, </w:t>
      </w:r>
      <w:r w:rsidR="00270AF1">
        <w:rPr>
          <w:rFonts w:ascii="Times New Roman" w:eastAsia="Times New Roman" w:hAnsi="Times New Roman" w:cs="Times New Roman"/>
          <w:sz w:val="24"/>
          <w:szCs w:val="24"/>
        </w:rPr>
        <w:t>nas categorias de média-alta e alta intensidade tecnológica</w:t>
      </w:r>
      <w:r w:rsidR="00726A66">
        <w:rPr>
          <w:rFonts w:ascii="Times New Roman" w:eastAsia="Times New Roman" w:hAnsi="Times New Roman" w:cs="Times New Roman"/>
          <w:sz w:val="24"/>
          <w:szCs w:val="24"/>
        </w:rPr>
        <w:t xml:space="preserve"> (</w:t>
      </w:r>
      <w:r w:rsidR="00270AF1">
        <w:rPr>
          <w:rFonts w:ascii="Times New Roman" w:eastAsia="Times New Roman" w:hAnsi="Times New Roman" w:cs="Times New Roman"/>
          <w:sz w:val="24"/>
          <w:szCs w:val="24"/>
        </w:rPr>
        <w:t>químicos, máqui</w:t>
      </w:r>
      <w:r w:rsidR="00726A66">
        <w:rPr>
          <w:rFonts w:ascii="Times New Roman" w:eastAsia="Times New Roman" w:hAnsi="Times New Roman" w:cs="Times New Roman"/>
          <w:sz w:val="24"/>
          <w:szCs w:val="24"/>
        </w:rPr>
        <w:t xml:space="preserve">nas e equipamentos, </w:t>
      </w:r>
      <w:r w:rsidR="00270AF1">
        <w:rPr>
          <w:rFonts w:ascii="Times New Roman" w:eastAsia="Times New Roman" w:hAnsi="Times New Roman" w:cs="Times New Roman"/>
          <w:sz w:val="24"/>
          <w:szCs w:val="24"/>
        </w:rPr>
        <w:t>informática e eletrônicos e equipamentos elétricos</w:t>
      </w:r>
      <w:r w:rsidR="00726A66">
        <w:rPr>
          <w:rFonts w:ascii="Times New Roman" w:eastAsia="Times New Roman" w:hAnsi="Times New Roman" w:cs="Times New Roman"/>
          <w:sz w:val="24"/>
          <w:szCs w:val="24"/>
        </w:rPr>
        <w:t xml:space="preserve">). Registrou-se, nesse período, </w:t>
      </w:r>
      <w:r w:rsidR="00270AF1">
        <w:rPr>
          <w:rFonts w:ascii="Times New Roman" w:eastAsia="Times New Roman" w:hAnsi="Times New Roman" w:cs="Times New Roman"/>
          <w:sz w:val="24"/>
          <w:szCs w:val="24"/>
        </w:rPr>
        <w:t>significativa deterioração das contas externas catarinenses</w:t>
      </w:r>
      <w:r w:rsidR="00726A66">
        <w:rPr>
          <w:rFonts w:ascii="Times New Roman" w:eastAsia="Times New Roman" w:hAnsi="Times New Roman" w:cs="Times New Roman"/>
          <w:sz w:val="24"/>
          <w:szCs w:val="24"/>
        </w:rPr>
        <w:t xml:space="preserve">. </w:t>
      </w:r>
      <w:r w:rsidR="00270AF1">
        <w:rPr>
          <w:rFonts w:ascii="Times New Roman" w:eastAsia="Times New Roman" w:hAnsi="Times New Roman" w:cs="Times New Roman"/>
          <w:sz w:val="24"/>
          <w:szCs w:val="24"/>
        </w:rPr>
        <w:t>As categorias de intensidade tecnológica que apresent</w:t>
      </w:r>
      <w:r w:rsidR="00726A66">
        <w:rPr>
          <w:rFonts w:ascii="Times New Roman" w:eastAsia="Times New Roman" w:hAnsi="Times New Roman" w:cs="Times New Roman"/>
          <w:sz w:val="24"/>
          <w:szCs w:val="24"/>
        </w:rPr>
        <w:t>ar</w:t>
      </w:r>
      <w:r w:rsidR="00270AF1">
        <w:rPr>
          <w:rFonts w:ascii="Times New Roman" w:eastAsia="Times New Roman" w:hAnsi="Times New Roman" w:cs="Times New Roman"/>
          <w:sz w:val="24"/>
          <w:szCs w:val="24"/>
        </w:rPr>
        <w:t xml:space="preserve">am os maiores déficits </w:t>
      </w:r>
      <w:r w:rsidR="00726A66">
        <w:rPr>
          <w:rFonts w:ascii="Times New Roman" w:eastAsia="Times New Roman" w:hAnsi="Times New Roman" w:cs="Times New Roman"/>
          <w:sz w:val="24"/>
          <w:szCs w:val="24"/>
        </w:rPr>
        <w:t>foram a</w:t>
      </w:r>
      <w:r w:rsidR="00270AF1">
        <w:rPr>
          <w:rFonts w:ascii="Times New Roman" w:eastAsia="Times New Roman" w:hAnsi="Times New Roman" w:cs="Times New Roman"/>
          <w:sz w:val="24"/>
          <w:szCs w:val="24"/>
        </w:rPr>
        <w:t xml:space="preserve">s de maior conteúdo tecnológico </w:t>
      </w:r>
      <w:r w:rsidR="00D03B7F">
        <w:rPr>
          <w:rFonts w:ascii="Times New Roman" w:eastAsia="Times New Roman" w:hAnsi="Times New Roman" w:cs="Times New Roman"/>
          <w:sz w:val="24"/>
          <w:szCs w:val="24"/>
        </w:rPr>
        <w:t>– média, média-alta e alta. A</w:t>
      </w:r>
      <w:r w:rsidR="00270AF1">
        <w:rPr>
          <w:rFonts w:ascii="Times New Roman" w:eastAsia="Times New Roman" w:hAnsi="Times New Roman" w:cs="Times New Roman"/>
          <w:sz w:val="24"/>
          <w:szCs w:val="24"/>
        </w:rPr>
        <w:t xml:space="preserve"> única que apresentou superávit foi o de menor conteúdo tecnológico – média-baixa. Os déficits crescentes apontados evidencia</w:t>
      </w:r>
      <w:r w:rsidR="00726A66">
        <w:rPr>
          <w:rFonts w:ascii="Times New Roman" w:eastAsia="Times New Roman" w:hAnsi="Times New Roman" w:cs="Times New Roman"/>
          <w:sz w:val="24"/>
          <w:szCs w:val="24"/>
        </w:rPr>
        <w:t>ra</w:t>
      </w:r>
      <w:r w:rsidR="00270AF1">
        <w:rPr>
          <w:rFonts w:ascii="Times New Roman" w:eastAsia="Times New Roman" w:hAnsi="Times New Roman" w:cs="Times New Roman"/>
          <w:sz w:val="24"/>
          <w:szCs w:val="24"/>
        </w:rPr>
        <w:t>m a dependência de produtos de maior conteúdo tecnológico produzidos no exterior</w:t>
      </w:r>
      <w:r w:rsidR="00726A66">
        <w:rPr>
          <w:rFonts w:ascii="Times New Roman" w:eastAsia="Times New Roman" w:hAnsi="Times New Roman" w:cs="Times New Roman"/>
          <w:sz w:val="24"/>
          <w:szCs w:val="24"/>
        </w:rPr>
        <w:t xml:space="preserve">. Tal fato </w:t>
      </w:r>
      <w:r w:rsidR="00270AF1">
        <w:rPr>
          <w:rFonts w:ascii="Times New Roman" w:eastAsia="Times New Roman" w:hAnsi="Times New Roman" w:cs="Times New Roman"/>
          <w:sz w:val="24"/>
          <w:szCs w:val="24"/>
        </w:rPr>
        <w:t xml:space="preserve">aponta pela existência de restrição externa ao crescimento, </w:t>
      </w:r>
      <w:r w:rsidR="00726A66">
        <w:rPr>
          <w:rFonts w:ascii="Times New Roman" w:eastAsia="Times New Roman" w:hAnsi="Times New Roman" w:cs="Times New Roman"/>
          <w:sz w:val="24"/>
          <w:szCs w:val="24"/>
        </w:rPr>
        <w:t xml:space="preserve">diante do requerimento de </w:t>
      </w:r>
      <w:r w:rsidR="00270AF1">
        <w:rPr>
          <w:rFonts w:ascii="Times New Roman" w:eastAsia="Times New Roman" w:hAnsi="Times New Roman" w:cs="Times New Roman"/>
          <w:sz w:val="24"/>
          <w:szCs w:val="24"/>
        </w:rPr>
        <w:t>gerar divisas interna</w:t>
      </w:r>
      <w:r w:rsidR="00726A66">
        <w:rPr>
          <w:rFonts w:ascii="Times New Roman" w:eastAsia="Times New Roman" w:hAnsi="Times New Roman" w:cs="Times New Roman"/>
          <w:sz w:val="24"/>
          <w:szCs w:val="24"/>
        </w:rPr>
        <w:t xml:space="preserve">cionais para possibilitar </w:t>
      </w:r>
      <w:r w:rsidR="00270AF1">
        <w:rPr>
          <w:rFonts w:ascii="Times New Roman" w:eastAsia="Times New Roman" w:hAnsi="Times New Roman" w:cs="Times New Roman"/>
          <w:sz w:val="24"/>
          <w:szCs w:val="24"/>
        </w:rPr>
        <w:t>importações necessárias.</w:t>
      </w:r>
    </w:p>
    <w:p w14:paraId="1E7C9AAF" w14:textId="144B192E" w:rsidR="00D03B7F" w:rsidRPr="00D17BB3" w:rsidRDefault="00D03B7F" w:rsidP="005E6360">
      <w:pPr>
        <w:spacing w:after="0" w:line="480" w:lineRule="auto"/>
        <w:jc w:val="both"/>
        <w:rPr>
          <w:rFonts w:ascii="Times New Roman" w:hAnsi="Times New Roman" w:cs="Times New Roman"/>
          <w:sz w:val="24"/>
          <w:szCs w:val="24"/>
        </w:rPr>
      </w:pPr>
    </w:p>
    <w:p w14:paraId="58F3E334" w14:textId="474B2EF7" w:rsidR="008B3F40" w:rsidRPr="00765274" w:rsidRDefault="00765274" w:rsidP="005E6360">
      <w:pPr>
        <w:spacing w:after="0" w:line="480" w:lineRule="auto"/>
        <w:jc w:val="both"/>
        <w:rPr>
          <w:rFonts w:ascii="Times New Roman" w:hAnsi="Times New Roman" w:cs="Times New Roman"/>
          <w:sz w:val="24"/>
          <w:szCs w:val="24"/>
        </w:rPr>
      </w:pPr>
      <w:r w:rsidRPr="00BC745A">
        <w:rPr>
          <w:rFonts w:ascii="Times New Roman" w:hAnsi="Times New Roman" w:cs="Times New Roman"/>
          <w:b/>
          <w:sz w:val="24"/>
          <w:szCs w:val="24"/>
        </w:rPr>
        <w:t>Palavras-chave:</w:t>
      </w:r>
      <w:r w:rsidR="001D55D3">
        <w:rPr>
          <w:rFonts w:ascii="Times New Roman" w:hAnsi="Times New Roman" w:cs="Times New Roman"/>
          <w:sz w:val="24"/>
          <w:szCs w:val="24"/>
        </w:rPr>
        <w:t xml:space="preserve"> comércio exterior; intensidade tecnológica; indústria;</w:t>
      </w:r>
      <w:r w:rsidR="00726A66">
        <w:rPr>
          <w:rFonts w:ascii="Times New Roman" w:hAnsi="Times New Roman" w:cs="Times New Roman"/>
          <w:sz w:val="24"/>
          <w:szCs w:val="24"/>
        </w:rPr>
        <w:t xml:space="preserve"> Santa Catarina</w:t>
      </w:r>
    </w:p>
    <w:p w14:paraId="3E94813D" w14:textId="3716FD7C" w:rsidR="005E6360" w:rsidRDefault="00765274" w:rsidP="005E6360">
      <w:pPr>
        <w:spacing w:after="0" w:line="480" w:lineRule="auto"/>
        <w:jc w:val="center"/>
        <w:rPr>
          <w:rFonts w:ascii="Times New Roman" w:hAnsi="Times New Roman" w:cs="Times New Roman"/>
          <w:b/>
        </w:rPr>
      </w:pPr>
      <w:r w:rsidRPr="001B58C7">
        <w:rPr>
          <w:rFonts w:ascii="Times New Roman" w:hAnsi="Times New Roman" w:cs="Times New Roman"/>
          <w:b/>
        </w:rPr>
        <w:lastRenderedPageBreak/>
        <w:t>Abstract</w:t>
      </w:r>
    </w:p>
    <w:p w14:paraId="080751D2" w14:textId="77777777" w:rsidR="005E6360" w:rsidRDefault="005E6360" w:rsidP="005E6360">
      <w:pPr>
        <w:spacing w:after="0" w:line="480" w:lineRule="auto"/>
        <w:jc w:val="center"/>
        <w:rPr>
          <w:rFonts w:ascii="Times New Roman" w:hAnsi="Times New Roman" w:cs="Times New Roman"/>
          <w:b/>
        </w:rPr>
      </w:pPr>
    </w:p>
    <w:p w14:paraId="1DC90052" w14:textId="719BDC9E" w:rsidR="008B3F40" w:rsidRPr="001B58C7" w:rsidRDefault="006847FD" w:rsidP="005E6360">
      <w:pPr>
        <w:spacing w:after="0" w:line="360" w:lineRule="auto"/>
        <w:jc w:val="both"/>
        <w:rPr>
          <w:rFonts w:ascii="Times New Roman" w:hAnsi="Times New Roman" w:cs="Times New Roman"/>
        </w:rPr>
      </w:pPr>
      <w:r w:rsidRPr="001B58C7">
        <w:rPr>
          <w:rFonts w:ascii="Times New Roman" w:hAnsi="Times New Roman" w:cs="Times New Roman"/>
        </w:rPr>
        <w:t>The main</w:t>
      </w:r>
      <w:r w:rsidR="006C55EB" w:rsidRPr="001B58C7">
        <w:rPr>
          <w:rFonts w:ascii="Times New Roman" w:hAnsi="Times New Roman" w:cs="Times New Roman"/>
        </w:rPr>
        <w:t xml:space="preserve"> of this study was to analyze foreign trade by technological intensity in Santa Catarina from 2000 to 2020, with the aim of contributing to the debate about the regional dimension of competitiveness and highlighting the importance of industry in the state economy. The focus of the analysis was on (i) exports and (ii) imports from Santa Catarina by technological intensity, aiming to demonstrate the level of added value of products manufactured for the foreign market, as well as those purchased outside the country. In addition, it considered (iii) gross domestic product (GDP); (iv) gross production value (VBPI); (v) value of industrial transformation (VTI); (vi) number of establishments; (vii) employment; (viii) productive density (VTI/VBPI); and (ix) import penetration coefficient (CPM). It was observed that exports from Santa Catarina were constituted by the industrial sector of less technological sophistication, particularly in sectors of medium-low technological intensity (food and wood products). Demanded imports were characterized by greater technological sophistication, in the medium-high and high technological intensity categories (chemicals, machinery and equipment, information technology and electronics and electrical equipment). During this period, there was a significant deterioration in the external accounts of Santa Catarina. The categories of technological intensity that presented the greatest deficits were those with the greatest technological content – medium, medium-high and high. The only one that showed a surplus was the one with the lowest technological content – medium-low. The growing deficits pointed out evidenced the dependence on products with greater technological content produced abroad. This fact points to the existence of an external restriction on growth, given the requirement to generate international currency to enable necessary imports.</w:t>
      </w:r>
    </w:p>
    <w:p w14:paraId="140FA7A4" w14:textId="77777777" w:rsidR="001B58C7" w:rsidRPr="001B58C7" w:rsidRDefault="001B58C7" w:rsidP="001B58C7">
      <w:pPr>
        <w:spacing w:after="0" w:line="240" w:lineRule="auto"/>
        <w:jc w:val="both"/>
        <w:rPr>
          <w:rFonts w:ascii="Times New Roman" w:hAnsi="Times New Roman" w:cs="Times New Roman"/>
        </w:rPr>
      </w:pPr>
    </w:p>
    <w:p w14:paraId="4F865940" w14:textId="6F58B2F5" w:rsidR="00765274" w:rsidRPr="00765274" w:rsidRDefault="00765274" w:rsidP="006C55EB">
      <w:pPr>
        <w:rPr>
          <w:rFonts w:ascii="Times New Roman" w:hAnsi="Times New Roman" w:cs="Times New Roman"/>
          <w:sz w:val="24"/>
          <w:szCs w:val="24"/>
        </w:rPr>
      </w:pPr>
      <w:r w:rsidRPr="001B58C7">
        <w:rPr>
          <w:rFonts w:ascii="Times New Roman" w:hAnsi="Times New Roman" w:cs="Times New Roman"/>
          <w:b/>
        </w:rPr>
        <w:t>Key-words:</w:t>
      </w:r>
      <w:r w:rsidR="0080780C">
        <w:rPr>
          <w:rFonts w:ascii="Times New Roman" w:hAnsi="Times New Roman" w:cs="Times New Roman"/>
        </w:rPr>
        <w:t xml:space="preserve"> foreign trade; technological intensity; industry;</w:t>
      </w:r>
      <w:bookmarkStart w:id="0" w:name="_GoBack"/>
      <w:bookmarkEnd w:id="0"/>
      <w:r w:rsidR="00D03B7F" w:rsidRPr="001B58C7">
        <w:rPr>
          <w:rFonts w:ascii="Times New Roman" w:hAnsi="Times New Roman" w:cs="Times New Roman"/>
        </w:rPr>
        <w:t xml:space="preserve"> Santa Catarina</w:t>
      </w:r>
      <w:r w:rsidR="008B3F40" w:rsidRPr="001B58C7">
        <w:rPr>
          <w:rFonts w:ascii="Times New Roman" w:hAnsi="Times New Roman" w:cs="Times New Roman"/>
        </w:rPr>
        <w:t>.</w:t>
      </w:r>
      <w:r w:rsidRPr="00765274">
        <w:rPr>
          <w:rFonts w:ascii="Times New Roman" w:hAnsi="Times New Roman" w:cs="Times New Roman"/>
          <w:sz w:val="24"/>
          <w:szCs w:val="24"/>
        </w:rPr>
        <w:br w:type="page"/>
      </w:r>
    </w:p>
    <w:p w14:paraId="5770CAA3" w14:textId="3B1D4E2D" w:rsidR="003C3BDB" w:rsidRPr="003C3BDB" w:rsidRDefault="00765274" w:rsidP="00781769">
      <w:pPr>
        <w:pStyle w:val="PargrafodaLista"/>
        <w:numPr>
          <w:ilvl w:val="0"/>
          <w:numId w:val="1"/>
        </w:numPr>
        <w:spacing w:after="0" w:line="480" w:lineRule="auto"/>
        <w:ind w:left="0" w:firstLine="0"/>
        <w:rPr>
          <w:rFonts w:ascii="Times New Roman" w:hAnsi="Times New Roman" w:cs="Times New Roman"/>
          <w:b/>
          <w:bCs/>
          <w:sz w:val="24"/>
          <w:szCs w:val="24"/>
        </w:rPr>
      </w:pPr>
      <w:r w:rsidRPr="00B95A0A">
        <w:rPr>
          <w:rFonts w:ascii="Times New Roman" w:hAnsi="Times New Roman" w:cs="Times New Roman"/>
          <w:b/>
          <w:bCs/>
          <w:sz w:val="24"/>
          <w:szCs w:val="24"/>
        </w:rPr>
        <w:lastRenderedPageBreak/>
        <w:t>Introdução</w:t>
      </w:r>
    </w:p>
    <w:p w14:paraId="0D1D930D" w14:textId="77777777" w:rsidR="00781769" w:rsidRDefault="00781769" w:rsidP="00781769">
      <w:pPr>
        <w:spacing w:after="0" w:line="360" w:lineRule="auto"/>
        <w:ind w:firstLine="700"/>
        <w:jc w:val="both"/>
        <w:rPr>
          <w:rFonts w:ascii="Times New Roman" w:eastAsia="Times New Roman" w:hAnsi="Times New Roman" w:cs="Times New Roman"/>
          <w:color w:val="000000"/>
          <w:sz w:val="24"/>
          <w:szCs w:val="24"/>
          <w:lang w:eastAsia="pt-BR"/>
        </w:rPr>
      </w:pPr>
    </w:p>
    <w:p w14:paraId="301CA407" w14:textId="37CB4B89" w:rsidR="009905DB" w:rsidRDefault="003C3BDB" w:rsidP="00781769">
      <w:pPr>
        <w:spacing w:after="0" w:line="360" w:lineRule="auto"/>
        <w:ind w:firstLine="700"/>
        <w:jc w:val="both"/>
        <w:rPr>
          <w:rFonts w:ascii="Times New Roman" w:eastAsia="Times New Roman" w:hAnsi="Times New Roman" w:cs="Times New Roman"/>
          <w:sz w:val="24"/>
          <w:szCs w:val="24"/>
          <w:lang w:eastAsia="pt-BR"/>
        </w:rPr>
      </w:pPr>
      <w:r w:rsidRPr="003C3BDB">
        <w:rPr>
          <w:rFonts w:ascii="Times New Roman" w:eastAsia="Times New Roman" w:hAnsi="Times New Roman" w:cs="Times New Roman"/>
          <w:color w:val="000000"/>
          <w:sz w:val="24"/>
          <w:szCs w:val="24"/>
          <w:lang w:eastAsia="pt-BR"/>
        </w:rPr>
        <w:t>Exte</w:t>
      </w:r>
      <w:r w:rsidR="00FC56FF">
        <w:rPr>
          <w:rFonts w:ascii="Times New Roman" w:eastAsia="Times New Roman" w:hAnsi="Times New Roman" w:cs="Times New Roman"/>
          <w:color w:val="000000"/>
          <w:sz w:val="24"/>
          <w:szCs w:val="24"/>
          <w:lang w:eastAsia="pt-BR"/>
        </w:rPr>
        <w:t>nsa literatura mostra que a indú</w:t>
      </w:r>
      <w:r w:rsidRPr="003C3BDB">
        <w:rPr>
          <w:rFonts w:ascii="Times New Roman" w:eastAsia="Times New Roman" w:hAnsi="Times New Roman" w:cs="Times New Roman"/>
          <w:color w:val="000000"/>
          <w:sz w:val="24"/>
          <w:szCs w:val="24"/>
          <w:lang w:eastAsia="pt-BR"/>
        </w:rPr>
        <w:t>stria é capaz de acelerar o processo de desenvolvimento econômico. A indústria, por meio de seus retornos crescentes de escala, afeta positivamente a taxa de produtividade da economia e promove uma série de transformações estruturais capaz de superar a c</w:t>
      </w:r>
      <w:r w:rsidR="00FC56FF">
        <w:rPr>
          <w:rFonts w:ascii="Times New Roman" w:eastAsia="Times New Roman" w:hAnsi="Times New Roman" w:cs="Times New Roman"/>
          <w:color w:val="000000"/>
          <w:sz w:val="24"/>
          <w:szCs w:val="24"/>
          <w:lang w:eastAsia="pt-BR"/>
        </w:rPr>
        <w:t>ondição do subdesenvolvimento (</w:t>
      </w:r>
      <w:r w:rsidR="0039508E">
        <w:rPr>
          <w:rFonts w:ascii="Times New Roman" w:eastAsia="Times New Roman" w:hAnsi="Times New Roman" w:cs="Times New Roman"/>
          <w:color w:val="000000"/>
          <w:sz w:val="24"/>
          <w:szCs w:val="24"/>
          <w:lang w:eastAsia="pt-BR"/>
        </w:rPr>
        <w:t xml:space="preserve">THIRWALL, </w:t>
      </w:r>
      <w:r w:rsidRPr="003C3BDB">
        <w:rPr>
          <w:rFonts w:ascii="Times New Roman" w:eastAsia="Times New Roman" w:hAnsi="Times New Roman" w:cs="Times New Roman"/>
          <w:color w:val="000000"/>
          <w:sz w:val="24"/>
          <w:szCs w:val="24"/>
          <w:lang w:eastAsia="pt-BR"/>
        </w:rPr>
        <w:t>2002; F</w:t>
      </w:r>
      <w:r w:rsidR="0039508E">
        <w:rPr>
          <w:rFonts w:ascii="Times New Roman" w:eastAsia="Times New Roman" w:hAnsi="Times New Roman" w:cs="Times New Roman"/>
          <w:color w:val="000000"/>
          <w:sz w:val="24"/>
          <w:szCs w:val="24"/>
          <w:lang w:eastAsia="pt-BR"/>
        </w:rPr>
        <w:t xml:space="preserve">URTADO, </w:t>
      </w:r>
      <w:r w:rsidRPr="003C3BDB">
        <w:rPr>
          <w:rFonts w:ascii="Times New Roman" w:eastAsia="Times New Roman" w:hAnsi="Times New Roman" w:cs="Times New Roman"/>
          <w:color w:val="000000"/>
          <w:sz w:val="24"/>
          <w:szCs w:val="24"/>
          <w:lang w:eastAsia="pt-BR"/>
        </w:rPr>
        <w:t>1961).</w:t>
      </w:r>
    </w:p>
    <w:p w14:paraId="6D53A879" w14:textId="52662CEE" w:rsidR="003C3BDB" w:rsidRPr="003C3BDB" w:rsidRDefault="003C3BDB" w:rsidP="00781769">
      <w:pPr>
        <w:spacing w:after="0" w:line="360" w:lineRule="auto"/>
        <w:ind w:firstLine="700"/>
        <w:jc w:val="both"/>
        <w:rPr>
          <w:rFonts w:ascii="Times New Roman" w:eastAsia="Times New Roman" w:hAnsi="Times New Roman" w:cs="Times New Roman"/>
          <w:sz w:val="24"/>
          <w:szCs w:val="24"/>
          <w:lang w:eastAsia="pt-BR"/>
        </w:rPr>
      </w:pPr>
      <w:r w:rsidRPr="003C3BDB">
        <w:rPr>
          <w:rFonts w:ascii="Times New Roman" w:eastAsia="Times New Roman" w:hAnsi="Times New Roman" w:cs="Times New Roman"/>
          <w:color w:val="000000"/>
          <w:sz w:val="24"/>
          <w:szCs w:val="24"/>
          <w:lang w:eastAsia="pt-BR"/>
        </w:rPr>
        <w:t>Kaldor (1966) sintetizou o papel central d</w:t>
      </w:r>
      <w:r w:rsidR="0090236B">
        <w:rPr>
          <w:rFonts w:ascii="Times New Roman" w:eastAsia="Times New Roman" w:hAnsi="Times New Roman" w:cs="Times New Roman"/>
          <w:color w:val="000000"/>
          <w:sz w:val="24"/>
          <w:szCs w:val="24"/>
          <w:lang w:eastAsia="pt-BR"/>
        </w:rPr>
        <w:t>a indústria no crescimento econô</w:t>
      </w:r>
      <w:r w:rsidRPr="003C3BDB">
        <w:rPr>
          <w:rFonts w:ascii="Times New Roman" w:eastAsia="Times New Roman" w:hAnsi="Times New Roman" w:cs="Times New Roman"/>
          <w:color w:val="000000"/>
          <w:sz w:val="24"/>
          <w:szCs w:val="24"/>
          <w:lang w:eastAsia="pt-BR"/>
        </w:rPr>
        <w:t xml:space="preserve">mico por meio de leis, as chamadas leis de Kaldor, amplamente testadas empiricamente e base para o desenvolvimento de propostas de política industrial. Da mesma forma, o estruturalismo latino americano também propugna a industrialização como forma de acelerar os ganhos do progresso </w:t>
      </w:r>
      <w:r w:rsidR="0090236B">
        <w:rPr>
          <w:rFonts w:ascii="Times New Roman" w:eastAsia="Times New Roman" w:hAnsi="Times New Roman" w:cs="Times New Roman"/>
          <w:color w:val="000000"/>
          <w:sz w:val="24"/>
          <w:szCs w:val="24"/>
          <w:lang w:eastAsia="pt-BR"/>
        </w:rPr>
        <w:t>técnico e de ampliação dos padrõ</w:t>
      </w:r>
      <w:r w:rsidRPr="003C3BDB">
        <w:rPr>
          <w:rFonts w:ascii="Times New Roman" w:eastAsia="Times New Roman" w:hAnsi="Times New Roman" w:cs="Times New Roman"/>
          <w:color w:val="000000"/>
          <w:sz w:val="24"/>
          <w:szCs w:val="24"/>
          <w:lang w:eastAsia="pt-BR"/>
        </w:rPr>
        <w:t>es de vida de amplas parcela</w:t>
      </w:r>
      <w:r w:rsidR="0090236B">
        <w:rPr>
          <w:rFonts w:ascii="Times New Roman" w:eastAsia="Times New Roman" w:hAnsi="Times New Roman" w:cs="Times New Roman"/>
          <w:color w:val="000000"/>
          <w:sz w:val="24"/>
          <w:szCs w:val="24"/>
          <w:lang w:eastAsia="pt-BR"/>
        </w:rPr>
        <w:t>s</w:t>
      </w:r>
      <w:r w:rsidRPr="003C3BDB">
        <w:rPr>
          <w:rFonts w:ascii="Times New Roman" w:eastAsia="Times New Roman" w:hAnsi="Times New Roman" w:cs="Times New Roman"/>
          <w:color w:val="000000"/>
          <w:sz w:val="24"/>
          <w:szCs w:val="24"/>
          <w:lang w:eastAsia="pt-BR"/>
        </w:rPr>
        <w:t xml:space="preserve"> da p</w:t>
      </w:r>
      <w:r w:rsidR="00FC56FF">
        <w:rPr>
          <w:rFonts w:ascii="Times New Roman" w:eastAsia="Times New Roman" w:hAnsi="Times New Roman" w:cs="Times New Roman"/>
          <w:color w:val="000000"/>
          <w:sz w:val="24"/>
          <w:szCs w:val="24"/>
          <w:lang w:eastAsia="pt-BR"/>
        </w:rPr>
        <w:t>opulação (</w:t>
      </w:r>
      <w:r w:rsidR="0039508E">
        <w:rPr>
          <w:rFonts w:ascii="Times New Roman" w:eastAsia="Times New Roman" w:hAnsi="Times New Roman" w:cs="Times New Roman"/>
          <w:color w:val="000000"/>
          <w:sz w:val="24"/>
          <w:szCs w:val="24"/>
          <w:lang w:eastAsia="pt-BR"/>
        </w:rPr>
        <w:t xml:space="preserve">PREBISCH; CABÃNAS, </w:t>
      </w:r>
      <w:r w:rsidR="00FC56FF">
        <w:rPr>
          <w:rFonts w:ascii="Times New Roman" w:eastAsia="Times New Roman" w:hAnsi="Times New Roman" w:cs="Times New Roman"/>
          <w:color w:val="000000"/>
          <w:sz w:val="24"/>
          <w:szCs w:val="24"/>
          <w:lang w:eastAsia="pt-BR"/>
        </w:rPr>
        <w:t>1949</w:t>
      </w:r>
      <w:r w:rsidRPr="003C3BDB">
        <w:rPr>
          <w:rFonts w:ascii="Times New Roman" w:eastAsia="Times New Roman" w:hAnsi="Times New Roman" w:cs="Times New Roman"/>
          <w:color w:val="000000"/>
          <w:sz w:val="24"/>
          <w:szCs w:val="24"/>
          <w:lang w:eastAsia="pt-BR"/>
        </w:rPr>
        <w:t>).</w:t>
      </w:r>
    </w:p>
    <w:p w14:paraId="3D731C5F" w14:textId="22099F07" w:rsidR="003C3BDB" w:rsidRPr="009E7B6D" w:rsidRDefault="003C3BDB" w:rsidP="00781769">
      <w:pPr>
        <w:spacing w:after="0" w:line="360" w:lineRule="auto"/>
        <w:ind w:firstLine="709"/>
        <w:jc w:val="both"/>
        <w:rPr>
          <w:rFonts w:ascii="Times New Roman" w:eastAsia="Times New Roman" w:hAnsi="Times New Roman" w:cs="Times New Roman"/>
          <w:sz w:val="24"/>
          <w:szCs w:val="24"/>
          <w:lang w:eastAsia="pt-BR"/>
        </w:rPr>
      </w:pPr>
      <w:r w:rsidRPr="003C3BDB">
        <w:rPr>
          <w:rFonts w:ascii="Times New Roman" w:eastAsia="Times New Roman" w:hAnsi="Times New Roman" w:cs="Times New Roman"/>
          <w:color w:val="000000"/>
          <w:sz w:val="24"/>
          <w:szCs w:val="24"/>
          <w:lang w:eastAsia="pt-BR"/>
        </w:rPr>
        <w:t>Contudo, a partir da década de 1970 as eco</w:t>
      </w:r>
      <w:r w:rsidR="0090236B">
        <w:rPr>
          <w:rFonts w:ascii="Times New Roman" w:eastAsia="Times New Roman" w:hAnsi="Times New Roman" w:cs="Times New Roman"/>
          <w:color w:val="000000"/>
          <w:sz w:val="24"/>
          <w:szCs w:val="24"/>
          <w:lang w:eastAsia="pt-BR"/>
        </w:rPr>
        <w:t>nomias desenvolvidas entram em </w:t>
      </w:r>
      <w:r w:rsidRPr="003C3BDB">
        <w:rPr>
          <w:rFonts w:ascii="Times New Roman" w:eastAsia="Times New Roman" w:hAnsi="Times New Roman" w:cs="Times New Roman"/>
          <w:color w:val="000000"/>
          <w:sz w:val="24"/>
          <w:szCs w:val="24"/>
          <w:lang w:eastAsia="pt-BR"/>
        </w:rPr>
        <w:t>processo de desindustrialização. Estudos realizados por Rowthorn e Ramaswany (1</w:t>
      </w:r>
      <w:r w:rsidR="00F82CC5">
        <w:rPr>
          <w:rFonts w:ascii="Times New Roman" w:eastAsia="Times New Roman" w:hAnsi="Times New Roman" w:cs="Times New Roman"/>
          <w:color w:val="000000"/>
          <w:sz w:val="24"/>
          <w:szCs w:val="24"/>
          <w:lang w:eastAsia="pt-BR"/>
        </w:rPr>
        <w:t>997); Rowthorn e Ramaswany (1999); Rowthorn e Coutts (2004</w:t>
      </w:r>
      <w:r w:rsidRPr="003C3BDB">
        <w:rPr>
          <w:rFonts w:ascii="Times New Roman" w:eastAsia="Times New Roman" w:hAnsi="Times New Roman" w:cs="Times New Roman"/>
          <w:color w:val="000000"/>
          <w:sz w:val="24"/>
          <w:szCs w:val="24"/>
          <w:lang w:eastAsia="pt-BR"/>
        </w:rPr>
        <w:t>); Palma (2005</w:t>
      </w:r>
      <w:r w:rsidR="00F82CC5">
        <w:rPr>
          <w:rFonts w:ascii="Times New Roman" w:eastAsia="Times New Roman" w:hAnsi="Times New Roman" w:cs="Times New Roman"/>
          <w:color w:val="000000"/>
          <w:sz w:val="24"/>
          <w:szCs w:val="24"/>
          <w:lang w:eastAsia="pt-BR"/>
        </w:rPr>
        <w:t>; 2019</w:t>
      </w:r>
      <w:r w:rsidRPr="003C3BDB">
        <w:rPr>
          <w:rFonts w:ascii="Times New Roman" w:eastAsia="Times New Roman" w:hAnsi="Times New Roman" w:cs="Times New Roman"/>
          <w:color w:val="000000"/>
          <w:sz w:val="24"/>
          <w:szCs w:val="24"/>
          <w:lang w:eastAsia="pt-BR"/>
        </w:rPr>
        <w:t xml:space="preserve">) e Tregenna (2009) identificaram, e apontaram esse processo como resultado do aumento da produtividade da indústria, cuja consequência foi a perda de participação desta no </w:t>
      </w:r>
      <w:r w:rsidR="0039508E">
        <w:rPr>
          <w:rFonts w:ascii="Times New Roman" w:eastAsia="Times New Roman" w:hAnsi="Times New Roman" w:cs="Times New Roman"/>
          <w:color w:val="000000"/>
          <w:sz w:val="24"/>
          <w:szCs w:val="24"/>
          <w:lang w:eastAsia="pt-BR"/>
        </w:rPr>
        <w:t>Produto Interno Bruto (</w:t>
      </w:r>
      <w:r w:rsidRPr="003C3BDB">
        <w:rPr>
          <w:rFonts w:ascii="Times New Roman" w:eastAsia="Times New Roman" w:hAnsi="Times New Roman" w:cs="Times New Roman"/>
          <w:color w:val="000000"/>
          <w:sz w:val="24"/>
          <w:szCs w:val="24"/>
          <w:lang w:eastAsia="pt-BR"/>
        </w:rPr>
        <w:t>PIB</w:t>
      </w:r>
      <w:r w:rsidR="0039508E">
        <w:rPr>
          <w:rFonts w:ascii="Times New Roman" w:eastAsia="Times New Roman" w:hAnsi="Times New Roman" w:cs="Times New Roman"/>
          <w:color w:val="000000"/>
          <w:sz w:val="24"/>
          <w:szCs w:val="24"/>
          <w:lang w:eastAsia="pt-BR"/>
        </w:rPr>
        <w:t>)</w:t>
      </w:r>
      <w:r w:rsidRPr="003C3BDB">
        <w:rPr>
          <w:rFonts w:ascii="Times New Roman" w:eastAsia="Times New Roman" w:hAnsi="Times New Roman" w:cs="Times New Roman"/>
          <w:color w:val="000000"/>
          <w:sz w:val="24"/>
          <w:szCs w:val="24"/>
          <w:lang w:eastAsia="pt-BR"/>
        </w:rPr>
        <w:t xml:space="preserve">, e no emprego total dos países </w:t>
      </w:r>
      <w:r w:rsidRPr="009E7B6D">
        <w:rPr>
          <w:rFonts w:ascii="Times New Roman" w:eastAsia="Times New Roman" w:hAnsi="Times New Roman" w:cs="Times New Roman"/>
          <w:sz w:val="24"/>
          <w:szCs w:val="24"/>
          <w:lang w:eastAsia="pt-BR"/>
        </w:rPr>
        <w:t>avançados.</w:t>
      </w:r>
      <w:r w:rsidR="0039508E" w:rsidRPr="009E7B6D">
        <w:rPr>
          <w:rFonts w:ascii="Times New Roman" w:eastAsia="Times New Roman" w:hAnsi="Times New Roman" w:cs="Times New Roman"/>
          <w:sz w:val="24"/>
          <w:szCs w:val="24"/>
          <w:lang w:eastAsia="pt-BR"/>
        </w:rPr>
        <w:t xml:space="preserve"> Esse processo ocorre em economia consolidadas em termos de nível de renda, produtividade, nível tecnológico e dimensão mercado</w:t>
      </w:r>
      <w:r w:rsidR="0050311A" w:rsidRPr="009E7B6D">
        <w:rPr>
          <w:rFonts w:ascii="Times New Roman" w:eastAsia="Times New Roman" w:hAnsi="Times New Roman" w:cs="Times New Roman"/>
          <w:sz w:val="24"/>
          <w:szCs w:val="24"/>
          <w:lang w:eastAsia="pt-BR"/>
        </w:rPr>
        <w:t>.</w:t>
      </w:r>
      <w:r w:rsidR="0039508E" w:rsidRPr="009E7B6D">
        <w:rPr>
          <w:rFonts w:ascii="Times New Roman" w:eastAsia="Times New Roman" w:hAnsi="Times New Roman" w:cs="Times New Roman"/>
          <w:sz w:val="24"/>
          <w:szCs w:val="24"/>
          <w:lang w:eastAsia="pt-BR"/>
        </w:rPr>
        <w:t xml:space="preserve"> </w:t>
      </w:r>
    </w:p>
    <w:p w14:paraId="04145071" w14:textId="116B568C" w:rsidR="003C3BDB" w:rsidRPr="003C3BDB" w:rsidRDefault="003C3BDB" w:rsidP="00781769">
      <w:pPr>
        <w:spacing w:after="0" w:line="360" w:lineRule="auto"/>
        <w:ind w:firstLine="709"/>
        <w:jc w:val="both"/>
        <w:rPr>
          <w:rFonts w:ascii="Times New Roman" w:eastAsia="Times New Roman" w:hAnsi="Times New Roman" w:cs="Times New Roman"/>
          <w:sz w:val="24"/>
          <w:szCs w:val="24"/>
          <w:lang w:eastAsia="pt-BR"/>
        </w:rPr>
      </w:pPr>
      <w:r w:rsidRPr="003C3BDB">
        <w:rPr>
          <w:rFonts w:ascii="Times New Roman" w:eastAsia="Times New Roman" w:hAnsi="Times New Roman" w:cs="Times New Roman"/>
          <w:color w:val="000000"/>
          <w:sz w:val="24"/>
          <w:szCs w:val="24"/>
          <w:lang w:eastAsia="pt-BR"/>
        </w:rPr>
        <w:t>Para o caso da América L</w:t>
      </w:r>
      <w:r w:rsidR="0090236B">
        <w:rPr>
          <w:rFonts w:ascii="Times New Roman" w:eastAsia="Times New Roman" w:hAnsi="Times New Roman" w:cs="Times New Roman"/>
          <w:color w:val="000000"/>
          <w:sz w:val="24"/>
          <w:szCs w:val="24"/>
          <w:lang w:eastAsia="pt-BR"/>
        </w:rPr>
        <w:t>atina, especialmente o Brasil, </w:t>
      </w:r>
      <w:r w:rsidRPr="003C3BDB">
        <w:rPr>
          <w:rFonts w:ascii="Times New Roman" w:eastAsia="Times New Roman" w:hAnsi="Times New Roman" w:cs="Times New Roman"/>
          <w:color w:val="000000"/>
          <w:sz w:val="24"/>
          <w:szCs w:val="24"/>
          <w:lang w:eastAsia="pt-BR"/>
        </w:rPr>
        <w:t xml:space="preserve">observa-se queda da participação da indústria na formação de seu </w:t>
      </w:r>
      <w:r w:rsidR="0039508E">
        <w:rPr>
          <w:rFonts w:ascii="Times New Roman" w:eastAsia="Times New Roman" w:hAnsi="Times New Roman" w:cs="Times New Roman"/>
          <w:color w:val="000000"/>
          <w:sz w:val="24"/>
          <w:szCs w:val="24"/>
          <w:lang w:eastAsia="pt-BR"/>
        </w:rPr>
        <w:t>PIB</w:t>
      </w:r>
      <w:r w:rsidRPr="003C3BDB">
        <w:rPr>
          <w:rFonts w:ascii="Times New Roman" w:eastAsia="Times New Roman" w:hAnsi="Times New Roman" w:cs="Times New Roman"/>
          <w:color w:val="000000"/>
          <w:sz w:val="24"/>
          <w:szCs w:val="24"/>
          <w:lang w:eastAsia="pt-BR"/>
        </w:rPr>
        <w:t>, que a partir de meados da década de 1980. Esse fenômeno tem chamado a atenção de diversos pesquisadores para a existência de um processo denominado desindustrialização relativa</w:t>
      </w:r>
      <w:r w:rsidR="0050311A">
        <w:rPr>
          <w:rFonts w:ascii="Times New Roman" w:eastAsia="Times New Roman" w:hAnsi="Times New Roman" w:cs="Times New Roman"/>
          <w:color w:val="000000"/>
          <w:sz w:val="24"/>
          <w:szCs w:val="24"/>
          <w:lang w:eastAsia="pt-BR"/>
        </w:rPr>
        <w:t xml:space="preserve"> ou precoce</w:t>
      </w:r>
      <w:r w:rsidRPr="003C3BDB">
        <w:rPr>
          <w:rFonts w:ascii="Times New Roman" w:eastAsia="Times New Roman" w:hAnsi="Times New Roman" w:cs="Times New Roman"/>
          <w:color w:val="000000"/>
          <w:sz w:val="24"/>
          <w:szCs w:val="24"/>
          <w:lang w:eastAsia="pt-BR"/>
        </w:rPr>
        <w:t xml:space="preserve"> (C</w:t>
      </w:r>
      <w:r w:rsidR="0039508E">
        <w:rPr>
          <w:rFonts w:ascii="Times New Roman" w:eastAsia="Times New Roman" w:hAnsi="Times New Roman" w:cs="Times New Roman"/>
          <w:color w:val="000000"/>
          <w:sz w:val="24"/>
          <w:szCs w:val="24"/>
          <w:lang w:eastAsia="pt-BR"/>
        </w:rPr>
        <w:t>OMIN</w:t>
      </w:r>
      <w:r w:rsidRPr="003C3BDB">
        <w:rPr>
          <w:rFonts w:ascii="Times New Roman" w:eastAsia="Times New Roman" w:hAnsi="Times New Roman" w:cs="Times New Roman"/>
          <w:color w:val="000000"/>
          <w:sz w:val="24"/>
          <w:szCs w:val="24"/>
          <w:lang w:eastAsia="pt-BR"/>
        </w:rPr>
        <w:t>, 2009; S</w:t>
      </w:r>
      <w:r w:rsidR="0039508E">
        <w:rPr>
          <w:rFonts w:ascii="Times New Roman" w:eastAsia="Times New Roman" w:hAnsi="Times New Roman" w:cs="Times New Roman"/>
          <w:color w:val="000000"/>
          <w:sz w:val="24"/>
          <w:szCs w:val="24"/>
          <w:lang w:eastAsia="pt-BR"/>
        </w:rPr>
        <w:t>ILVA</w:t>
      </w:r>
      <w:r w:rsidRPr="003C3BDB">
        <w:rPr>
          <w:rFonts w:ascii="Times New Roman" w:eastAsia="Times New Roman" w:hAnsi="Times New Roman" w:cs="Times New Roman"/>
          <w:color w:val="000000"/>
          <w:sz w:val="24"/>
          <w:szCs w:val="24"/>
          <w:lang w:eastAsia="pt-BR"/>
        </w:rPr>
        <w:t>, 2012). Estudos tem mostrado a presen</w:t>
      </w:r>
      <w:r w:rsidR="0090236B">
        <w:rPr>
          <w:rFonts w:ascii="Times New Roman" w:eastAsia="Times New Roman" w:hAnsi="Times New Roman" w:cs="Times New Roman"/>
          <w:color w:val="000000"/>
          <w:sz w:val="24"/>
          <w:szCs w:val="24"/>
          <w:lang w:eastAsia="pt-BR"/>
        </w:rPr>
        <w:t>ça de desindustrialização relativ</w:t>
      </w:r>
      <w:r w:rsidRPr="003C3BDB">
        <w:rPr>
          <w:rFonts w:ascii="Times New Roman" w:eastAsia="Times New Roman" w:hAnsi="Times New Roman" w:cs="Times New Roman"/>
          <w:color w:val="000000"/>
          <w:sz w:val="24"/>
          <w:szCs w:val="24"/>
          <w:lang w:eastAsia="pt-BR"/>
        </w:rPr>
        <w:t>a heterogênea no território brasileiro, de onde cada unidade federativa responde de forma diferenciada aos fatores que induzem a desin</w:t>
      </w:r>
      <w:r w:rsidR="0090236B">
        <w:rPr>
          <w:rFonts w:ascii="Times New Roman" w:eastAsia="Times New Roman" w:hAnsi="Times New Roman" w:cs="Times New Roman"/>
          <w:color w:val="000000"/>
          <w:sz w:val="24"/>
          <w:szCs w:val="24"/>
          <w:lang w:eastAsia="pt-BR"/>
        </w:rPr>
        <w:t>d</w:t>
      </w:r>
      <w:r w:rsidRPr="003C3BDB">
        <w:rPr>
          <w:rFonts w:ascii="Times New Roman" w:eastAsia="Times New Roman" w:hAnsi="Times New Roman" w:cs="Times New Roman"/>
          <w:color w:val="000000"/>
          <w:sz w:val="24"/>
          <w:szCs w:val="24"/>
          <w:lang w:eastAsia="pt-BR"/>
        </w:rPr>
        <w:t>u</w:t>
      </w:r>
      <w:r w:rsidR="0090236B">
        <w:rPr>
          <w:rFonts w:ascii="Times New Roman" w:eastAsia="Times New Roman" w:hAnsi="Times New Roman" w:cs="Times New Roman"/>
          <w:color w:val="000000"/>
          <w:sz w:val="24"/>
          <w:szCs w:val="24"/>
          <w:lang w:eastAsia="pt-BR"/>
        </w:rPr>
        <w:t>s</w:t>
      </w:r>
      <w:r w:rsidR="00F82CC5">
        <w:rPr>
          <w:rFonts w:ascii="Times New Roman" w:eastAsia="Times New Roman" w:hAnsi="Times New Roman" w:cs="Times New Roman"/>
          <w:color w:val="000000"/>
          <w:sz w:val="24"/>
          <w:szCs w:val="24"/>
          <w:lang w:eastAsia="pt-BR"/>
        </w:rPr>
        <w:t>trialização (</w:t>
      </w:r>
      <w:r w:rsidR="0039508E">
        <w:rPr>
          <w:rFonts w:ascii="Times New Roman" w:eastAsia="Times New Roman" w:hAnsi="Times New Roman" w:cs="Times New Roman"/>
          <w:color w:val="000000"/>
          <w:sz w:val="24"/>
          <w:szCs w:val="24"/>
          <w:lang w:eastAsia="pt-BR"/>
        </w:rPr>
        <w:t>BOTELHO</w:t>
      </w:r>
      <w:r w:rsidR="0015117D">
        <w:rPr>
          <w:rFonts w:ascii="Times New Roman" w:eastAsia="Times New Roman" w:hAnsi="Times New Roman" w:cs="Times New Roman"/>
          <w:color w:val="000000"/>
          <w:sz w:val="24"/>
          <w:szCs w:val="24"/>
          <w:lang w:eastAsia="pt-BR"/>
        </w:rPr>
        <w:t xml:space="preserve"> et. al., 2016; </w:t>
      </w:r>
      <w:r w:rsidR="00F82CC5">
        <w:rPr>
          <w:rFonts w:ascii="Times New Roman" w:eastAsia="Times New Roman" w:hAnsi="Times New Roman" w:cs="Times New Roman"/>
          <w:color w:val="000000"/>
          <w:sz w:val="24"/>
          <w:szCs w:val="24"/>
          <w:lang w:eastAsia="pt-BR"/>
        </w:rPr>
        <w:t>P</w:t>
      </w:r>
      <w:r w:rsidR="0039508E">
        <w:rPr>
          <w:rFonts w:ascii="Times New Roman" w:eastAsia="Times New Roman" w:hAnsi="Times New Roman" w:cs="Times New Roman"/>
          <w:color w:val="000000"/>
          <w:sz w:val="24"/>
          <w:szCs w:val="24"/>
          <w:lang w:eastAsia="pt-BR"/>
        </w:rPr>
        <w:t xml:space="preserve">EREIRA; CARIO, </w:t>
      </w:r>
      <w:r w:rsidR="00F82CC5">
        <w:rPr>
          <w:rFonts w:ascii="Times New Roman" w:eastAsia="Times New Roman" w:hAnsi="Times New Roman" w:cs="Times New Roman"/>
          <w:color w:val="000000"/>
          <w:sz w:val="24"/>
          <w:szCs w:val="24"/>
          <w:lang w:eastAsia="pt-BR"/>
        </w:rPr>
        <w:t>2018</w:t>
      </w:r>
      <w:r w:rsidRPr="003C3BDB">
        <w:rPr>
          <w:rFonts w:ascii="Times New Roman" w:eastAsia="Times New Roman" w:hAnsi="Times New Roman" w:cs="Times New Roman"/>
          <w:color w:val="000000"/>
          <w:sz w:val="24"/>
          <w:szCs w:val="24"/>
          <w:lang w:eastAsia="pt-BR"/>
        </w:rPr>
        <w:t>)</w:t>
      </w:r>
      <w:r w:rsidR="0090236B">
        <w:rPr>
          <w:rFonts w:ascii="Times New Roman" w:eastAsia="Times New Roman" w:hAnsi="Times New Roman" w:cs="Times New Roman"/>
          <w:color w:val="000000"/>
          <w:sz w:val="24"/>
          <w:szCs w:val="24"/>
          <w:lang w:eastAsia="pt-BR"/>
        </w:rPr>
        <w:t>.</w:t>
      </w:r>
    </w:p>
    <w:p w14:paraId="3094901F" w14:textId="0F60AAD3" w:rsidR="00785099" w:rsidRPr="001368EB" w:rsidRDefault="00785099" w:rsidP="00781769">
      <w:pPr>
        <w:spacing w:after="0" w:line="360" w:lineRule="auto"/>
        <w:ind w:firstLine="709"/>
        <w:jc w:val="both"/>
        <w:rPr>
          <w:rFonts w:ascii="Times New Roman" w:eastAsia="Times New Roman" w:hAnsi="Times New Roman" w:cs="Times New Roman"/>
          <w:b/>
          <w:color w:val="000000" w:themeColor="text1"/>
          <w:sz w:val="24"/>
          <w:szCs w:val="24"/>
          <w:lang w:eastAsia="pt-BR"/>
        </w:rPr>
      </w:pPr>
      <w:r w:rsidRPr="009E35EE">
        <w:rPr>
          <w:rFonts w:ascii="Times New Roman" w:eastAsia="Times New Roman" w:hAnsi="Times New Roman" w:cs="Times New Roman"/>
          <w:color w:val="000000"/>
          <w:sz w:val="24"/>
          <w:szCs w:val="24"/>
          <w:lang w:eastAsia="pt-BR"/>
        </w:rPr>
        <w:t>No contexto da existência de desindustrialização relativa heterogênea no país, torna-se relevante avaliar o c</w:t>
      </w:r>
      <w:r w:rsidR="00365E85">
        <w:rPr>
          <w:rFonts w:ascii="Times New Roman" w:eastAsia="Times New Roman" w:hAnsi="Times New Roman" w:cs="Times New Roman"/>
          <w:color w:val="000000"/>
          <w:sz w:val="24"/>
          <w:szCs w:val="24"/>
          <w:lang w:eastAsia="pt-BR"/>
        </w:rPr>
        <w:t xml:space="preserve">omportamento do setor externo, com </w:t>
      </w:r>
      <w:r w:rsidRPr="009E35EE">
        <w:rPr>
          <w:rFonts w:ascii="Times New Roman" w:eastAsia="Times New Roman" w:hAnsi="Times New Roman" w:cs="Times New Roman"/>
          <w:color w:val="000000"/>
          <w:sz w:val="24"/>
          <w:szCs w:val="24"/>
          <w:lang w:eastAsia="pt-BR"/>
        </w:rPr>
        <w:t>o propósito de analisar a competitividade da indústria de Santa Catarina nessa área.</w:t>
      </w:r>
      <w:r w:rsidR="003C3BDB" w:rsidRPr="009E35EE">
        <w:rPr>
          <w:rFonts w:ascii="Times New Roman" w:eastAsia="Times New Roman" w:hAnsi="Times New Roman" w:cs="Times New Roman"/>
          <w:color w:val="000000"/>
          <w:sz w:val="24"/>
          <w:szCs w:val="24"/>
          <w:lang w:eastAsia="pt-BR"/>
        </w:rPr>
        <w:t xml:space="preserve"> Se</w:t>
      </w:r>
      <w:r w:rsidR="003C3BDB" w:rsidRPr="003C3BDB">
        <w:rPr>
          <w:rFonts w:ascii="Times New Roman" w:eastAsia="Times New Roman" w:hAnsi="Times New Roman" w:cs="Times New Roman"/>
          <w:color w:val="000000"/>
          <w:sz w:val="24"/>
          <w:szCs w:val="24"/>
          <w:lang w:eastAsia="pt-BR"/>
        </w:rPr>
        <w:t xml:space="preserve"> a desindustrialização relativa é diferenciada no território</w:t>
      </w:r>
      <w:r>
        <w:rPr>
          <w:rFonts w:ascii="Times New Roman" w:eastAsia="Times New Roman" w:hAnsi="Times New Roman" w:cs="Times New Roman"/>
          <w:color w:val="000000"/>
          <w:sz w:val="24"/>
          <w:szCs w:val="24"/>
          <w:lang w:eastAsia="pt-BR"/>
        </w:rPr>
        <w:t xml:space="preserve"> nacional</w:t>
      </w:r>
      <w:r w:rsidR="003C3BDB" w:rsidRPr="003C3BDB">
        <w:rPr>
          <w:rFonts w:ascii="Times New Roman" w:eastAsia="Times New Roman" w:hAnsi="Times New Roman" w:cs="Times New Roman"/>
          <w:color w:val="000000"/>
          <w:sz w:val="24"/>
          <w:szCs w:val="24"/>
          <w:lang w:eastAsia="pt-BR"/>
        </w:rPr>
        <w:t xml:space="preserve">, então a competitividade industrial também deve apresentar comportamento semelhante. </w:t>
      </w:r>
      <w:r w:rsidR="001368EB">
        <w:rPr>
          <w:rFonts w:ascii="Times New Roman" w:eastAsia="Times New Roman" w:hAnsi="Times New Roman" w:cs="Times New Roman"/>
          <w:color w:val="000000"/>
          <w:sz w:val="24"/>
          <w:szCs w:val="24"/>
          <w:lang w:eastAsia="pt-BR"/>
        </w:rPr>
        <w:t xml:space="preserve">Segundo IBGE (2022), </w:t>
      </w:r>
      <w:r w:rsidR="00EE72AC" w:rsidRPr="001368EB">
        <w:rPr>
          <w:rFonts w:ascii="Times New Roman" w:eastAsia="Times New Roman" w:hAnsi="Times New Roman" w:cs="Times New Roman"/>
          <w:color w:val="000000" w:themeColor="text1"/>
          <w:sz w:val="24"/>
          <w:szCs w:val="24"/>
          <w:lang w:eastAsia="pt-BR"/>
        </w:rPr>
        <w:t>Santa Catarina é considerada a sexta</w:t>
      </w:r>
      <w:r w:rsidRPr="001368EB">
        <w:rPr>
          <w:rFonts w:ascii="Times New Roman" w:eastAsia="Times New Roman" w:hAnsi="Times New Roman" w:cs="Times New Roman"/>
          <w:color w:val="000000" w:themeColor="text1"/>
          <w:sz w:val="24"/>
          <w:szCs w:val="24"/>
          <w:lang w:eastAsia="pt-BR"/>
        </w:rPr>
        <w:t xml:space="preserve"> economia do país</w:t>
      </w:r>
      <w:r w:rsidR="001368EB" w:rsidRPr="001368EB">
        <w:rPr>
          <w:rFonts w:ascii="Times New Roman" w:eastAsia="Times New Roman" w:hAnsi="Times New Roman" w:cs="Times New Roman"/>
          <w:color w:val="000000" w:themeColor="text1"/>
          <w:sz w:val="24"/>
          <w:szCs w:val="24"/>
          <w:lang w:eastAsia="pt-BR"/>
        </w:rPr>
        <w:t xml:space="preserve">. </w:t>
      </w:r>
      <w:r w:rsidRPr="001368EB">
        <w:rPr>
          <w:rFonts w:ascii="Times New Roman" w:eastAsia="Times New Roman" w:hAnsi="Times New Roman" w:cs="Times New Roman"/>
          <w:color w:val="000000" w:themeColor="text1"/>
          <w:sz w:val="24"/>
          <w:szCs w:val="24"/>
          <w:lang w:eastAsia="pt-BR"/>
        </w:rPr>
        <w:t>Em 202</w:t>
      </w:r>
      <w:r w:rsidR="0098250D" w:rsidRPr="001368EB">
        <w:rPr>
          <w:rFonts w:ascii="Times New Roman" w:eastAsia="Times New Roman" w:hAnsi="Times New Roman" w:cs="Times New Roman"/>
          <w:color w:val="000000" w:themeColor="text1"/>
          <w:sz w:val="24"/>
          <w:szCs w:val="24"/>
          <w:lang w:eastAsia="pt-BR"/>
        </w:rPr>
        <w:t>0</w:t>
      </w:r>
      <w:r w:rsidRPr="001368EB">
        <w:rPr>
          <w:rFonts w:ascii="Times New Roman" w:eastAsia="Times New Roman" w:hAnsi="Times New Roman" w:cs="Times New Roman"/>
          <w:color w:val="000000" w:themeColor="text1"/>
          <w:sz w:val="24"/>
          <w:szCs w:val="24"/>
          <w:lang w:eastAsia="pt-BR"/>
        </w:rPr>
        <w:t xml:space="preserve"> </w:t>
      </w:r>
      <w:r w:rsidR="001368EB">
        <w:rPr>
          <w:rFonts w:ascii="Times New Roman" w:eastAsia="Times New Roman" w:hAnsi="Times New Roman" w:cs="Times New Roman"/>
          <w:color w:val="000000" w:themeColor="text1"/>
          <w:sz w:val="24"/>
          <w:szCs w:val="24"/>
          <w:lang w:eastAsia="pt-BR"/>
        </w:rPr>
        <w:t xml:space="preserve">a economia catarinense </w:t>
      </w:r>
      <w:r w:rsidRPr="001368EB">
        <w:rPr>
          <w:rFonts w:ascii="Times New Roman" w:eastAsia="Times New Roman" w:hAnsi="Times New Roman" w:cs="Times New Roman"/>
          <w:color w:val="000000" w:themeColor="text1"/>
          <w:sz w:val="24"/>
          <w:szCs w:val="24"/>
          <w:lang w:eastAsia="pt-BR"/>
        </w:rPr>
        <w:t>registrou PIB d</w:t>
      </w:r>
      <w:r w:rsidR="00E83B9A" w:rsidRPr="001368EB">
        <w:rPr>
          <w:rFonts w:ascii="Times New Roman" w:eastAsia="Times New Roman" w:hAnsi="Times New Roman" w:cs="Times New Roman"/>
          <w:color w:val="000000" w:themeColor="text1"/>
          <w:sz w:val="24"/>
          <w:szCs w:val="24"/>
          <w:lang w:eastAsia="pt-BR"/>
        </w:rPr>
        <w:t>a ordem de R$</w:t>
      </w:r>
      <w:r w:rsidR="0098250D" w:rsidRPr="001368EB">
        <w:rPr>
          <w:rFonts w:ascii="Times New Roman" w:hAnsi="Times New Roman" w:cs="Times New Roman"/>
          <w:color w:val="000000" w:themeColor="text1"/>
          <w:sz w:val="24"/>
          <w:szCs w:val="24"/>
          <w:shd w:val="clear" w:color="auto" w:fill="FFFFFF"/>
        </w:rPr>
        <w:t xml:space="preserve"> 349,3 </w:t>
      </w:r>
      <w:r w:rsidR="0098250D" w:rsidRPr="001368EB">
        <w:rPr>
          <w:rFonts w:ascii="Times New Roman" w:hAnsi="Times New Roman" w:cs="Times New Roman"/>
          <w:color w:val="000000" w:themeColor="text1"/>
          <w:sz w:val="24"/>
          <w:szCs w:val="24"/>
          <w:shd w:val="clear" w:color="auto" w:fill="FFFFFF"/>
        </w:rPr>
        <w:lastRenderedPageBreak/>
        <w:t>bilhões</w:t>
      </w:r>
      <w:r w:rsidR="001368EB" w:rsidRPr="001368EB">
        <w:rPr>
          <w:rFonts w:ascii="Times New Roman" w:eastAsia="Times New Roman" w:hAnsi="Times New Roman" w:cs="Times New Roman"/>
          <w:color w:val="000000" w:themeColor="text1"/>
          <w:sz w:val="24"/>
          <w:szCs w:val="24"/>
          <w:lang w:eastAsia="pt-BR"/>
        </w:rPr>
        <w:t>. As</w:t>
      </w:r>
      <w:r w:rsidR="00E83B9A" w:rsidRPr="001368EB">
        <w:rPr>
          <w:rFonts w:ascii="Times New Roman" w:eastAsia="Times New Roman" w:hAnsi="Times New Roman" w:cs="Times New Roman"/>
          <w:color w:val="000000" w:themeColor="text1"/>
          <w:sz w:val="24"/>
          <w:szCs w:val="24"/>
          <w:lang w:eastAsia="pt-BR"/>
        </w:rPr>
        <w:t xml:space="preserve"> </w:t>
      </w:r>
      <w:r w:rsidR="0077120F">
        <w:rPr>
          <w:rFonts w:ascii="Times New Roman" w:eastAsia="Times New Roman" w:hAnsi="Times New Roman" w:cs="Times New Roman"/>
          <w:color w:val="000000" w:themeColor="text1"/>
          <w:sz w:val="24"/>
          <w:szCs w:val="24"/>
          <w:lang w:eastAsia="pt-BR"/>
        </w:rPr>
        <w:t xml:space="preserve">exportações, no mesmo ano, atingiram o valor de </w:t>
      </w:r>
      <w:r w:rsidR="00863D2F">
        <w:rPr>
          <w:rFonts w:ascii="Times New Roman" w:eastAsia="Times New Roman" w:hAnsi="Times New Roman" w:cs="Times New Roman"/>
          <w:color w:val="000000" w:themeColor="text1"/>
          <w:sz w:val="24"/>
          <w:szCs w:val="24"/>
          <w:lang w:eastAsia="pt-BR"/>
        </w:rPr>
        <w:t>aproximadamente US$ 8,2 bilhões</w:t>
      </w:r>
      <w:r w:rsidRPr="001368EB">
        <w:rPr>
          <w:rFonts w:ascii="Times New Roman" w:eastAsia="Times New Roman" w:hAnsi="Times New Roman" w:cs="Times New Roman"/>
          <w:color w:val="000000" w:themeColor="text1"/>
          <w:sz w:val="24"/>
          <w:szCs w:val="24"/>
          <w:lang w:eastAsia="pt-BR"/>
        </w:rPr>
        <w:t xml:space="preserve"> </w:t>
      </w:r>
      <w:r w:rsidR="00863D2F">
        <w:rPr>
          <w:rFonts w:ascii="Times New Roman" w:eastAsia="Times New Roman" w:hAnsi="Times New Roman" w:cs="Times New Roman"/>
          <w:color w:val="000000" w:themeColor="text1"/>
          <w:sz w:val="24"/>
          <w:szCs w:val="24"/>
          <w:lang w:eastAsia="pt-BR"/>
        </w:rPr>
        <w:t xml:space="preserve">e </w:t>
      </w:r>
      <w:r w:rsidRPr="001368EB">
        <w:rPr>
          <w:rFonts w:ascii="Times New Roman" w:eastAsia="Times New Roman" w:hAnsi="Times New Roman" w:cs="Times New Roman"/>
          <w:color w:val="000000" w:themeColor="text1"/>
          <w:sz w:val="24"/>
          <w:szCs w:val="24"/>
          <w:lang w:eastAsia="pt-BR"/>
        </w:rPr>
        <w:t>as</w:t>
      </w:r>
      <w:r w:rsidR="00863D2F">
        <w:rPr>
          <w:rFonts w:ascii="Times New Roman" w:eastAsia="Times New Roman" w:hAnsi="Times New Roman" w:cs="Times New Roman"/>
          <w:color w:val="000000" w:themeColor="text1"/>
          <w:sz w:val="24"/>
          <w:szCs w:val="24"/>
          <w:lang w:eastAsia="pt-BR"/>
        </w:rPr>
        <w:t xml:space="preserve"> importações foram de</w:t>
      </w:r>
      <w:r w:rsidRPr="001368EB">
        <w:rPr>
          <w:rFonts w:ascii="Times New Roman" w:eastAsia="Times New Roman" w:hAnsi="Times New Roman" w:cs="Times New Roman"/>
          <w:color w:val="000000" w:themeColor="text1"/>
          <w:sz w:val="24"/>
          <w:szCs w:val="24"/>
          <w:lang w:eastAsia="pt-BR"/>
        </w:rPr>
        <w:t xml:space="preserve"> </w:t>
      </w:r>
      <w:r w:rsidR="00863D2F">
        <w:rPr>
          <w:rFonts w:ascii="Times New Roman" w:eastAsia="Times New Roman" w:hAnsi="Times New Roman" w:cs="Times New Roman"/>
          <w:color w:val="000000" w:themeColor="text1"/>
          <w:sz w:val="24"/>
          <w:szCs w:val="24"/>
          <w:lang w:eastAsia="pt-BR"/>
        </w:rPr>
        <w:t>US$ 16 bilh</w:t>
      </w:r>
      <w:r w:rsidR="00604C05">
        <w:rPr>
          <w:rFonts w:ascii="Times New Roman" w:eastAsia="Times New Roman" w:hAnsi="Times New Roman" w:cs="Times New Roman"/>
          <w:color w:val="000000" w:themeColor="text1"/>
          <w:sz w:val="24"/>
          <w:szCs w:val="24"/>
          <w:lang w:eastAsia="pt-BR"/>
        </w:rPr>
        <w:t>ões</w:t>
      </w:r>
      <w:r w:rsidRPr="001368EB">
        <w:rPr>
          <w:rFonts w:ascii="Times New Roman" w:eastAsia="Times New Roman" w:hAnsi="Times New Roman" w:cs="Times New Roman"/>
          <w:color w:val="000000" w:themeColor="text1"/>
          <w:sz w:val="24"/>
          <w:szCs w:val="24"/>
          <w:lang w:eastAsia="pt-BR"/>
        </w:rPr>
        <w:t>. As relações no comércio externo alcançam vári</w:t>
      </w:r>
      <w:r w:rsidR="0098250D" w:rsidRPr="001368EB">
        <w:rPr>
          <w:rFonts w:ascii="Times New Roman" w:eastAsia="Times New Roman" w:hAnsi="Times New Roman" w:cs="Times New Roman"/>
          <w:color w:val="000000" w:themeColor="text1"/>
          <w:sz w:val="24"/>
          <w:szCs w:val="24"/>
          <w:lang w:eastAsia="pt-BR"/>
        </w:rPr>
        <w:t>os mercado</w:t>
      </w:r>
      <w:r w:rsidR="009E35EE" w:rsidRPr="001368EB">
        <w:rPr>
          <w:rFonts w:ascii="Times New Roman" w:eastAsia="Times New Roman" w:hAnsi="Times New Roman" w:cs="Times New Roman"/>
          <w:color w:val="000000" w:themeColor="text1"/>
          <w:sz w:val="24"/>
          <w:szCs w:val="24"/>
          <w:lang w:eastAsia="pt-BR"/>
        </w:rPr>
        <w:t>s</w:t>
      </w:r>
      <w:r w:rsidR="0098250D" w:rsidRPr="001368EB">
        <w:rPr>
          <w:rFonts w:ascii="Times New Roman" w:eastAsia="Times New Roman" w:hAnsi="Times New Roman" w:cs="Times New Roman"/>
          <w:color w:val="000000" w:themeColor="text1"/>
          <w:sz w:val="24"/>
          <w:szCs w:val="24"/>
          <w:lang w:eastAsia="pt-BR"/>
        </w:rPr>
        <w:t xml:space="preserve"> com destaque para os Estados Unidos e a China, considerado os dois maiores parceiros comerciais.</w:t>
      </w:r>
    </w:p>
    <w:p w14:paraId="12A1BD7B" w14:textId="1E87AE97" w:rsidR="003C3BDB" w:rsidRPr="003C3BDB" w:rsidRDefault="00F70E51" w:rsidP="00781769">
      <w:pPr>
        <w:spacing w:after="0" w:line="36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Assim, o objetivo desse estudo foi analisar o comércio exterior por intensidade tecnológica de Santa Catarina no período de 2000 a 2020. </w:t>
      </w:r>
      <w:r w:rsidR="00E83B9A" w:rsidRPr="0098250D">
        <w:rPr>
          <w:rFonts w:ascii="Times New Roman" w:eastAsia="Times New Roman" w:hAnsi="Times New Roman" w:cs="Times New Roman"/>
          <w:sz w:val="24"/>
          <w:szCs w:val="24"/>
          <w:lang w:eastAsia="pt-BR"/>
        </w:rPr>
        <w:t xml:space="preserve">Considera-se que </w:t>
      </w:r>
      <w:r w:rsidR="003C3BDB" w:rsidRPr="0098250D">
        <w:rPr>
          <w:rFonts w:ascii="Times New Roman" w:eastAsia="Times New Roman" w:hAnsi="Times New Roman" w:cs="Times New Roman"/>
          <w:sz w:val="24"/>
          <w:szCs w:val="24"/>
          <w:lang w:eastAsia="pt-BR"/>
        </w:rPr>
        <w:t xml:space="preserve">a análise da competitividade da indústria catarinense por intensidade tecnológica </w:t>
      </w:r>
      <w:r w:rsidR="00E83B9A" w:rsidRPr="0098250D">
        <w:rPr>
          <w:rFonts w:ascii="Times New Roman" w:eastAsia="Times New Roman" w:hAnsi="Times New Roman" w:cs="Times New Roman"/>
          <w:sz w:val="24"/>
          <w:szCs w:val="24"/>
          <w:lang w:eastAsia="pt-BR"/>
        </w:rPr>
        <w:t xml:space="preserve">pelo período das </w:t>
      </w:r>
      <w:r w:rsidR="003C3BDB" w:rsidRPr="0098250D">
        <w:rPr>
          <w:rFonts w:ascii="Times New Roman" w:eastAsia="Times New Roman" w:hAnsi="Times New Roman" w:cs="Times New Roman"/>
          <w:sz w:val="24"/>
          <w:szCs w:val="24"/>
          <w:lang w:eastAsia="pt-BR"/>
        </w:rPr>
        <w:t xml:space="preserve">duas </w:t>
      </w:r>
      <w:r w:rsidR="00E83B9A" w:rsidRPr="0098250D">
        <w:rPr>
          <w:rFonts w:ascii="Times New Roman" w:eastAsia="Times New Roman" w:hAnsi="Times New Roman" w:cs="Times New Roman"/>
          <w:sz w:val="24"/>
          <w:szCs w:val="24"/>
          <w:lang w:eastAsia="pt-BR"/>
        </w:rPr>
        <w:t>primeiras décadas do século XXI</w:t>
      </w:r>
      <w:r w:rsidR="009E7B6D" w:rsidRPr="0098250D">
        <w:rPr>
          <w:rFonts w:ascii="Times New Roman" w:eastAsia="Times New Roman" w:hAnsi="Times New Roman" w:cs="Times New Roman"/>
          <w:sz w:val="24"/>
          <w:szCs w:val="24"/>
          <w:lang w:eastAsia="pt-BR"/>
        </w:rPr>
        <w:t>,</w:t>
      </w:r>
      <w:r w:rsidR="00E83B9A" w:rsidRPr="0098250D">
        <w:rPr>
          <w:rFonts w:ascii="Times New Roman" w:eastAsia="Times New Roman" w:hAnsi="Times New Roman" w:cs="Times New Roman"/>
          <w:sz w:val="24"/>
          <w:szCs w:val="24"/>
          <w:lang w:eastAsia="pt-BR"/>
        </w:rPr>
        <w:t xml:space="preserve"> constitui um caminho para demonstrar o nível de tecnologia que os produtos exportados e importados contem. Com isso, espera-se com esse</w:t>
      </w:r>
      <w:r w:rsidR="003C3BDB" w:rsidRPr="0098250D">
        <w:rPr>
          <w:rFonts w:ascii="Times New Roman" w:eastAsia="Times New Roman" w:hAnsi="Times New Roman" w:cs="Times New Roman"/>
          <w:sz w:val="24"/>
          <w:szCs w:val="24"/>
          <w:lang w:eastAsia="pt-BR"/>
        </w:rPr>
        <w:t xml:space="preserve"> estudo contribui</w:t>
      </w:r>
      <w:r w:rsidR="009E7B6D" w:rsidRPr="0098250D">
        <w:rPr>
          <w:rFonts w:ascii="Times New Roman" w:eastAsia="Times New Roman" w:hAnsi="Times New Roman" w:cs="Times New Roman"/>
          <w:sz w:val="24"/>
          <w:szCs w:val="24"/>
          <w:lang w:eastAsia="pt-BR"/>
        </w:rPr>
        <w:t>r</w:t>
      </w:r>
      <w:r w:rsidR="003C3BDB" w:rsidRPr="0098250D">
        <w:rPr>
          <w:rFonts w:ascii="Times New Roman" w:eastAsia="Times New Roman" w:hAnsi="Times New Roman" w:cs="Times New Roman"/>
          <w:sz w:val="24"/>
          <w:szCs w:val="24"/>
          <w:lang w:eastAsia="pt-BR"/>
        </w:rPr>
        <w:t xml:space="preserve"> para a liter</w:t>
      </w:r>
      <w:r w:rsidR="00E83B9A" w:rsidRPr="0098250D">
        <w:rPr>
          <w:rFonts w:ascii="Times New Roman" w:eastAsia="Times New Roman" w:hAnsi="Times New Roman" w:cs="Times New Roman"/>
          <w:sz w:val="24"/>
          <w:szCs w:val="24"/>
          <w:lang w:eastAsia="pt-BR"/>
        </w:rPr>
        <w:t>atura de duas formas, a saber: p</w:t>
      </w:r>
      <w:r w:rsidR="003C3BDB" w:rsidRPr="0098250D">
        <w:rPr>
          <w:rFonts w:ascii="Times New Roman" w:eastAsia="Times New Roman" w:hAnsi="Times New Roman" w:cs="Times New Roman"/>
          <w:sz w:val="24"/>
          <w:szCs w:val="24"/>
          <w:lang w:eastAsia="pt-BR"/>
        </w:rPr>
        <w:t>rimeiro, para a literatura de economia industrial</w:t>
      </w:r>
      <w:r w:rsidR="00E83B9A" w:rsidRPr="0098250D">
        <w:rPr>
          <w:rFonts w:ascii="Times New Roman" w:eastAsia="Times New Roman" w:hAnsi="Times New Roman" w:cs="Times New Roman"/>
          <w:sz w:val="24"/>
          <w:szCs w:val="24"/>
          <w:lang w:eastAsia="pt-BR"/>
        </w:rPr>
        <w:t xml:space="preserve"> em geral,</w:t>
      </w:r>
      <w:r w:rsidR="003C3BDB" w:rsidRPr="0098250D">
        <w:rPr>
          <w:rFonts w:ascii="Times New Roman" w:eastAsia="Times New Roman" w:hAnsi="Times New Roman" w:cs="Times New Roman"/>
          <w:sz w:val="24"/>
          <w:szCs w:val="24"/>
          <w:lang w:eastAsia="pt-BR"/>
        </w:rPr>
        <w:t xml:space="preserve"> ao dedicar </w:t>
      </w:r>
      <w:r w:rsidR="00E83B9A" w:rsidRPr="0098250D">
        <w:rPr>
          <w:rFonts w:ascii="Times New Roman" w:eastAsia="Times New Roman" w:hAnsi="Times New Roman" w:cs="Times New Roman"/>
          <w:sz w:val="24"/>
          <w:szCs w:val="24"/>
          <w:lang w:eastAsia="pt-BR"/>
        </w:rPr>
        <w:t>análise à</w:t>
      </w:r>
      <w:r w:rsidR="003C3BDB" w:rsidRPr="0098250D">
        <w:rPr>
          <w:rFonts w:ascii="Times New Roman" w:eastAsia="Times New Roman" w:hAnsi="Times New Roman" w:cs="Times New Roman"/>
          <w:sz w:val="24"/>
          <w:szCs w:val="24"/>
          <w:lang w:eastAsia="pt-BR"/>
        </w:rPr>
        <w:t xml:space="preserve"> dimensão re</w:t>
      </w:r>
      <w:r w:rsidR="00E83B9A" w:rsidRPr="0098250D">
        <w:rPr>
          <w:rFonts w:ascii="Times New Roman" w:eastAsia="Times New Roman" w:hAnsi="Times New Roman" w:cs="Times New Roman"/>
          <w:sz w:val="24"/>
          <w:szCs w:val="24"/>
          <w:lang w:eastAsia="pt-BR"/>
        </w:rPr>
        <w:t xml:space="preserve">gional </w:t>
      </w:r>
      <w:r w:rsidR="00E83B9A">
        <w:rPr>
          <w:rFonts w:ascii="Times New Roman" w:eastAsia="Times New Roman" w:hAnsi="Times New Roman" w:cs="Times New Roman"/>
          <w:color w:val="000000"/>
          <w:sz w:val="24"/>
          <w:szCs w:val="24"/>
          <w:lang w:eastAsia="pt-BR"/>
        </w:rPr>
        <w:t>da competitividade; e, s</w:t>
      </w:r>
      <w:r w:rsidR="003C3BDB" w:rsidRPr="003C3BDB">
        <w:rPr>
          <w:rFonts w:ascii="Times New Roman" w:eastAsia="Times New Roman" w:hAnsi="Times New Roman" w:cs="Times New Roman"/>
          <w:color w:val="000000"/>
          <w:sz w:val="24"/>
          <w:szCs w:val="24"/>
          <w:lang w:eastAsia="pt-BR"/>
        </w:rPr>
        <w:t>egundo, para a própria literatura de economia regional ao colocar a dimensão da competitivida</w:t>
      </w:r>
      <w:r w:rsidR="00E83B9A">
        <w:rPr>
          <w:rFonts w:ascii="Times New Roman" w:eastAsia="Times New Roman" w:hAnsi="Times New Roman" w:cs="Times New Roman"/>
          <w:color w:val="000000"/>
          <w:sz w:val="24"/>
          <w:szCs w:val="24"/>
          <w:lang w:eastAsia="pt-BR"/>
        </w:rPr>
        <w:t>de e da indústria como elementos importantes</w:t>
      </w:r>
      <w:r w:rsidR="003C3BDB" w:rsidRPr="003C3BDB">
        <w:rPr>
          <w:rFonts w:ascii="Times New Roman" w:eastAsia="Times New Roman" w:hAnsi="Times New Roman" w:cs="Times New Roman"/>
          <w:color w:val="000000"/>
          <w:sz w:val="24"/>
          <w:szCs w:val="24"/>
          <w:lang w:eastAsia="pt-BR"/>
        </w:rPr>
        <w:t xml:space="preserve"> p</w:t>
      </w:r>
      <w:r w:rsidR="0015117D">
        <w:rPr>
          <w:rFonts w:ascii="Times New Roman" w:eastAsia="Times New Roman" w:hAnsi="Times New Roman" w:cs="Times New Roman"/>
          <w:color w:val="000000"/>
          <w:sz w:val="24"/>
          <w:szCs w:val="24"/>
          <w:lang w:eastAsia="pt-BR"/>
        </w:rPr>
        <w:t>ara compreender a dinâmica econô</w:t>
      </w:r>
      <w:r w:rsidR="003C3BDB" w:rsidRPr="003C3BDB">
        <w:rPr>
          <w:rFonts w:ascii="Times New Roman" w:eastAsia="Times New Roman" w:hAnsi="Times New Roman" w:cs="Times New Roman"/>
          <w:color w:val="000000"/>
          <w:sz w:val="24"/>
          <w:szCs w:val="24"/>
          <w:lang w:eastAsia="pt-BR"/>
        </w:rPr>
        <w:t>mica regional. </w:t>
      </w:r>
    </w:p>
    <w:p w14:paraId="235B69AE" w14:textId="4E8E1AB9" w:rsidR="003C3BDB" w:rsidRDefault="003C3BDB" w:rsidP="00781769">
      <w:pPr>
        <w:spacing w:after="0" w:line="360" w:lineRule="auto"/>
        <w:ind w:firstLine="709"/>
        <w:jc w:val="both"/>
        <w:rPr>
          <w:lang w:eastAsia="pt-BR"/>
        </w:rPr>
      </w:pPr>
      <w:r w:rsidRPr="003C3BDB">
        <w:rPr>
          <w:rFonts w:ascii="Times New Roman" w:eastAsia="Times New Roman" w:hAnsi="Times New Roman" w:cs="Times New Roman"/>
          <w:color w:val="000000"/>
          <w:sz w:val="24"/>
          <w:szCs w:val="24"/>
          <w:lang w:eastAsia="pt-BR"/>
        </w:rPr>
        <w:t xml:space="preserve">Para cumprir com este objetivo, o artigo </w:t>
      </w:r>
      <w:r w:rsidR="00277241">
        <w:rPr>
          <w:rFonts w:ascii="Times New Roman" w:eastAsia="Times New Roman" w:hAnsi="Times New Roman" w:cs="Times New Roman"/>
          <w:color w:val="000000"/>
          <w:sz w:val="24"/>
          <w:szCs w:val="24"/>
          <w:lang w:eastAsia="pt-BR"/>
        </w:rPr>
        <w:t>está divido em sete</w:t>
      </w:r>
      <w:r w:rsidRPr="003C3BDB">
        <w:rPr>
          <w:rFonts w:ascii="Times New Roman" w:eastAsia="Times New Roman" w:hAnsi="Times New Roman" w:cs="Times New Roman"/>
          <w:color w:val="000000"/>
          <w:sz w:val="24"/>
          <w:szCs w:val="24"/>
          <w:lang w:eastAsia="pt-BR"/>
        </w:rPr>
        <w:t xml:space="preserve"> seções</w:t>
      </w:r>
      <w:r w:rsidR="00277241">
        <w:rPr>
          <w:rFonts w:ascii="Times New Roman" w:eastAsia="Times New Roman" w:hAnsi="Times New Roman" w:cs="Times New Roman"/>
          <w:color w:val="000000"/>
          <w:sz w:val="24"/>
          <w:szCs w:val="24"/>
          <w:lang w:eastAsia="pt-BR"/>
        </w:rPr>
        <w:t>. Nessa 1ª.</w:t>
      </w:r>
      <w:r w:rsidR="00C67BD8">
        <w:rPr>
          <w:rFonts w:ascii="Times New Roman" w:eastAsia="Times New Roman" w:hAnsi="Times New Roman" w:cs="Times New Roman"/>
          <w:color w:val="000000"/>
          <w:sz w:val="24"/>
          <w:szCs w:val="24"/>
          <w:lang w:eastAsia="pt-BR"/>
        </w:rPr>
        <w:t xml:space="preserve"> seção traça-se seu intuito</w:t>
      </w:r>
      <w:r w:rsidR="00277241">
        <w:rPr>
          <w:rFonts w:ascii="Times New Roman" w:eastAsia="Times New Roman" w:hAnsi="Times New Roman" w:cs="Times New Roman"/>
          <w:color w:val="000000"/>
          <w:sz w:val="24"/>
          <w:szCs w:val="24"/>
          <w:lang w:eastAsia="pt-BR"/>
        </w:rPr>
        <w:t>; na 2ª. seção apontam-se elementos do marco teórico-analítico acerca da indústria, inovação e desenvolvimento; na 3ª. seção apresenta-se o procedimento metodológico; na 4ª. seção ressalta-se a</w:t>
      </w:r>
      <w:r w:rsidR="00C67BD8">
        <w:rPr>
          <w:rFonts w:ascii="Times New Roman" w:eastAsia="Times New Roman" w:hAnsi="Times New Roman" w:cs="Times New Roman"/>
          <w:color w:val="000000"/>
          <w:sz w:val="24"/>
          <w:szCs w:val="24"/>
          <w:lang w:eastAsia="pt-BR"/>
        </w:rPr>
        <w:t>spectos do setor industrial estadual</w:t>
      </w:r>
      <w:r w:rsidR="00277241">
        <w:rPr>
          <w:rFonts w:ascii="Times New Roman" w:eastAsia="Times New Roman" w:hAnsi="Times New Roman" w:cs="Times New Roman"/>
          <w:color w:val="000000"/>
          <w:sz w:val="24"/>
          <w:szCs w:val="24"/>
          <w:lang w:eastAsia="pt-BR"/>
        </w:rPr>
        <w:t>; na 5ª.</w:t>
      </w:r>
      <w:r w:rsidR="00C67BD8">
        <w:rPr>
          <w:rFonts w:ascii="Times New Roman" w:eastAsia="Times New Roman" w:hAnsi="Times New Roman" w:cs="Times New Roman"/>
          <w:color w:val="000000"/>
          <w:sz w:val="24"/>
          <w:szCs w:val="24"/>
          <w:lang w:eastAsia="pt-BR"/>
        </w:rPr>
        <w:t xml:space="preserve"> seção faz-se análise do comé</w:t>
      </w:r>
      <w:r w:rsidR="00277241">
        <w:rPr>
          <w:rFonts w:ascii="Times New Roman" w:eastAsia="Times New Roman" w:hAnsi="Times New Roman" w:cs="Times New Roman"/>
          <w:color w:val="000000"/>
          <w:sz w:val="24"/>
          <w:szCs w:val="24"/>
          <w:lang w:eastAsia="pt-BR"/>
        </w:rPr>
        <w:t>rcio exterior por int</w:t>
      </w:r>
      <w:r w:rsidR="00C67BD8">
        <w:rPr>
          <w:rFonts w:ascii="Times New Roman" w:eastAsia="Times New Roman" w:hAnsi="Times New Roman" w:cs="Times New Roman"/>
          <w:color w:val="000000"/>
          <w:sz w:val="24"/>
          <w:szCs w:val="24"/>
          <w:lang w:eastAsia="pt-BR"/>
        </w:rPr>
        <w:t>ensidade tecnológica catarinense; e, por termino,</w:t>
      </w:r>
      <w:r w:rsidR="00277241">
        <w:rPr>
          <w:rFonts w:ascii="Times New Roman" w:eastAsia="Times New Roman" w:hAnsi="Times New Roman" w:cs="Times New Roman"/>
          <w:color w:val="000000"/>
          <w:sz w:val="24"/>
          <w:szCs w:val="24"/>
          <w:lang w:eastAsia="pt-BR"/>
        </w:rPr>
        <w:t xml:space="preserve"> na 6ª. seção elabora</w:t>
      </w:r>
      <w:r w:rsidR="00C67BD8">
        <w:rPr>
          <w:rFonts w:ascii="Times New Roman" w:eastAsia="Times New Roman" w:hAnsi="Times New Roman" w:cs="Times New Roman"/>
          <w:color w:val="000000"/>
          <w:sz w:val="24"/>
          <w:szCs w:val="24"/>
          <w:lang w:eastAsia="pt-BR"/>
        </w:rPr>
        <w:t>m</w:t>
      </w:r>
      <w:r w:rsidR="00277241">
        <w:rPr>
          <w:rFonts w:ascii="Times New Roman" w:eastAsia="Times New Roman" w:hAnsi="Times New Roman" w:cs="Times New Roman"/>
          <w:color w:val="000000"/>
          <w:sz w:val="24"/>
          <w:szCs w:val="24"/>
          <w:lang w:eastAsia="pt-BR"/>
        </w:rPr>
        <w:t>-se a</w:t>
      </w:r>
      <w:r w:rsidR="00C67BD8">
        <w:rPr>
          <w:rFonts w:ascii="Times New Roman" w:eastAsia="Times New Roman" w:hAnsi="Times New Roman" w:cs="Times New Roman"/>
          <w:color w:val="000000"/>
          <w:sz w:val="24"/>
          <w:szCs w:val="24"/>
          <w:lang w:eastAsia="pt-BR"/>
        </w:rPr>
        <w:t xml:space="preserve">s considerações finais. </w:t>
      </w:r>
      <w:r w:rsidR="00277241">
        <w:rPr>
          <w:rFonts w:ascii="Times New Roman" w:eastAsia="Times New Roman" w:hAnsi="Times New Roman" w:cs="Times New Roman"/>
          <w:color w:val="000000"/>
          <w:sz w:val="24"/>
          <w:szCs w:val="24"/>
          <w:lang w:eastAsia="pt-BR"/>
        </w:rPr>
        <w:t xml:space="preserve"> </w:t>
      </w:r>
      <w:r w:rsidRPr="003C3BDB">
        <w:rPr>
          <w:rFonts w:ascii="Times New Roman" w:eastAsia="Times New Roman" w:hAnsi="Times New Roman" w:cs="Times New Roman"/>
          <w:color w:val="000000"/>
          <w:sz w:val="24"/>
          <w:szCs w:val="24"/>
          <w:lang w:eastAsia="pt-BR"/>
        </w:rPr>
        <w:t xml:space="preserve"> </w:t>
      </w:r>
    </w:p>
    <w:p w14:paraId="37A47E49" w14:textId="5BA92C6E" w:rsidR="00B95A0A" w:rsidRDefault="00B95A0A" w:rsidP="00604C05">
      <w:pPr>
        <w:rPr>
          <w:rFonts w:ascii="Times New Roman" w:hAnsi="Times New Roman" w:cs="Times New Roman"/>
          <w:sz w:val="24"/>
          <w:szCs w:val="24"/>
        </w:rPr>
      </w:pPr>
    </w:p>
    <w:p w14:paraId="6037FFE2" w14:textId="1E32F38A" w:rsidR="00002236" w:rsidRDefault="00002236" w:rsidP="00002236">
      <w:pPr>
        <w:pStyle w:val="Ttulo2"/>
        <w:numPr>
          <w:ilvl w:val="0"/>
          <w:numId w:val="1"/>
        </w:numPr>
        <w:spacing w:before="0" w:line="240" w:lineRule="auto"/>
        <w:jc w:val="both"/>
        <w:rPr>
          <w:rFonts w:ascii="Times New Roman" w:hAnsi="Times New Roman" w:cs="Times New Roman"/>
          <w:color w:val="auto"/>
          <w:sz w:val="24"/>
          <w:szCs w:val="24"/>
        </w:rPr>
      </w:pPr>
      <w:bookmarkStart w:id="1" w:name="_Toc444061783"/>
      <w:r>
        <w:rPr>
          <w:rFonts w:ascii="Times New Roman" w:hAnsi="Times New Roman" w:cs="Times New Roman"/>
          <w:color w:val="auto"/>
          <w:sz w:val="24"/>
          <w:szCs w:val="24"/>
        </w:rPr>
        <w:t>Indústria,</w:t>
      </w:r>
      <w:bookmarkEnd w:id="1"/>
      <w:r>
        <w:rPr>
          <w:rFonts w:ascii="Times New Roman" w:hAnsi="Times New Roman" w:cs="Times New Roman"/>
          <w:color w:val="auto"/>
          <w:sz w:val="24"/>
          <w:szCs w:val="24"/>
        </w:rPr>
        <w:t xml:space="preserve"> inovação</w:t>
      </w:r>
      <w:r w:rsidR="00452AE0">
        <w:rPr>
          <w:rFonts w:ascii="Times New Roman" w:hAnsi="Times New Roman" w:cs="Times New Roman"/>
          <w:color w:val="auto"/>
          <w:sz w:val="24"/>
          <w:szCs w:val="24"/>
        </w:rPr>
        <w:t xml:space="preserve"> e desenvolvimento</w:t>
      </w:r>
    </w:p>
    <w:p w14:paraId="23B5C768" w14:textId="77777777" w:rsidR="00781769" w:rsidRPr="00781769" w:rsidRDefault="00781769" w:rsidP="00781769"/>
    <w:p w14:paraId="44EFCE3C" w14:textId="04A56DA0" w:rsidR="00B5504C" w:rsidRPr="00E7626D" w:rsidRDefault="00B5504C" w:rsidP="00B5504C">
      <w:pPr>
        <w:pStyle w:val="Ttulo2"/>
        <w:spacing w:before="0" w:line="240" w:lineRule="auto"/>
        <w:ind w:firstLine="709"/>
        <w:jc w:val="both"/>
        <w:rPr>
          <w:rFonts w:ascii="Times New Roman" w:hAnsi="Times New Roman" w:cs="Times New Roman"/>
          <w:color w:val="auto"/>
          <w:sz w:val="24"/>
          <w:szCs w:val="24"/>
        </w:rPr>
      </w:pPr>
    </w:p>
    <w:p w14:paraId="3EC7B594" w14:textId="77777777" w:rsidR="00B5504C" w:rsidRDefault="00B5504C" w:rsidP="00781769">
      <w:pPr>
        <w:spacing w:after="0" w:line="360" w:lineRule="auto"/>
        <w:ind w:firstLine="709"/>
        <w:jc w:val="both"/>
        <w:rPr>
          <w:rFonts w:ascii="Times New Roman" w:hAnsi="Times New Roman" w:cs="Times New Roman"/>
          <w:sz w:val="24"/>
          <w:szCs w:val="24"/>
        </w:rPr>
      </w:pPr>
      <w:r w:rsidRPr="00E7626D">
        <w:rPr>
          <w:rFonts w:ascii="Times New Roman" w:hAnsi="Times New Roman" w:cs="Times New Roman"/>
          <w:sz w:val="24"/>
          <w:szCs w:val="24"/>
        </w:rPr>
        <w:t xml:space="preserve">O desenvolvimento econômico </w:t>
      </w:r>
      <w:r>
        <w:rPr>
          <w:rFonts w:ascii="Times New Roman" w:hAnsi="Times New Roman" w:cs="Times New Roman"/>
          <w:sz w:val="24"/>
          <w:szCs w:val="24"/>
        </w:rPr>
        <w:t xml:space="preserve">implica na construção de condições econômicas, políticas e sociais que garantem melhores condições de vida e estado de bem-estar ás pessoas na sociedade. Trata-se de um processo construído de forma intencional, em que perfilam a estratégia, o planejamento, a intervenção pública e o envolvimento de diversos atores econômicos. Logo, o desenvolvimento percorre processo histórico, construído ao longo do tempo, cuja trajetória é marcada por transformações quantitativas e qualitativas. Em seu curso, vão se ocorrendo </w:t>
      </w:r>
      <w:r w:rsidRPr="00E7626D">
        <w:rPr>
          <w:rFonts w:ascii="Times New Roman" w:hAnsi="Times New Roman" w:cs="Times New Roman"/>
          <w:sz w:val="24"/>
          <w:szCs w:val="24"/>
        </w:rPr>
        <w:t>mudança</w:t>
      </w:r>
      <w:r>
        <w:rPr>
          <w:rFonts w:ascii="Times New Roman" w:hAnsi="Times New Roman" w:cs="Times New Roman"/>
          <w:sz w:val="24"/>
          <w:szCs w:val="24"/>
        </w:rPr>
        <w:t xml:space="preserve">s de estruturas e avanços em indicadores </w:t>
      </w:r>
      <w:r w:rsidRPr="00E7626D">
        <w:rPr>
          <w:rFonts w:ascii="Times New Roman" w:hAnsi="Times New Roman" w:cs="Times New Roman"/>
          <w:sz w:val="24"/>
          <w:szCs w:val="24"/>
        </w:rPr>
        <w:t>compreendendo necessariamente um fenômeno de longo prazo</w:t>
      </w:r>
      <w:r>
        <w:rPr>
          <w:rFonts w:ascii="Times New Roman" w:hAnsi="Times New Roman" w:cs="Times New Roman"/>
          <w:sz w:val="24"/>
          <w:szCs w:val="24"/>
        </w:rPr>
        <w:t xml:space="preserve">. </w:t>
      </w:r>
      <w:r w:rsidRPr="00E7626D">
        <w:rPr>
          <w:rFonts w:ascii="Times New Roman" w:hAnsi="Times New Roman" w:cs="Times New Roman"/>
          <w:sz w:val="24"/>
          <w:szCs w:val="24"/>
        </w:rPr>
        <w:t xml:space="preserve"> </w:t>
      </w:r>
    </w:p>
    <w:p w14:paraId="0E8DCA2E" w14:textId="77777777" w:rsidR="00B5504C" w:rsidRPr="00E7626D" w:rsidRDefault="00B5504C"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contexto, o </w:t>
      </w:r>
      <w:r w:rsidRPr="00E7626D">
        <w:rPr>
          <w:rFonts w:ascii="Times New Roman" w:hAnsi="Times New Roman" w:cs="Times New Roman"/>
          <w:sz w:val="24"/>
          <w:szCs w:val="24"/>
        </w:rPr>
        <w:t>setor industrial desempenha papel ímpar no processo de criação de condições para o desenvolvimento. Justifica</w:t>
      </w:r>
      <w:r>
        <w:rPr>
          <w:rFonts w:ascii="Times New Roman" w:hAnsi="Times New Roman" w:cs="Times New Roman"/>
          <w:sz w:val="24"/>
          <w:szCs w:val="24"/>
        </w:rPr>
        <w:t xml:space="preserve">-se tal relevância pela constatação de que </w:t>
      </w:r>
      <w:r w:rsidRPr="00E7626D">
        <w:rPr>
          <w:rFonts w:ascii="Times New Roman" w:hAnsi="Times New Roman" w:cs="Times New Roman"/>
          <w:sz w:val="24"/>
          <w:szCs w:val="24"/>
        </w:rPr>
        <w:t xml:space="preserve">praticamente todos os países que lograram estágios mais avançados de desenvolvimento </w:t>
      </w:r>
      <w:r w:rsidRPr="00E7626D">
        <w:rPr>
          <w:rFonts w:ascii="Times New Roman" w:hAnsi="Times New Roman" w:cs="Times New Roman"/>
          <w:sz w:val="24"/>
          <w:szCs w:val="24"/>
        </w:rPr>
        <w:lastRenderedPageBreak/>
        <w:t>tiveram na indústria, o meio principal para alcançar esse objetivo (PESSOTI, 2009).</w:t>
      </w:r>
      <w:r>
        <w:rPr>
          <w:rFonts w:ascii="Times New Roman" w:hAnsi="Times New Roman" w:cs="Times New Roman"/>
          <w:sz w:val="24"/>
          <w:szCs w:val="24"/>
        </w:rPr>
        <w:t xml:space="preserve"> A indústria cumpri funções essenciais que impulsionam as condições econômicas na criação da riqueza de um país, como também contribui para ocorrências positivas no campo social, gerando emprego e renda que possibilitam melhorias no acesso a alimentação, saúde, educação, lazer, etc. Além de contribuir para a estabilidade política por, indiretamente, gerar condições estáveis para melhor funcionamento da estrutura institucional e organizacional na sociedade.  </w:t>
      </w:r>
    </w:p>
    <w:p w14:paraId="70921143" w14:textId="77777777" w:rsidR="00B5504C" w:rsidRDefault="00B5504C"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Numa linha estritamente econômica, destaque, inicialmente, para o artigo clássico de Kaldor (1966) que aponta a indústria como motor do crescimento econômico. Esse</w:t>
      </w:r>
      <w:r w:rsidRPr="00E7626D">
        <w:rPr>
          <w:rFonts w:ascii="Times New Roman" w:hAnsi="Times New Roman" w:cs="Times New Roman"/>
          <w:sz w:val="24"/>
          <w:szCs w:val="24"/>
        </w:rPr>
        <w:t xml:space="preserve"> </w:t>
      </w:r>
      <w:r>
        <w:rPr>
          <w:rFonts w:ascii="Times New Roman" w:hAnsi="Times New Roman" w:cs="Times New Roman"/>
          <w:sz w:val="24"/>
          <w:szCs w:val="24"/>
        </w:rPr>
        <w:t xml:space="preserve">artigo aponta a existência de quatro características marcantes de contribuição do </w:t>
      </w:r>
      <w:r w:rsidRPr="00E7626D">
        <w:rPr>
          <w:rFonts w:ascii="Times New Roman" w:hAnsi="Times New Roman" w:cs="Times New Roman"/>
          <w:sz w:val="24"/>
          <w:szCs w:val="24"/>
        </w:rPr>
        <w:t xml:space="preserve">setor industrial para o desenvolvimento econômico. </w:t>
      </w:r>
      <w:r>
        <w:rPr>
          <w:rFonts w:ascii="Times New Roman" w:hAnsi="Times New Roman" w:cs="Times New Roman"/>
          <w:sz w:val="24"/>
          <w:szCs w:val="24"/>
        </w:rPr>
        <w:t xml:space="preserve">Como primeira característica, afirma que existe </w:t>
      </w:r>
      <w:r w:rsidRPr="00E7626D">
        <w:rPr>
          <w:rFonts w:ascii="Times New Roman" w:hAnsi="Times New Roman" w:cs="Times New Roman"/>
          <w:sz w:val="24"/>
          <w:szCs w:val="24"/>
        </w:rPr>
        <w:t xml:space="preserve">uma relação positiva entre o crescimento da indústria e o </w:t>
      </w:r>
      <w:r>
        <w:rPr>
          <w:rFonts w:ascii="Times New Roman" w:hAnsi="Times New Roman" w:cs="Times New Roman"/>
          <w:sz w:val="24"/>
          <w:szCs w:val="24"/>
        </w:rPr>
        <w:t xml:space="preserve">crescimento do produto agregado. Nessa perspectiva, observa que </w:t>
      </w:r>
      <w:r w:rsidRPr="00E7626D">
        <w:rPr>
          <w:rFonts w:ascii="Times New Roman" w:hAnsi="Times New Roman" w:cs="Times New Roman"/>
          <w:sz w:val="24"/>
          <w:szCs w:val="24"/>
        </w:rPr>
        <w:t>quanto maior a taxa de crescimento da indústria, maior será a taxa de crescimento do produto nacional</w:t>
      </w:r>
      <w:r>
        <w:rPr>
          <w:rFonts w:ascii="Times New Roman" w:hAnsi="Times New Roman" w:cs="Times New Roman"/>
          <w:sz w:val="24"/>
          <w:szCs w:val="24"/>
        </w:rPr>
        <w:t xml:space="preserve">. Possui capacidade de promover efeitos para frente e para trás da posição que ocupa, promovendo ganhos produtivos e estimulando processos inovativos. </w:t>
      </w:r>
    </w:p>
    <w:p w14:paraId="2EAD2D47" w14:textId="77777777" w:rsidR="00B5504C" w:rsidRDefault="00B5504C"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Destaca Kaldor (1966), como segundo argumento em favor da contribuição da indústria para o desenvolvimento, a existência de </w:t>
      </w:r>
      <w:r w:rsidRPr="00E7626D">
        <w:rPr>
          <w:rFonts w:ascii="Times New Roman" w:hAnsi="Times New Roman" w:cs="Times New Roman"/>
          <w:sz w:val="24"/>
          <w:szCs w:val="24"/>
        </w:rPr>
        <w:t>uma relação positiva entre a taxa de crescimento da produtividade na indústria e o cr</w:t>
      </w:r>
      <w:r>
        <w:rPr>
          <w:rFonts w:ascii="Times New Roman" w:hAnsi="Times New Roman" w:cs="Times New Roman"/>
          <w:sz w:val="24"/>
          <w:szCs w:val="24"/>
        </w:rPr>
        <w:t>escimento do produto industrial. Ressalta que tal causalidade não ocorre em todos os setores. Destaca que a e</w:t>
      </w:r>
      <w:r w:rsidRPr="00E7626D">
        <w:rPr>
          <w:rFonts w:ascii="Times New Roman" w:hAnsi="Times New Roman" w:cs="Times New Roman"/>
          <w:sz w:val="24"/>
          <w:szCs w:val="24"/>
        </w:rPr>
        <w:t>levação da demanda induz o aumento da produção</w:t>
      </w:r>
      <w:r>
        <w:rPr>
          <w:rFonts w:ascii="Times New Roman" w:hAnsi="Times New Roman" w:cs="Times New Roman"/>
          <w:sz w:val="24"/>
          <w:szCs w:val="24"/>
        </w:rPr>
        <w:t xml:space="preserve"> e</w:t>
      </w:r>
      <w:r w:rsidRPr="00E7626D">
        <w:rPr>
          <w:rFonts w:ascii="Times New Roman" w:hAnsi="Times New Roman" w:cs="Times New Roman"/>
          <w:sz w:val="24"/>
          <w:szCs w:val="24"/>
        </w:rPr>
        <w:t xml:space="preserve"> que leva necessariamente ao aumento da produtividade, </w:t>
      </w:r>
      <w:r>
        <w:rPr>
          <w:rFonts w:ascii="Times New Roman" w:hAnsi="Times New Roman" w:cs="Times New Roman"/>
          <w:sz w:val="24"/>
          <w:szCs w:val="24"/>
        </w:rPr>
        <w:t xml:space="preserve">ocorrendo em </w:t>
      </w:r>
      <w:r w:rsidRPr="00E7626D">
        <w:rPr>
          <w:rFonts w:ascii="Times New Roman" w:hAnsi="Times New Roman" w:cs="Times New Roman"/>
          <w:sz w:val="24"/>
          <w:szCs w:val="24"/>
        </w:rPr>
        <w:t xml:space="preserve">setores com economias de escala dinâmica. </w:t>
      </w:r>
      <w:r>
        <w:rPr>
          <w:rFonts w:ascii="Times New Roman" w:hAnsi="Times New Roman" w:cs="Times New Roman"/>
          <w:sz w:val="24"/>
          <w:szCs w:val="24"/>
        </w:rPr>
        <w:t xml:space="preserve">Nesse caso, a demanda por mão de obra é atendida pelos setores em que essa encontra-se subutilizada ou por setores que possuem desemprego involuntário.  </w:t>
      </w:r>
    </w:p>
    <w:p w14:paraId="44AED309" w14:textId="77777777" w:rsidR="00B5504C" w:rsidRDefault="00B5504C"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referência a terceira característica impulsionadora do desenvolvimento, constata-se que </w:t>
      </w:r>
      <w:r w:rsidRPr="00E7626D">
        <w:rPr>
          <w:rFonts w:ascii="Times New Roman" w:hAnsi="Times New Roman" w:cs="Times New Roman"/>
          <w:sz w:val="24"/>
          <w:szCs w:val="24"/>
        </w:rPr>
        <w:t>quanto maior a taxa de crescimento das exportações, maior será o cres</w:t>
      </w:r>
      <w:r>
        <w:rPr>
          <w:rFonts w:ascii="Times New Roman" w:hAnsi="Times New Roman" w:cs="Times New Roman"/>
          <w:sz w:val="24"/>
          <w:szCs w:val="24"/>
        </w:rPr>
        <w:t>cimento do produto, dado que ess</w:t>
      </w:r>
      <w:r w:rsidRPr="00E7626D">
        <w:rPr>
          <w:rFonts w:ascii="Times New Roman" w:hAnsi="Times New Roman" w:cs="Times New Roman"/>
          <w:sz w:val="24"/>
          <w:szCs w:val="24"/>
        </w:rPr>
        <w:t>e gera condições p</w:t>
      </w:r>
      <w:r>
        <w:rPr>
          <w:rFonts w:ascii="Times New Roman" w:hAnsi="Times New Roman" w:cs="Times New Roman"/>
          <w:sz w:val="24"/>
          <w:szCs w:val="24"/>
        </w:rPr>
        <w:t xml:space="preserve">ara alcançar o mercado externo (KALDOR, 1966). Tal traço característico </w:t>
      </w:r>
      <w:r w:rsidRPr="00E7626D">
        <w:rPr>
          <w:rFonts w:ascii="Times New Roman" w:hAnsi="Times New Roman" w:cs="Times New Roman"/>
          <w:sz w:val="24"/>
          <w:szCs w:val="24"/>
        </w:rPr>
        <w:t xml:space="preserve">aproxima-se do modelo </w:t>
      </w:r>
      <w:r w:rsidRPr="00E7626D">
        <w:rPr>
          <w:rFonts w:ascii="Times New Roman" w:hAnsi="Times New Roman" w:cs="Times New Roman"/>
          <w:i/>
          <w:sz w:val="24"/>
          <w:szCs w:val="24"/>
        </w:rPr>
        <w:t xml:space="preserve">export-led growth, </w:t>
      </w:r>
      <w:r>
        <w:rPr>
          <w:rFonts w:ascii="Times New Roman" w:hAnsi="Times New Roman" w:cs="Times New Roman"/>
          <w:sz w:val="24"/>
          <w:szCs w:val="24"/>
        </w:rPr>
        <w:t>cujo afirmação está no crescimento da economia</w:t>
      </w:r>
      <w:r w:rsidRPr="00E7626D">
        <w:rPr>
          <w:rFonts w:ascii="Times New Roman" w:hAnsi="Times New Roman" w:cs="Times New Roman"/>
          <w:sz w:val="24"/>
          <w:szCs w:val="24"/>
        </w:rPr>
        <w:t xml:space="preserve"> liderado pelas exportações, como componente autô</w:t>
      </w:r>
      <w:r>
        <w:rPr>
          <w:rFonts w:ascii="Times New Roman" w:hAnsi="Times New Roman" w:cs="Times New Roman"/>
          <w:sz w:val="24"/>
          <w:szCs w:val="24"/>
        </w:rPr>
        <w:t>nomo da demanda (</w:t>
      </w:r>
      <w:r w:rsidRPr="00E7626D">
        <w:rPr>
          <w:rFonts w:ascii="Times New Roman" w:hAnsi="Times New Roman" w:cs="Times New Roman"/>
          <w:sz w:val="24"/>
          <w:szCs w:val="24"/>
        </w:rPr>
        <w:t xml:space="preserve">LAMONICA; FEIJÓ, 2010). </w:t>
      </w:r>
      <w:r>
        <w:rPr>
          <w:rFonts w:ascii="Times New Roman" w:hAnsi="Times New Roman" w:cs="Times New Roman"/>
          <w:sz w:val="24"/>
          <w:szCs w:val="24"/>
        </w:rPr>
        <w:t>Ressalta-se que a demanda por exportações é um componente da demanda autônoma numa economia aberta. É gerada fora do sistema econômico doméstico. Posiciona-se, diferentemente do consumo e investimento que dependem, em grande monta, do crescimento do produto interno.</w:t>
      </w:r>
    </w:p>
    <w:p w14:paraId="01E2DCBC" w14:textId="77777777" w:rsidR="00B5504C" w:rsidRDefault="00B5504C"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quarta característica da indústria em favor do desenvolvimento refere-se ao </w:t>
      </w:r>
      <w:r w:rsidRPr="00E7626D">
        <w:rPr>
          <w:rFonts w:ascii="Times New Roman" w:hAnsi="Times New Roman" w:cs="Times New Roman"/>
          <w:sz w:val="24"/>
          <w:szCs w:val="24"/>
        </w:rPr>
        <w:t xml:space="preserve">crescimento da economia no longo prazo </w:t>
      </w:r>
      <w:r>
        <w:rPr>
          <w:rFonts w:ascii="Times New Roman" w:hAnsi="Times New Roman" w:cs="Times New Roman"/>
          <w:sz w:val="24"/>
          <w:szCs w:val="24"/>
        </w:rPr>
        <w:t xml:space="preserve">ser restringido pelas condições de equilíbrio do balanço de pagamentos. Nessa via, tal restrição não ocorre pelo lado da </w:t>
      </w:r>
      <w:r w:rsidRPr="00E7626D">
        <w:rPr>
          <w:rFonts w:ascii="Times New Roman" w:hAnsi="Times New Roman" w:cs="Times New Roman"/>
          <w:sz w:val="24"/>
          <w:szCs w:val="24"/>
        </w:rPr>
        <w:t>oferta, mas pela demanda</w:t>
      </w:r>
      <w:r>
        <w:rPr>
          <w:rFonts w:ascii="Times New Roman" w:hAnsi="Times New Roman" w:cs="Times New Roman"/>
          <w:sz w:val="24"/>
          <w:szCs w:val="24"/>
        </w:rPr>
        <w:t xml:space="preserve">. Numa economia aberta, a </w:t>
      </w:r>
      <w:r w:rsidRPr="00E7626D">
        <w:rPr>
          <w:rFonts w:ascii="Times New Roman" w:hAnsi="Times New Roman" w:cs="Times New Roman"/>
          <w:sz w:val="24"/>
          <w:szCs w:val="24"/>
        </w:rPr>
        <w:t xml:space="preserve">restrição da demanda ao crescimento do produto </w:t>
      </w:r>
      <w:r>
        <w:rPr>
          <w:rFonts w:ascii="Times New Roman" w:hAnsi="Times New Roman" w:cs="Times New Roman"/>
          <w:sz w:val="24"/>
          <w:szCs w:val="24"/>
        </w:rPr>
        <w:t xml:space="preserve">pode </w:t>
      </w:r>
      <w:r>
        <w:rPr>
          <w:rFonts w:ascii="Times New Roman" w:hAnsi="Times New Roman" w:cs="Times New Roman"/>
          <w:sz w:val="24"/>
          <w:szCs w:val="24"/>
        </w:rPr>
        <w:lastRenderedPageBreak/>
        <w:t xml:space="preserve">ocorrer pelas condições do </w:t>
      </w:r>
      <w:r w:rsidRPr="00E7626D">
        <w:rPr>
          <w:rFonts w:ascii="Times New Roman" w:hAnsi="Times New Roman" w:cs="Times New Roman"/>
          <w:sz w:val="24"/>
          <w:szCs w:val="24"/>
        </w:rPr>
        <w:t>balanço de pagamentos, na medida em que este reflete a composição setorial da economia e as elasticidades renda da demanda por exportações</w:t>
      </w:r>
      <w:r>
        <w:rPr>
          <w:rFonts w:ascii="Times New Roman" w:hAnsi="Times New Roman" w:cs="Times New Roman"/>
          <w:sz w:val="24"/>
          <w:szCs w:val="24"/>
        </w:rPr>
        <w:t xml:space="preserve"> (KALDOR, 2016</w:t>
      </w:r>
      <w:r w:rsidRPr="00E7626D">
        <w:rPr>
          <w:rFonts w:ascii="Times New Roman" w:hAnsi="Times New Roman" w:cs="Times New Roman"/>
          <w:sz w:val="24"/>
          <w:szCs w:val="24"/>
        </w:rPr>
        <w:t>; LAMONICA; FEIJÓ, 2010</w:t>
      </w:r>
      <w:r>
        <w:rPr>
          <w:rFonts w:ascii="Times New Roman" w:hAnsi="Times New Roman" w:cs="Times New Roman"/>
          <w:sz w:val="24"/>
          <w:szCs w:val="24"/>
        </w:rPr>
        <w:t>)</w:t>
      </w:r>
      <w:r w:rsidRPr="00E7626D">
        <w:rPr>
          <w:rFonts w:ascii="Times New Roman" w:hAnsi="Times New Roman" w:cs="Times New Roman"/>
          <w:sz w:val="24"/>
          <w:szCs w:val="24"/>
        </w:rPr>
        <w:t>.</w:t>
      </w:r>
      <w:r>
        <w:rPr>
          <w:rFonts w:ascii="Times New Roman" w:hAnsi="Times New Roman" w:cs="Times New Roman"/>
          <w:sz w:val="24"/>
          <w:szCs w:val="24"/>
        </w:rPr>
        <w:t xml:space="preserve"> </w:t>
      </w:r>
    </w:p>
    <w:p w14:paraId="773AD150" w14:textId="77777777" w:rsidR="00B5504C" w:rsidRPr="000A175C" w:rsidRDefault="00B5504C"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outros termos, as restrições ao balanço de pagamentos provocam implicação no crescimento econômico com impactos na produção doméstica setorial e na geração de renda. Quando as exportações são elevadas, geram-se divisas e efeitos virtuosos internamente, por consequência, o país não precisa contrair a demanda agregada para cobrir gastos com importações, bem como não fica dependente de fluxos de capitais externos. </w:t>
      </w:r>
      <w:r>
        <w:rPr>
          <w:rFonts w:ascii="Times New Roman" w:eastAsia="Times New Roman" w:hAnsi="Times New Roman" w:cs="Times New Roman"/>
          <w:color w:val="000000"/>
          <w:sz w:val="24"/>
          <w:szCs w:val="24"/>
          <w:lang w:eastAsia="pt-BR"/>
        </w:rPr>
        <w:t xml:space="preserve">Outros fatores impulsionares do desenvolvimento podem ser destacados a partir da existência de um setor industrial. Os investimentos voltados em aumentar a capacidade produtiva no setor industrial geram efeitos dinâmicos no segmento específico e em cadeias produtivas relacionadas. </w:t>
      </w:r>
    </w:p>
    <w:p w14:paraId="22846C53" w14:textId="3B97A45D" w:rsidR="00B5504C" w:rsidRDefault="00B5504C" w:rsidP="00781769">
      <w:pPr>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As decisões de investir podem levar outros subsetores industriais em atividades relacionadas, a tomarem decisões de investimentos adicionais. Esses investimentos adicionais não existiriam sem que o primeiro e maior ocorresse. Logo, investimentos industriais constituem força motriz do crescimento por aumentam a capacidade produtiva e promoverem mudança estrutural (UNIDO, 2020). Considerando um paradigma tecno-produtiva que requer constante transformação da base produtiva industrial, investimentos industriais são realizados não só para aumentar a capacidade produtiva, mas também para elevar a capacidade tecnológica. Os investimentos industriais voltados em aumentar a capacidade produtiva podem resultar em ganhos de eficiência produtiva e melhor alocação dos meios de produção – matérias – primas e insumos. Assim como, os investimentos destinados a elevar a capacidade tecnológica resultam em introdução de máquinas e equipamentos portadoras de novas tecnologias geradoras de produtos até então não existentes, e de aumento da produtividade dos já fabricados. </w:t>
      </w:r>
    </w:p>
    <w:p w14:paraId="4D3C6DA4" w14:textId="77777777" w:rsidR="00B5504C" w:rsidRDefault="00B5504C" w:rsidP="00781769">
      <w:pPr>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indústria como </w:t>
      </w:r>
      <w:r w:rsidRPr="0013006C">
        <w:rPr>
          <w:rFonts w:ascii="Times New Roman" w:eastAsia="Times New Roman" w:hAnsi="Times New Roman" w:cs="Times New Roman"/>
          <w:i/>
          <w:color w:val="000000"/>
          <w:sz w:val="24"/>
          <w:szCs w:val="24"/>
          <w:lang w:eastAsia="pt-BR"/>
        </w:rPr>
        <w:t>locus</w:t>
      </w:r>
      <w:r>
        <w:rPr>
          <w:rFonts w:ascii="Times New Roman" w:eastAsia="Times New Roman" w:hAnsi="Times New Roman" w:cs="Times New Roman"/>
          <w:color w:val="000000"/>
          <w:sz w:val="24"/>
          <w:szCs w:val="24"/>
          <w:lang w:eastAsia="pt-BR"/>
        </w:rPr>
        <w:t xml:space="preserve"> da inovação constitui outro atributo característico desse segmento na contribuição do desenvolvimento. A introdução de novo produto, de novo processo e de nova organização encontra na indústria fonte geradora. Mecanismos de aprendizado gerados a partir da indústria criam condições para ocorrência de inovações em atividades nos laboratórios de pesquisa e desenvolvimento (P&amp;D); no sistema de produção; no uso do produto; e nas interações com fornecedores, universidades, institutos de pesquisa.  A partir dessas ocorrências, acumulam-se conhecimento e desenvolvem-se novas habilidades que resultam em capacidades promovedoras de inovações. Inovações essas que não ficam exclusivamente no setor industrial, mas geram a partir desse </w:t>
      </w:r>
      <w:r w:rsidRPr="007D5551">
        <w:rPr>
          <w:rFonts w:ascii="Times New Roman" w:eastAsia="Times New Roman" w:hAnsi="Times New Roman" w:cs="Times New Roman"/>
          <w:i/>
          <w:color w:val="000000"/>
          <w:sz w:val="24"/>
          <w:szCs w:val="24"/>
          <w:lang w:eastAsia="pt-BR"/>
        </w:rPr>
        <w:t>spillover</w:t>
      </w:r>
      <w:r>
        <w:rPr>
          <w:rFonts w:ascii="Times New Roman" w:eastAsia="Times New Roman" w:hAnsi="Times New Roman" w:cs="Times New Roman"/>
          <w:color w:val="000000"/>
          <w:sz w:val="24"/>
          <w:szCs w:val="24"/>
          <w:lang w:eastAsia="pt-BR"/>
        </w:rPr>
        <w:t xml:space="preserve"> para outros setores – agricultura, comércio e serviços (IEDI, 2016). </w:t>
      </w:r>
    </w:p>
    <w:p w14:paraId="2246FCFA" w14:textId="77777777" w:rsidR="00B5504C" w:rsidRDefault="00B5504C" w:rsidP="00781769">
      <w:pPr>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Nesse contexto, salienta-se que a estrutura industrial possui atividades com distintos níveis - baixa, média baixa, média alta e alta – de intensidade tecnológica. O ambiente para desenvolvimento de processos inovativos nas atividades produtivas têxteis e confecções, madeira e alimentos (baixa) é diferente das que ocorrem no segmento de borracha, plásticos e metálicos (média-baixa) e de máquinas, equipamentos e químicos (média-alta). Assim como, </w:t>
      </w:r>
      <w:r w:rsidRPr="009D15AA">
        <w:rPr>
          <w:rFonts w:ascii="Times New Roman" w:eastAsia="Times New Roman" w:hAnsi="Times New Roman" w:cs="Times New Roman"/>
          <w:color w:val="000000"/>
          <w:sz w:val="24"/>
          <w:szCs w:val="24"/>
          <w:lang w:eastAsia="pt-BR"/>
        </w:rPr>
        <w:t>esses são dist</w:t>
      </w:r>
      <w:r>
        <w:rPr>
          <w:rFonts w:ascii="Times New Roman" w:eastAsia="Times New Roman" w:hAnsi="Times New Roman" w:cs="Times New Roman"/>
          <w:color w:val="000000"/>
          <w:sz w:val="24"/>
          <w:szCs w:val="24"/>
          <w:lang w:eastAsia="pt-BR"/>
        </w:rPr>
        <w:t>intos das atividades voltadas à</w:t>
      </w:r>
      <w:r w:rsidRPr="009D15AA">
        <w:rPr>
          <w:rFonts w:ascii="Times New Roman" w:eastAsia="Times New Roman" w:hAnsi="Times New Roman" w:cs="Times New Roman"/>
          <w:color w:val="000000"/>
          <w:sz w:val="24"/>
          <w:szCs w:val="24"/>
          <w:lang w:eastAsia="pt-BR"/>
        </w:rPr>
        <w:t xml:space="preserve"> informática, aeronáutica, aeroespacial e farmacêuticos (alta). </w:t>
      </w:r>
    </w:p>
    <w:p w14:paraId="1863D8D7" w14:textId="4057758C" w:rsidR="00B5504C" w:rsidRPr="009E7B6D" w:rsidRDefault="00B5504C" w:rsidP="00781769">
      <w:pPr>
        <w:spacing w:after="0" w:line="360" w:lineRule="auto"/>
        <w:ind w:firstLine="708"/>
        <w:jc w:val="both"/>
        <w:rPr>
          <w:rFonts w:ascii="Times New Roman" w:hAnsi="Times New Roman" w:cs="Times New Roman"/>
          <w:sz w:val="24"/>
          <w:szCs w:val="24"/>
        </w:rPr>
      </w:pPr>
      <w:r w:rsidRPr="009D15AA">
        <w:rPr>
          <w:rFonts w:ascii="Times New Roman" w:eastAsia="Times New Roman" w:hAnsi="Times New Roman" w:cs="Times New Roman"/>
          <w:color w:val="000000"/>
          <w:sz w:val="24"/>
          <w:szCs w:val="24"/>
          <w:lang w:eastAsia="pt-BR"/>
        </w:rPr>
        <w:t xml:space="preserve">Como aponta OCDE (2011) </w:t>
      </w:r>
      <w:r>
        <w:rPr>
          <w:rFonts w:ascii="Times New Roman" w:eastAsia="Times New Roman" w:hAnsi="Times New Roman" w:cs="Times New Roman"/>
          <w:color w:val="000000"/>
          <w:sz w:val="24"/>
          <w:szCs w:val="24"/>
          <w:lang w:eastAsia="pt-BR"/>
        </w:rPr>
        <w:t>tais atividades industriais apresentam-se distinta</w:t>
      </w:r>
      <w:r w:rsidRPr="009D15AA">
        <w:rPr>
          <w:rFonts w:ascii="Times New Roman" w:eastAsia="Times New Roman" w:hAnsi="Times New Roman" w:cs="Times New Roman"/>
          <w:color w:val="000000"/>
          <w:sz w:val="24"/>
          <w:szCs w:val="24"/>
          <w:lang w:eastAsia="pt-BR"/>
        </w:rPr>
        <w:t xml:space="preserve">s em: 1º) </w:t>
      </w:r>
      <w:r w:rsidRPr="009D15AA">
        <w:rPr>
          <w:rFonts w:ascii="Times New Roman" w:hAnsi="Times New Roman" w:cs="Times New Roman"/>
          <w:sz w:val="24"/>
          <w:szCs w:val="24"/>
        </w:rPr>
        <w:t>gastos em P&amp;D divididos por valor agregado do setor; e 2) gastos em pesquisa e desenvolvimento (P&amp;D) divididos pela produção do setor.</w:t>
      </w:r>
      <w:r>
        <w:rPr>
          <w:rFonts w:ascii="Times New Roman" w:hAnsi="Times New Roman" w:cs="Times New Roman"/>
          <w:sz w:val="24"/>
          <w:szCs w:val="24"/>
        </w:rPr>
        <w:t xml:space="preserve"> Além disso, as formas de manifestação de aprendizado e os fluxos de </w:t>
      </w:r>
      <w:r w:rsidRPr="009E7B6D">
        <w:rPr>
          <w:rFonts w:ascii="Times New Roman" w:hAnsi="Times New Roman" w:cs="Times New Roman"/>
          <w:sz w:val="24"/>
          <w:szCs w:val="24"/>
        </w:rPr>
        <w:t>conhecimento inter e entre setores são diferentes, gerando, portanto, padrões distintos de inovações</w:t>
      </w:r>
      <w:r w:rsidR="00E83B9A" w:rsidRPr="009E7B6D">
        <w:rPr>
          <w:rFonts w:ascii="Times New Roman" w:hAnsi="Times New Roman" w:cs="Times New Roman"/>
          <w:sz w:val="24"/>
          <w:szCs w:val="24"/>
        </w:rPr>
        <w:t xml:space="preserve">. Nessa linha, considera-se que </w:t>
      </w:r>
      <w:r w:rsidR="0039508E" w:rsidRPr="009E7B6D">
        <w:rPr>
          <w:rFonts w:ascii="Times New Roman" w:hAnsi="Times New Roman" w:cs="Times New Roman"/>
          <w:sz w:val="24"/>
          <w:szCs w:val="24"/>
        </w:rPr>
        <w:t xml:space="preserve">nos </w:t>
      </w:r>
      <w:r w:rsidR="00E83B9A" w:rsidRPr="009E7B6D">
        <w:rPr>
          <w:rFonts w:ascii="Times New Roman" w:hAnsi="Times New Roman" w:cs="Times New Roman"/>
          <w:sz w:val="24"/>
          <w:szCs w:val="24"/>
        </w:rPr>
        <w:t>segmentos industriais de baixa intensidade tecnológ</w:t>
      </w:r>
      <w:r w:rsidR="009E7B6D" w:rsidRPr="009E7B6D">
        <w:rPr>
          <w:rFonts w:ascii="Times New Roman" w:hAnsi="Times New Roman" w:cs="Times New Roman"/>
          <w:sz w:val="24"/>
          <w:szCs w:val="24"/>
        </w:rPr>
        <w:t>ica</w:t>
      </w:r>
      <w:r w:rsidR="0039508E" w:rsidRPr="009E7B6D">
        <w:rPr>
          <w:rFonts w:ascii="Times New Roman" w:hAnsi="Times New Roman" w:cs="Times New Roman"/>
          <w:sz w:val="24"/>
          <w:szCs w:val="24"/>
        </w:rPr>
        <w:t xml:space="preserve"> os gastos em P&amp;D são reduzidos</w:t>
      </w:r>
      <w:r w:rsidR="00E83B9A" w:rsidRPr="009E7B6D">
        <w:rPr>
          <w:rFonts w:ascii="Times New Roman" w:hAnsi="Times New Roman" w:cs="Times New Roman"/>
          <w:sz w:val="24"/>
          <w:szCs w:val="24"/>
        </w:rPr>
        <w:t>, tem-se facilidade d</w:t>
      </w:r>
      <w:r w:rsidR="0039508E" w:rsidRPr="009E7B6D">
        <w:rPr>
          <w:rFonts w:ascii="Times New Roman" w:hAnsi="Times New Roman" w:cs="Times New Roman"/>
          <w:sz w:val="24"/>
          <w:szCs w:val="24"/>
        </w:rPr>
        <w:t>e acesso à tecnologia,</w:t>
      </w:r>
      <w:r w:rsidR="00E83B9A" w:rsidRPr="009E7B6D">
        <w:rPr>
          <w:rFonts w:ascii="Times New Roman" w:hAnsi="Times New Roman" w:cs="Times New Roman"/>
          <w:sz w:val="24"/>
          <w:szCs w:val="24"/>
        </w:rPr>
        <w:t xml:space="preserve"> exi</w:t>
      </w:r>
      <w:r w:rsidR="009E7B6D" w:rsidRPr="009E7B6D">
        <w:rPr>
          <w:rFonts w:ascii="Times New Roman" w:hAnsi="Times New Roman" w:cs="Times New Roman"/>
          <w:sz w:val="24"/>
          <w:szCs w:val="24"/>
        </w:rPr>
        <w:t>ste ampla difusão tecnológica,</w:t>
      </w:r>
      <w:r w:rsidR="00E83B9A" w:rsidRPr="009E7B6D">
        <w:rPr>
          <w:rFonts w:ascii="Times New Roman" w:hAnsi="Times New Roman" w:cs="Times New Roman"/>
          <w:sz w:val="24"/>
          <w:szCs w:val="24"/>
        </w:rPr>
        <w:t xml:space="preserve"> c</w:t>
      </w:r>
      <w:r w:rsidR="009E7B6D" w:rsidRPr="009E7B6D">
        <w:rPr>
          <w:rFonts w:ascii="Times New Roman" w:hAnsi="Times New Roman" w:cs="Times New Roman"/>
          <w:sz w:val="24"/>
          <w:szCs w:val="24"/>
        </w:rPr>
        <w:t xml:space="preserve">onhecimento não é complexo e as </w:t>
      </w:r>
      <w:r w:rsidR="00E83B9A" w:rsidRPr="009E7B6D">
        <w:rPr>
          <w:rFonts w:ascii="Times New Roman" w:hAnsi="Times New Roman" w:cs="Times New Roman"/>
          <w:sz w:val="24"/>
          <w:szCs w:val="24"/>
        </w:rPr>
        <w:t>inovações são</w:t>
      </w:r>
      <w:r w:rsidR="0039508E" w:rsidRPr="009E7B6D">
        <w:rPr>
          <w:rFonts w:ascii="Times New Roman" w:hAnsi="Times New Roman" w:cs="Times New Roman"/>
          <w:sz w:val="24"/>
          <w:szCs w:val="24"/>
        </w:rPr>
        <w:t xml:space="preserve"> incrementais. Diferentemente nos segmentos industr</w:t>
      </w:r>
      <w:r w:rsidR="009E7B6D" w:rsidRPr="009E7B6D">
        <w:rPr>
          <w:rFonts w:ascii="Times New Roman" w:hAnsi="Times New Roman" w:cs="Times New Roman"/>
          <w:sz w:val="24"/>
          <w:szCs w:val="24"/>
        </w:rPr>
        <w:t>i</w:t>
      </w:r>
      <w:r w:rsidR="0039508E" w:rsidRPr="009E7B6D">
        <w:rPr>
          <w:rFonts w:ascii="Times New Roman" w:hAnsi="Times New Roman" w:cs="Times New Roman"/>
          <w:sz w:val="24"/>
          <w:szCs w:val="24"/>
        </w:rPr>
        <w:t xml:space="preserve">ais de alta intensidade tecnológica, os gastos em P&amp;D são elevados, existem barreiras à entrada tecnológica, a difusão tecnológica é restrita, conhecimento é complexo e as possibilidade de </w:t>
      </w:r>
      <w:r w:rsidR="009E7B6D" w:rsidRPr="009E7B6D">
        <w:rPr>
          <w:rFonts w:ascii="Times New Roman" w:hAnsi="Times New Roman" w:cs="Times New Roman"/>
          <w:sz w:val="24"/>
          <w:szCs w:val="24"/>
        </w:rPr>
        <w:t xml:space="preserve">ocorrência de </w:t>
      </w:r>
      <w:r w:rsidR="0039508E" w:rsidRPr="009E7B6D">
        <w:rPr>
          <w:rFonts w:ascii="Times New Roman" w:hAnsi="Times New Roman" w:cs="Times New Roman"/>
          <w:sz w:val="24"/>
          <w:szCs w:val="24"/>
        </w:rPr>
        <w:t xml:space="preserve">inovações radicais são maiores </w:t>
      </w:r>
      <w:r w:rsidR="00CA50ED" w:rsidRPr="009E7B6D">
        <w:rPr>
          <w:rFonts w:ascii="Times New Roman" w:hAnsi="Times New Roman" w:cs="Times New Roman"/>
          <w:sz w:val="24"/>
          <w:szCs w:val="24"/>
        </w:rPr>
        <w:t>(BRESCHI et al, 2000</w:t>
      </w:r>
      <w:r w:rsidR="0039508E" w:rsidRPr="009E7B6D">
        <w:rPr>
          <w:rFonts w:ascii="Times New Roman" w:hAnsi="Times New Roman" w:cs="Times New Roman"/>
          <w:sz w:val="24"/>
          <w:szCs w:val="24"/>
        </w:rPr>
        <w:t>)</w:t>
      </w:r>
      <w:r w:rsidR="00CA50ED" w:rsidRPr="009E7B6D">
        <w:rPr>
          <w:rFonts w:ascii="Times New Roman" w:hAnsi="Times New Roman" w:cs="Times New Roman"/>
          <w:sz w:val="24"/>
          <w:szCs w:val="24"/>
        </w:rPr>
        <w:t>.</w:t>
      </w:r>
    </w:p>
    <w:p w14:paraId="498277A9" w14:textId="597EBF0D" w:rsidR="00B5504C" w:rsidRDefault="00B5504C" w:rsidP="00781769">
      <w:pPr>
        <w:spacing w:after="0" w:line="360" w:lineRule="auto"/>
        <w:ind w:firstLine="708"/>
        <w:jc w:val="both"/>
        <w:rPr>
          <w:rFonts w:ascii="Times New Roman" w:eastAsia="Times New Roman" w:hAnsi="Times New Roman" w:cs="Times New Roman"/>
          <w:color w:val="000000"/>
          <w:sz w:val="24"/>
          <w:szCs w:val="24"/>
          <w:lang w:eastAsia="pt-BR"/>
        </w:rPr>
      </w:pPr>
      <w:r w:rsidRPr="009E7B6D">
        <w:rPr>
          <w:rFonts w:ascii="Times New Roman" w:eastAsia="Times New Roman" w:hAnsi="Times New Roman" w:cs="Times New Roman"/>
          <w:color w:val="000000"/>
          <w:sz w:val="24"/>
          <w:szCs w:val="24"/>
          <w:lang w:eastAsia="pt-BR"/>
        </w:rPr>
        <w:t>Por sua vez, o setor industrial forte e pujante tem sido utilizado para posicionamento geopolítico de países que comandam o sistema capitalista. Não é</w:t>
      </w:r>
      <w:r>
        <w:rPr>
          <w:rFonts w:ascii="Times New Roman" w:eastAsia="Times New Roman" w:hAnsi="Times New Roman" w:cs="Times New Roman"/>
          <w:color w:val="000000"/>
          <w:sz w:val="24"/>
          <w:szCs w:val="24"/>
          <w:lang w:eastAsia="pt-BR"/>
        </w:rPr>
        <w:t xml:space="preserve"> novidade que países como Estados Unidos, Alemanha, Japão, China e Coreia do Sul contam com suas estruturas industriais para melhor aproveitar das condições econômicas dadas e a usarem como instrumento para posicionamento geopolítico</w:t>
      </w:r>
      <w:r w:rsidRPr="00750F7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Buscam esses países, elaborar estratégias de desenvolvimento autônomo cuja estrutura industrial doméstica assume relevância, por gerar condições produtiva e tecnológica que permitem assumir posição de fronteira nas negociações políticas mundiais. São países portadores do progresso técnico e lideres produtivos em segmentos industriais relevantes na estrutura produtiva mundial, posições que tornam menos vulneráveis às incertezas po</w:t>
      </w:r>
      <w:r w:rsidR="009E35EE">
        <w:rPr>
          <w:rFonts w:ascii="Times New Roman" w:eastAsia="Times New Roman" w:hAnsi="Times New Roman" w:cs="Times New Roman"/>
          <w:color w:val="000000"/>
          <w:sz w:val="24"/>
          <w:szCs w:val="24"/>
          <w:lang w:eastAsia="pt-BR"/>
        </w:rPr>
        <w:t xml:space="preserve">líticas que marcam </w:t>
      </w:r>
      <w:r>
        <w:rPr>
          <w:rFonts w:ascii="Times New Roman" w:eastAsia="Times New Roman" w:hAnsi="Times New Roman" w:cs="Times New Roman"/>
          <w:color w:val="000000"/>
          <w:sz w:val="24"/>
          <w:szCs w:val="24"/>
          <w:lang w:eastAsia="pt-BR"/>
        </w:rPr>
        <w:t>a acumulação capitalista mundial (IEDI, 2022).</w:t>
      </w:r>
    </w:p>
    <w:p w14:paraId="2D357A25" w14:textId="77777777" w:rsidR="00B5504C" w:rsidRPr="006073B1" w:rsidRDefault="00B5504C" w:rsidP="00781769">
      <w:pPr>
        <w:shd w:val="clear" w:color="auto" w:fill="FEFEFE"/>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t xml:space="preserve">Nessa linha, a indústria assume posição estratégica nas cadeias globais de valor – CGV – forma hodierna de organização produtiva mundial. Países que possuem participação preponderante nas CGV contam com setores industriais ativos e representativos. A produção desverticalizada em vários espaços territoriais nacionais, leva a estrutura industrial à fabricação produtiva fragmentada, exigindo, por seu turno, diferentes formas de governança das relações produtores-fornecedores-mercado. Nesse contexto, a indústria posiciona-se como elo </w:t>
      </w:r>
      <w:r>
        <w:rPr>
          <w:rFonts w:ascii="Times New Roman" w:eastAsia="Times New Roman" w:hAnsi="Times New Roman" w:cs="Times New Roman"/>
          <w:color w:val="000000"/>
          <w:sz w:val="24"/>
          <w:szCs w:val="24"/>
          <w:lang w:eastAsia="pt-BR"/>
        </w:rPr>
        <w:lastRenderedPageBreak/>
        <w:t xml:space="preserve">fundamental, seja situada em setor tradicional ou dinâmico. A indústria nas CGV se adapta às condições do desenvolvimento capitalista, instalando unidades fabris em novos espaços nacionais no período de expansão; bem como sendo relocalizada em períodos de crise, como as derivadas da crise </w:t>
      </w:r>
      <w:r>
        <w:rPr>
          <w:rFonts w:ascii="Times New Roman" w:eastAsia="Times New Roman" w:hAnsi="Times New Roman" w:cs="Times New Roman"/>
          <w:sz w:val="24"/>
          <w:szCs w:val="24"/>
          <w:lang w:eastAsia="pt-BR"/>
        </w:rPr>
        <w:t>sanitária – COVID</w:t>
      </w:r>
      <w:r w:rsidRPr="006073B1">
        <w:rPr>
          <w:rFonts w:ascii="Times New Roman" w:eastAsia="Times New Roman" w:hAnsi="Times New Roman" w:cs="Times New Roman"/>
          <w:sz w:val="24"/>
          <w:szCs w:val="24"/>
          <w:lang w:eastAsia="pt-BR"/>
        </w:rPr>
        <w:t xml:space="preserve"> 19 -  e política – guerra Rússia e Ucrânia (BAIR, 2005; GEREFFI, et al, 2022; IEDI, 2022).</w:t>
      </w:r>
    </w:p>
    <w:p w14:paraId="779B988F" w14:textId="77777777" w:rsidR="00B5504C" w:rsidRPr="006073B1" w:rsidRDefault="00B5504C" w:rsidP="00781769">
      <w:pPr>
        <w:shd w:val="clear" w:color="auto" w:fill="FEFEFE"/>
        <w:spacing w:after="0" w:line="360" w:lineRule="auto"/>
        <w:jc w:val="both"/>
        <w:rPr>
          <w:rFonts w:ascii="Times New Roman" w:eastAsia="Times New Roman" w:hAnsi="Times New Roman" w:cs="Times New Roman"/>
          <w:sz w:val="24"/>
          <w:szCs w:val="24"/>
          <w:lang w:eastAsia="pt-BR"/>
        </w:rPr>
      </w:pPr>
      <w:r w:rsidRPr="006073B1">
        <w:rPr>
          <w:rFonts w:ascii="Times New Roman" w:eastAsia="Times New Roman" w:hAnsi="Times New Roman" w:cs="Times New Roman"/>
          <w:sz w:val="24"/>
          <w:szCs w:val="24"/>
          <w:lang w:eastAsia="pt-BR"/>
        </w:rPr>
        <w:tab/>
        <w:t xml:space="preserve">A estrutura industrial, por sua vez, passa por processo de desindustrialização. Esse </w:t>
      </w:r>
      <w:r>
        <w:rPr>
          <w:rFonts w:ascii="Times New Roman" w:eastAsia="Times New Roman" w:hAnsi="Times New Roman" w:cs="Times New Roman"/>
          <w:color w:val="000000"/>
          <w:sz w:val="24"/>
          <w:szCs w:val="24"/>
          <w:lang w:eastAsia="pt-BR"/>
        </w:rPr>
        <w:t>se expressa pela perda de participação relativa da indústria de transformação no produto interno bruto e no emprego do país (</w:t>
      </w:r>
      <w:r>
        <w:rPr>
          <w:rFonts w:ascii="Times New Roman" w:hAnsi="Times New Roman" w:cs="Times New Roman"/>
          <w:sz w:val="24"/>
          <w:szCs w:val="24"/>
        </w:rPr>
        <w:t xml:space="preserve">TREGENNA, </w:t>
      </w:r>
      <w:r w:rsidRPr="00E7626D">
        <w:rPr>
          <w:rFonts w:ascii="Times New Roman" w:hAnsi="Times New Roman" w:cs="Times New Roman"/>
          <w:sz w:val="24"/>
          <w:szCs w:val="24"/>
        </w:rPr>
        <w:t>20</w:t>
      </w:r>
      <w:r>
        <w:rPr>
          <w:rFonts w:ascii="Times New Roman" w:hAnsi="Times New Roman" w:cs="Times New Roman"/>
          <w:sz w:val="24"/>
          <w:szCs w:val="24"/>
        </w:rPr>
        <w:t>09;</w:t>
      </w:r>
      <w:r w:rsidRPr="00E7626D">
        <w:rPr>
          <w:rFonts w:ascii="Times New Roman" w:hAnsi="Times New Roman" w:cs="Times New Roman"/>
          <w:sz w:val="24"/>
          <w:szCs w:val="24"/>
        </w:rPr>
        <w:t xml:space="preserve"> </w:t>
      </w:r>
      <w:r>
        <w:rPr>
          <w:rFonts w:ascii="Times New Roman" w:hAnsi="Times New Roman" w:cs="Times New Roman"/>
          <w:sz w:val="24"/>
          <w:szCs w:val="24"/>
        </w:rPr>
        <w:t>PALMA, 2005).</w:t>
      </w:r>
      <w:r>
        <w:rPr>
          <w:rFonts w:ascii="Times New Roman" w:eastAsia="Times New Roman" w:hAnsi="Times New Roman" w:cs="Times New Roman"/>
          <w:color w:val="000000"/>
          <w:sz w:val="24"/>
          <w:szCs w:val="24"/>
          <w:lang w:eastAsia="pt-BR"/>
        </w:rPr>
        <w:t xml:space="preserve">  Tal ocorrência é identificada como processos natural e precoce. O primeiro encontra-se presente nos países desenvolvidos e o segundo nos países em desenvolvimento. Nos desenvolvidos, esse processo ocorre naturalmente e é visto como acontecimento normal. As condições internas desses países permitem essa passagem, dado serem economias com nível elevado de renda, alta produtividade, capacidade tecnológica disseminada e mercado interno consolidado. O segundo, o fenômeno é prematuro, com a indústria não cumprindo as funções </w:t>
      </w:r>
      <w:r w:rsidRPr="00B324FF">
        <w:rPr>
          <w:rFonts w:ascii="Times New Roman" w:eastAsia="Times New Roman" w:hAnsi="Times New Roman" w:cs="Times New Roman"/>
          <w:color w:val="000000"/>
          <w:sz w:val="24"/>
          <w:szCs w:val="24"/>
          <w:lang w:eastAsia="pt-BR"/>
        </w:rPr>
        <w:t xml:space="preserve">básicas para o desenvolvimento. A desindustrialização ocorre sem que </w:t>
      </w:r>
      <w:r>
        <w:rPr>
          <w:rFonts w:ascii="Times New Roman" w:eastAsia="Times New Roman" w:hAnsi="Times New Roman" w:cs="Times New Roman"/>
          <w:color w:val="000000"/>
          <w:sz w:val="24"/>
          <w:szCs w:val="24"/>
          <w:lang w:eastAsia="pt-BR"/>
        </w:rPr>
        <w:t>tenham ocorrido</w:t>
      </w:r>
      <w:r w:rsidRPr="00B324FF">
        <w:rPr>
          <w:rFonts w:ascii="Times New Roman" w:eastAsia="Times New Roman" w:hAnsi="Times New Roman" w:cs="Times New Roman"/>
          <w:color w:val="000000"/>
          <w:sz w:val="24"/>
          <w:szCs w:val="24"/>
          <w:lang w:eastAsia="pt-BR"/>
        </w:rPr>
        <w:t xml:space="preserve"> as condições citadas nos países desenvolvidos. Além de serem obrigados a realizar programas de ajustes estruturais e abandono de estratégias de desenvolvimento de longo prazo (RICUPERO, 2005; </w:t>
      </w:r>
      <w:r w:rsidRPr="00B324FF">
        <w:rPr>
          <w:rFonts w:ascii="Times New Roman" w:hAnsi="Times New Roman" w:cs="Times New Roman"/>
          <w:color w:val="222222"/>
          <w:sz w:val="24"/>
          <w:szCs w:val="24"/>
          <w:shd w:val="clear" w:color="auto" w:fill="FFFFFF"/>
        </w:rPr>
        <w:t>OREIRO; FEIJÓ, 2010; AREND, 2015</w:t>
      </w:r>
      <w:r w:rsidRPr="006073B1">
        <w:rPr>
          <w:rFonts w:ascii="Times New Roman" w:hAnsi="Times New Roman" w:cs="Times New Roman"/>
          <w:sz w:val="24"/>
          <w:szCs w:val="24"/>
          <w:shd w:val="clear" w:color="auto" w:fill="FFFFFF"/>
        </w:rPr>
        <w:t>; IEDI, 2016</w:t>
      </w:r>
      <w:r w:rsidRPr="006073B1">
        <w:rPr>
          <w:rFonts w:ascii="Times New Roman" w:eastAsia="Times New Roman" w:hAnsi="Times New Roman" w:cs="Times New Roman"/>
          <w:sz w:val="24"/>
          <w:szCs w:val="24"/>
          <w:lang w:eastAsia="pt-BR"/>
        </w:rPr>
        <w:t>).</w:t>
      </w:r>
    </w:p>
    <w:p w14:paraId="27388BDB" w14:textId="77777777" w:rsidR="00B5504C" w:rsidRDefault="00B5504C" w:rsidP="00781769">
      <w:pPr>
        <w:spacing w:after="0" w:line="360" w:lineRule="auto"/>
        <w:ind w:firstLine="709"/>
        <w:jc w:val="both"/>
        <w:rPr>
          <w:rFonts w:ascii="Times New Roman" w:hAnsi="Times New Roman" w:cs="Times New Roman"/>
          <w:sz w:val="24"/>
          <w:szCs w:val="24"/>
        </w:rPr>
      </w:pPr>
      <w:r w:rsidRPr="006073B1">
        <w:rPr>
          <w:rFonts w:ascii="Times New Roman" w:eastAsia="Times New Roman" w:hAnsi="Times New Roman" w:cs="Times New Roman"/>
          <w:sz w:val="24"/>
          <w:szCs w:val="24"/>
          <w:lang w:eastAsia="pt-BR"/>
        </w:rPr>
        <w:t>Nesse cenário, está em construção um novo paradigma</w:t>
      </w:r>
      <w:r w:rsidRPr="006073B1">
        <w:rPr>
          <w:rFonts w:ascii="Times New Roman" w:hAnsi="Times New Roman" w:cs="Times New Roman"/>
          <w:sz w:val="24"/>
          <w:szCs w:val="24"/>
        </w:rPr>
        <w:t xml:space="preserve"> - 4a revolução industrial –</w:t>
      </w:r>
      <w:r>
        <w:rPr>
          <w:rFonts w:ascii="Times New Roman" w:hAnsi="Times New Roman" w:cs="Times New Roman"/>
          <w:sz w:val="24"/>
          <w:szCs w:val="24"/>
        </w:rPr>
        <w:t xml:space="preserve">envolvendo setores além da indústria, como os serviços. Muitos são os produtos dessa revolução: </w:t>
      </w:r>
      <w:r w:rsidRPr="006A11B0">
        <w:rPr>
          <w:rFonts w:ascii="Times New Roman" w:hAnsi="Times New Roman" w:cs="Times New Roman"/>
          <w:sz w:val="24"/>
          <w:szCs w:val="24"/>
        </w:rPr>
        <w:t>Sistemas ciber-físicos (CPS), Big Data Analytics, Computação em nuvem, Internet das Coisas (IoT) e Internet dos serviços (IoS), Impressão 3D</w:t>
      </w:r>
      <w:r>
        <w:rPr>
          <w:rFonts w:ascii="Times New Roman" w:hAnsi="Times New Roman" w:cs="Times New Roman"/>
          <w:sz w:val="24"/>
          <w:szCs w:val="24"/>
        </w:rPr>
        <w:t>, Inteligência artificial entre outros (IEDI, 2017). O setor industrial posiciona-se como relevante na definição desse padrão em construção. Cita-se: os</w:t>
      </w:r>
      <w:r w:rsidRPr="006A11B0">
        <w:rPr>
          <w:rFonts w:ascii="Times New Roman" w:hAnsi="Times New Roman" w:cs="Times New Roman"/>
          <w:sz w:val="24"/>
          <w:szCs w:val="24"/>
        </w:rPr>
        <w:t xml:space="preserve"> sistemas ciber-físicos</w:t>
      </w:r>
      <w:r>
        <w:rPr>
          <w:rFonts w:ascii="Times New Roman" w:hAnsi="Times New Roman" w:cs="Times New Roman"/>
          <w:sz w:val="24"/>
          <w:szCs w:val="24"/>
        </w:rPr>
        <w:t xml:space="preserve"> nos ambientes industriais possibilitam que </w:t>
      </w:r>
      <w:r w:rsidRPr="006A11B0">
        <w:rPr>
          <w:rFonts w:ascii="Times New Roman" w:hAnsi="Times New Roman" w:cs="Times New Roman"/>
          <w:sz w:val="24"/>
          <w:szCs w:val="24"/>
        </w:rPr>
        <w:t>máquinas, sistemas de armazenagem e un</w:t>
      </w:r>
      <w:r>
        <w:rPr>
          <w:rFonts w:ascii="Times New Roman" w:hAnsi="Times New Roman" w:cs="Times New Roman"/>
          <w:sz w:val="24"/>
          <w:szCs w:val="24"/>
        </w:rPr>
        <w:t xml:space="preserve">idades de produção inteligentes troquem </w:t>
      </w:r>
      <w:r w:rsidRPr="006A11B0">
        <w:rPr>
          <w:rFonts w:ascii="Times New Roman" w:hAnsi="Times New Roman" w:cs="Times New Roman"/>
          <w:sz w:val="24"/>
          <w:szCs w:val="24"/>
        </w:rPr>
        <w:t xml:space="preserve">informações </w:t>
      </w:r>
      <w:r>
        <w:rPr>
          <w:rFonts w:ascii="Times New Roman" w:hAnsi="Times New Roman" w:cs="Times New Roman"/>
          <w:sz w:val="24"/>
          <w:szCs w:val="24"/>
        </w:rPr>
        <w:t xml:space="preserve">e desencadeiem ações e controles. Permitem que </w:t>
      </w:r>
      <w:r w:rsidRPr="006A11B0">
        <w:rPr>
          <w:rFonts w:ascii="Times New Roman" w:hAnsi="Times New Roman" w:cs="Times New Roman"/>
          <w:sz w:val="24"/>
          <w:szCs w:val="24"/>
        </w:rPr>
        <w:t xml:space="preserve">empresas </w:t>
      </w:r>
      <w:r>
        <w:rPr>
          <w:rFonts w:ascii="Times New Roman" w:hAnsi="Times New Roman" w:cs="Times New Roman"/>
          <w:sz w:val="24"/>
          <w:szCs w:val="24"/>
        </w:rPr>
        <w:t>industriais estabeleçam</w:t>
      </w:r>
      <w:r w:rsidRPr="006A11B0">
        <w:rPr>
          <w:rFonts w:ascii="Times New Roman" w:hAnsi="Times New Roman" w:cs="Times New Roman"/>
          <w:sz w:val="24"/>
          <w:szCs w:val="24"/>
        </w:rPr>
        <w:t xml:space="preserve"> redes globais com os seus equipamentos, depósitos e unidades de produção articulados</w:t>
      </w:r>
      <w:r>
        <w:rPr>
          <w:rFonts w:ascii="Times New Roman" w:hAnsi="Times New Roman" w:cs="Times New Roman"/>
          <w:sz w:val="24"/>
          <w:szCs w:val="24"/>
        </w:rPr>
        <w:t>. Outros exemplos podem ser citados. Mas, no geral, tem-se que a Indústria 4.0 está criando</w:t>
      </w:r>
      <w:r w:rsidRPr="006A11B0">
        <w:rPr>
          <w:rFonts w:ascii="Times New Roman" w:hAnsi="Times New Roman" w:cs="Times New Roman"/>
          <w:sz w:val="24"/>
          <w:szCs w:val="24"/>
        </w:rPr>
        <w:t xml:space="preserve"> um sistema industrial inteligente</w:t>
      </w:r>
      <w:r>
        <w:rPr>
          <w:rFonts w:ascii="Times New Roman" w:hAnsi="Times New Roman" w:cs="Times New Roman"/>
          <w:sz w:val="24"/>
          <w:szCs w:val="24"/>
        </w:rPr>
        <w:t xml:space="preserve"> cujos processos e produtos podem alterar a organização produtiva mundial (</w:t>
      </w:r>
      <w:r w:rsidRPr="006A11B0">
        <w:rPr>
          <w:rFonts w:ascii="Times New Roman" w:hAnsi="Times New Roman" w:cs="Times New Roman"/>
          <w:sz w:val="24"/>
          <w:szCs w:val="24"/>
        </w:rPr>
        <w:t>H</w:t>
      </w:r>
      <w:r>
        <w:rPr>
          <w:rFonts w:ascii="Times New Roman" w:hAnsi="Times New Roman" w:cs="Times New Roman"/>
          <w:sz w:val="24"/>
          <w:szCs w:val="24"/>
        </w:rPr>
        <w:t xml:space="preserve">ERMANN, </w:t>
      </w:r>
      <w:r w:rsidRPr="006A11B0">
        <w:rPr>
          <w:rFonts w:ascii="Times New Roman" w:hAnsi="Times New Roman" w:cs="Times New Roman"/>
          <w:sz w:val="24"/>
          <w:szCs w:val="24"/>
        </w:rPr>
        <w:t>et al., 2015</w:t>
      </w:r>
      <w:r>
        <w:rPr>
          <w:rFonts w:ascii="Times New Roman" w:hAnsi="Times New Roman" w:cs="Times New Roman"/>
          <w:sz w:val="24"/>
          <w:szCs w:val="24"/>
        </w:rPr>
        <w:t>).</w:t>
      </w:r>
    </w:p>
    <w:p w14:paraId="265D8963" w14:textId="021CC9C5" w:rsidR="00B5504C" w:rsidRPr="00B21A88" w:rsidRDefault="00B5504C" w:rsidP="00B21A88">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 xml:space="preserve">Por fim, ressalta-se que as condições sistêmicas são importantes para que a indústria se constitua um dos pilares do desenvolvimento. Nesse particular, o Estado assume relevância como investidor e regulador das áreas infraestruturais – transporte, telecomunicações, energia. Nessas funções, contribui indiretamente para o aumento da produtividade industrial e de outros </w:t>
      </w:r>
      <w:r>
        <w:rPr>
          <w:rFonts w:ascii="Times New Roman" w:eastAsia="Times New Roman" w:hAnsi="Times New Roman" w:cs="Times New Roman"/>
          <w:color w:val="000000"/>
          <w:sz w:val="24"/>
          <w:szCs w:val="24"/>
          <w:lang w:eastAsia="pt-BR"/>
        </w:rPr>
        <w:lastRenderedPageBreak/>
        <w:t xml:space="preserve">setores da economia. Assim como, constitui responsável pela construção de um ambiente macroeconômico estável que reduz as incertezas nas decisões empresariais. A gestão do câmbio, juros e tributos, por ex., são relevantes para a competitividade industrial. Nessa linha, soma-se a responsabilidade pela política de ciência, tecnologia e inovação (CT&amp;I), que se ativa melhora o desempenho da indústria. Essa auxilia na construção de capacidades com fornecimento de educação, treinamento de profissionais, apoio a atividades de P&amp;D, entre outras. Da mesma forma, é fundamental no desenho de política industrial, definindo objetivos, setores e instrumentos, sobretudo nesse momento de mudança paradigmática (IEDI, 2016).  </w:t>
      </w:r>
      <w:r>
        <w:rPr>
          <w:rFonts w:ascii="Times New Roman" w:hAnsi="Times New Roman" w:cs="Times New Roman"/>
          <w:sz w:val="24"/>
          <w:szCs w:val="24"/>
        </w:rPr>
        <w:t xml:space="preserve"> </w:t>
      </w:r>
    </w:p>
    <w:p w14:paraId="23F3F678" w14:textId="6D6C6FA2" w:rsidR="00002236" w:rsidRPr="006A11B0" w:rsidRDefault="00002236" w:rsidP="00781769">
      <w:pPr>
        <w:spacing w:after="0" w:line="48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 xml:space="preserve"> </w:t>
      </w:r>
      <w:r>
        <w:rPr>
          <w:rFonts w:ascii="Times New Roman" w:hAnsi="Times New Roman" w:cs="Times New Roman"/>
          <w:sz w:val="24"/>
          <w:szCs w:val="24"/>
        </w:rPr>
        <w:t xml:space="preserve"> </w:t>
      </w:r>
    </w:p>
    <w:p w14:paraId="34256709" w14:textId="7387154A" w:rsidR="003C3BDB" w:rsidRDefault="00234B71" w:rsidP="00781769">
      <w:pPr>
        <w:pStyle w:val="PargrafodaLista"/>
        <w:numPr>
          <w:ilvl w:val="0"/>
          <w:numId w:val="1"/>
        </w:numPr>
        <w:spacing w:after="0" w:line="480" w:lineRule="auto"/>
        <w:ind w:left="0" w:firstLine="0"/>
        <w:rPr>
          <w:rFonts w:ascii="Times New Roman" w:hAnsi="Times New Roman" w:cs="Times New Roman"/>
          <w:b/>
          <w:bCs/>
          <w:sz w:val="24"/>
          <w:szCs w:val="24"/>
        </w:rPr>
      </w:pPr>
      <w:r>
        <w:rPr>
          <w:rFonts w:ascii="Times New Roman" w:hAnsi="Times New Roman" w:cs="Times New Roman"/>
          <w:b/>
          <w:bCs/>
          <w:sz w:val="24"/>
          <w:szCs w:val="24"/>
        </w:rPr>
        <w:t>Notas metodologia</w:t>
      </w:r>
    </w:p>
    <w:p w14:paraId="2048A6C7" w14:textId="77777777" w:rsidR="00781769" w:rsidRPr="00234B71" w:rsidRDefault="00781769" w:rsidP="00781769">
      <w:pPr>
        <w:pStyle w:val="PargrafodaLista"/>
        <w:spacing w:after="0" w:line="480" w:lineRule="auto"/>
        <w:ind w:left="0"/>
        <w:rPr>
          <w:rFonts w:ascii="Times New Roman" w:hAnsi="Times New Roman" w:cs="Times New Roman"/>
          <w:b/>
          <w:bCs/>
          <w:sz w:val="24"/>
          <w:szCs w:val="24"/>
        </w:rPr>
      </w:pPr>
    </w:p>
    <w:p w14:paraId="20169CA5" w14:textId="7307028F" w:rsidR="00A379E2" w:rsidRDefault="003C3BDB" w:rsidP="00B21A88">
      <w:pPr>
        <w:spacing w:after="0" w:line="360" w:lineRule="auto"/>
        <w:ind w:firstLine="697"/>
        <w:jc w:val="both"/>
        <w:rPr>
          <w:rFonts w:ascii="Times New Roman" w:eastAsia="Times New Roman" w:hAnsi="Times New Roman" w:cs="Times New Roman"/>
          <w:color w:val="000000"/>
          <w:sz w:val="24"/>
          <w:szCs w:val="24"/>
          <w:lang w:eastAsia="pt-BR"/>
        </w:rPr>
      </w:pPr>
      <w:r w:rsidRPr="003C3BDB">
        <w:rPr>
          <w:rFonts w:ascii="Times New Roman" w:eastAsia="Times New Roman" w:hAnsi="Times New Roman" w:cs="Times New Roman"/>
          <w:color w:val="000000"/>
          <w:sz w:val="24"/>
          <w:szCs w:val="24"/>
          <w:lang w:eastAsia="pt-BR"/>
        </w:rPr>
        <w:t xml:space="preserve">O método de abordagem a ser utilizado neste artigo </w:t>
      </w:r>
      <w:r w:rsidR="00234B71">
        <w:rPr>
          <w:rFonts w:ascii="Times New Roman" w:eastAsia="Times New Roman" w:hAnsi="Times New Roman" w:cs="Times New Roman"/>
          <w:color w:val="000000"/>
          <w:sz w:val="24"/>
          <w:szCs w:val="24"/>
          <w:lang w:eastAsia="pt-BR"/>
        </w:rPr>
        <w:t>é de caráter histórico dedutivo</w:t>
      </w:r>
      <w:r w:rsidRPr="003C3BDB">
        <w:rPr>
          <w:rFonts w:ascii="Times New Roman" w:eastAsia="Times New Roman" w:hAnsi="Times New Roman" w:cs="Times New Roman"/>
          <w:color w:val="000000"/>
          <w:sz w:val="24"/>
          <w:szCs w:val="24"/>
          <w:lang w:eastAsia="pt-BR"/>
        </w:rPr>
        <w:t>.</w:t>
      </w:r>
      <w:r w:rsidR="004B4495">
        <w:rPr>
          <w:rFonts w:ascii="Times New Roman" w:eastAsia="Times New Roman" w:hAnsi="Times New Roman" w:cs="Times New Roman"/>
          <w:color w:val="000000"/>
          <w:sz w:val="24"/>
          <w:szCs w:val="24"/>
          <w:lang w:eastAsia="pt-BR"/>
        </w:rPr>
        <w:t xml:space="preserve"> Para proceder</w:t>
      </w:r>
      <w:r w:rsidR="00234B71">
        <w:rPr>
          <w:rFonts w:ascii="Times New Roman" w:eastAsia="Times New Roman" w:hAnsi="Times New Roman" w:cs="Times New Roman"/>
          <w:color w:val="000000"/>
          <w:sz w:val="24"/>
          <w:szCs w:val="24"/>
          <w:lang w:eastAsia="pt-BR"/>
        </w:rPr>
        <w:t xml:space="preserve"> </w:t>
      </w:r>
      <w:r w:rsidR="004B4495">
        <w:rPr>
          <w:rFonts w:ascii="Times New Roman" w:eastAsia="Times New Roman" w:hAnsi="Times New Roman" w:cs="Times New Roman"/>
          <w:color w:val="000000"/>
          <w:sz w:val="24"/>
          <w:szCs w:val="24"/>
          <w:lang w:eastAsia="pt-BR"/>
        </w:rPr>
        <w:t>ess</w:t>
      </w:r>
      <w:r w:rsidR="00A379E2">
        <w:rPr>
          <w:rFonts w:ascii="Times New Roman" w:eastAsia="Times New Roman" w:hAnsi="Times New Roman" w:cs="Times New Roman"/>
          <w:color w:val="000000"/>
          <w:sz w:val="24"/>
          <w:szCs w:val="24"/>
          <w:lang w:eastAsia="pt-BR"/>
        </w:rPr>
        <w:t xml:space="preserve">a </w:t>
      </w:r>
      <w:r w:rsidR="00234B71">
        <w:rPr>
          <w:rFonts w:ascii="Times New Roman" w:eastAsia="Times New Roman" w:hAnsi="Times New Roman" w:cs="Times New Roman"/>
          <w:color w:val="000000"/>
          <w:sz w:val="24"/>
          <w:szCs w:val="24"/>
          <w:lang w:eastAsia="pt-BR"/>
        </w:rPr>
        <w:t xml:space="preserve">estratégia foram considerados as seguintes variáveis, a saber: (i) </w:t>
      </w:r>
      <w:r w:rsidR="00A379E2">
        <w:rPr>
          <w:rFonts w:ascii="Times New Roman" w:eastAsia="Times New Roman" w:hAnsi="Times New Roman" w:cs="Times New Roman"/>
          <w:color w:val="000000"/>
          <w:sz w:val="24"/>
          <w:szCs w:val="24"/>
          <w:lang w:eastAsia="pt-BR"/>
        </w:rPr>
        <w:t>Produto Interno Bruto (PIB); (ii) Valor Bruto da Produção (VBPI);</w:t>
      </w:r>
      <w:r w:rsidR="00234B71">
        <w:rPr>
          <w:rFonts w:ascii="Times New Roman" w:eastAsia="Times New Roman" w:hAnsi="Times New Roman" w:cs="Times New Roman"/>
          <w:color w:val="000000"/>
          <w:sz w:val="24"/>
          <w:szCs w:val="24"/>
          <w:lang w:eastAsia="pt-BR"/>
        </w:rPr>
        <w:t xml:space="preserve"> </w:t>
      </w:r>
      <w:r w:rsidR="00A379E2">
        <w:rPr>
          <w:rFonts w:ascii="Times New Roman" w:eastAsia="Times New Roman" w:hAnsi="Times New Roman" w:cs="Times New Roman"/>
          <w:color w:val="000000"/>
          <w:sz w:val="24"/>
          <w:szCs w:val="24"/>
          <w:lang w:eastAsia="pt-BR"/>
        </w:rPr>
        <w:t xml:space="preserve">(iii) </w:t>
      </w:r>
      <w:r w:rsidR="00234B71">
        <w:rPr>
          <w:rFonts w:ascii="Times New Roman" w:eastAsia="Times New Roman" w:hAnsi="Times New Roman" w:cs="Times New Roman"/>
          <w:color w:val="000000"/>
          <w:sz w:val="24"/>
          <w:szCs w:val="24"/>
          <w:lang w:eastAsia="pt-BR"/>
        </w:rPr>
        <w:t>Valor da Transformação Industrial (VTI)</w:t>
      </w:r>
      <w:r w:rsidR="00A379E2">
        <w:rPr>
          <w:rFonts w:ascii="Times New Roman" w:eastAsia="Times New Roman" w:hAnsi="Times New Roman" w:cs="Times New Roman"/>
          <w:color w:val="000000"/>
          <w:sz w:val="24"/>
          <w:szCs w:val="24"/>
          <w:lang w:eastAsia="pt-BR"/>
        </w:rPr>
        <w:t>; (iv) Número de estabelecimentos; (v) Emprego; (vi) Valor das exportações e importações.</w:t>
      </w:r>
      <w:r w:rsidR="004B4495">
        <w:rPr>
          <w:rFonts w:ascii="Times New Roman" w:eastAsia="Times New Roman" w:hAnsi="Times New Roman" w:cs="Times New Roman"/>
          <w:color w:val="000000"/>
          <w:sz w:val="24"/>
          <w:szCs w:val="24"/>
          <w:lang w:eastAsia="pt-BR"/>
        </w:rPr>
        <w:t xml:space="preserve"> A partir destas variáveis foram</w:t>
      </w:r>
      <w:r w:rsidR="00A379E2" w:rsidRPr="004B4495">
        <w:rPr>
          <w:rFonts w:ascii="Times New Roman" w:eastAsia="Times New Roman" w:hAnsi="Times New Roman" w:cs="Times New Roman"/>
          <w:color w:val="FF0000"/>
          <w:sz w:val="24"/>
          <w:szCs w:val="24"/>
          <w:lang w:eastAsia="pt-BR"/>
        </w:rPr>
        <w:t xml:space="preserve"> </w:t>
      </w:r>
      <w:r w:rsidR="00A379E2">
        <w:rPr>
          <w:rFonts w:ascii="Times New Roman" w:eastAsia="Times New Roman" w:hAnsi="Times New Roman" w:cs="Times New Roman"/>
          <w:color w:val="000000"/>
          <w:sz w:val="24"/>
          <w:szCs w:val="24"/>
          <w:lang w:eastAsia="pt-BR"/>
        </w:rPr>
        <w:t xml:space="preserve">construídos os seguintes indicadores: </w:t>
      </w:r>
      <w:r w:rsidRPr="003C3BDB">
        <w:rPr>
          <w:rFonts w:ascii="Times New Roman" w:eastAsia="Times New Roman" w:hAnsi="Times New Roman" w:cs="Times New Roman"/>
          <w:color w:val="000000"/>
          <w:sz w:val="24"/>
          <w:szCs w:val="24"/>
          <w:lang w:eastAsia="pt-BR"/>
        </w:rPr>
        <w:t xml:space="preserve">i) </w:t>
      </w:r>
      <w:r w:rsidR="00A379E2">
        <w:rPr>
          <w:rFonts w:ascii="Times New Roman" w:eastAsia="Times New Roman" w:hAnsi="Times New Roman" w:cs="Times New Roman"/>
          <w:color w:val="000000"/>
          <w:sz w:val="24"/>
          <w:szCs w:val="24"/>
          <w:lang w:eastAsia="pt-BR"/>
        </w:rPr>
        <w:t>densidade produtiva</w:t>
      </w:r>
      <w:r w:rsidRPr="003C3BDB">
        <w:rPr>
          <w:rFonts w:ascii="Times New Roman" w:eastAsia="Times New Roman" w:hAnsi="Times New Roman" w:cs="Times New Roman"/>
          <w:color w:val="000000"/>
          <w:sz w:val="24"/>
          <w:szCs w:val="24"/>
          <w:lang w:eastAsia="pt-BR"/>
        </w:rPr>
        <w:t xml:space="preserve"> </w:t>
      </w:r>
      <w:r w:rsidR="00A379E2">
        <w:rPr>
          <w:rFonts w:ascii="Times New Roman" w:eastAsia="Times New Roman" w:hAnsi="Times New Roman" w:cs="Times New Roman"/>
          <w:color w:val="000000"/>
          <w:sz w:val="24"/>
          <w:szCs w:val="24"/>
          <w:lang w:eastAsia="pt-BR"/>
        </w:rPr>
        <w:t>(</w:t>
      </w:r>
      <w:r w:rsidRPr="003C3BDB">
        <w:rPr>
          <w:rFonts w:ascii="Times New Roman" w:eastAsia="Times New Roman" w:hAnsi="Times New Roman" w:cs="Times New Roman"/>
          <w:color w:val="000000"/>
          <w:sz w:val="24"/>
          <w:szCs w:val="24"/>
          <w:lang w:eastAsia="pt-BR"/>
        </w:rPr>
        <w:t>VTI/VBPI</w:t>
      </w:r>
      <w:r w:rsidR="00A379E2">
        <w:rPr>
          <w:rFonts w:ascii="Times New Roman" w:eastAsia="Times New Roman" w:hAnsi="Times New Roman" w:cs="Times New Roman"/>
          <w:color w:val="000000"/>
          <w:sz w:val="24"/>
          <w:szCs w:val="24"/>
          <w:lang w:eastAsia="pt-BR"/>
        </w:rPr>
        <w:t>)</w:t>
      </w:r>
      <w:r w:rsidRPr="003C3BDB">
        <w:rPr>
          <w:rFonts w:ascii="Times New Roman" w:eastAsia="Times New Roman" w:hAnsi="Times New Roman" w:cs="Times New Roman"/>
          <w:color w:val="000000"/>
          <w:sz w:val="24"/>
          <w:szCs w:val="24"/>
          <w:lang w:eastAsia="pt-BR"/>
        </w:rPr>
        <w:t xml:space="preserve"> e coeficient</w:t>
      </w:r>
      <w:r w:rsidR="00A379E2">
        <w:rPr>
          <w:rFonts w:ascii="Times New Roman" w:eastAsia="Times New Roman" w:hAnsi="Times New Roman" w:cs="Times New Roman"/>
          <w:color w:val="000000"/>
          <w:sz w:val="24"/>
          <w:szCs w:val="24"/>
          <w:lang w:eastAsia="pt-BR"/>
        </w:rPr>
        <w:t>e de penetração das importações</w:t>
      </w:r>
      <w:r w:rsidR="00EB5790">
        <w:rPr>
          <w:rFonts w:ascii="Times New Roman" w:eastAsia="Times New Roman" w:hAnsi="Times New Roman" w:cs="Times New Roman"/>
          <w:color w:val="000000"/>
          <w:sz w:val="24"/>
          <w:szCs w:val="24"/>
          <w:lang w:eastAsia="pt-BR"/>
        </w:rPr>
        <w:t xml:space="preserve"> (CPM)</w:t>
      </w:r>
      <w:r w:rsidR="00A379E2">
        <w:rPr>
          <w:rFonts w:ascii="Times New Roman" w:eastAsia="Times New Roman" w:hAnsi="Times New Roman" w:cs="Times New Roman"/>
          <w:color w:val="000000"/>
          <w:sz w:val="24"/>
          <w:szCs w:val="24"/>
          <w:lang w:eastAsia="pt-BR"/>
        </w:rPr>
        <w:t xml:space="preserve">. </w:t>
      </w:r>
    </w:p>
    <w:p w14:paraId="34BB18D1" w14:textId="4EBFDEE3" w:rsidR="00351C82" w:rsidRPr="00351C82" w:rsidRDefault="00351C82" w:rsidP="00781769">
      <w:pPr>
        <w:spacing w:after="0" w:line="360" w:lineRule="auto"/>
        <w:ind w:firstLine="69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indicador de densidade produtiva é obt</w:t>
      </w:r>
      <w:r w:rsidR="009E3527">
        <w:rPr>
          <w:rFonts w:ascii="Times New Roman" w:eastAsia="Times New Roman" w:hAnsi="Times New Roman" w:cs="Times New Roman"/>
          <w:color w:val="000000"/>
          <w:sz w:val="24"/>
          <w:szCs w:val="24"/>
          <w:lang w:eastAsia="pt-BR"/>
        </w:rPr>
        <w:t>ido pela razão VTI/VBPI e expressa</w:t>
      </w:r>
      <w:r>
        <w:rPr>
          <w:rFonts w:ascii="Times New Roman" w:eastAsia="Times New Roman" w:hAnsi="Times New Roman" w:cs="Times New Roman"/>
          <w:color w:val="000000"/>
          <w:sz w:val="24"/>
          <w:szCs w:val="24"/>
          <w:lang w:eastAsia="pt-BR"/>
        </w:rPr>
        <w:t xml:space="preserve"> o grau de adensamento produtivo. </w:t>
      </w:r>
      <w:r>
        <w:rPr>
          <w:rFonts w:ascii="Times New Roman" w:hAnsi="Times New Roman" w:cs="Times New Roman"/>
          <w:color w:val="0A0A0A"/>
          <w:sz w:val="24"/>
          <w:szCs w:val="24"/>
          <w:shd w:val="clear" w:color="auto" w:fill="FEFEFE"/>
        </w:rPr>
        <w:t>Q</w:t>
      </w:r>
      <w:r w:rsidRPr="00351C82">
        <w:rPr>
          <w:rFonts w:ascii="Times New Roman" w:hAnsi="Times New Roman" w:cs="Times New Roman"/>
          <w:color w:val="0A0A0A"/>
          <w:sz w:val="24"/>
          <w:szCs w:val="24"/>
          <w:shd w:val="clear" w:color="auto" w:fill="FEFEFE"/>
        </w:rPr>
        <w:t xml:space="preserve">uando </w:t>
      </w:r>
      <w:r>
        <w:rPr>
          <w:rFonts w:ascii="Times New Roman" w:hAnsi="Times New Roman" w:cs="Times New Roman"/>
          <w:color w:val="0A0A0A"/>
          <w:sz w:val="24"/>
          <w:szCs w:val="24"/>
          <w:shd w:val="clear" w:color="auto" w:fill="FEFEFE"/>
        </w:rPr>
        <w:t xml:space="preserve">este indicador é </w:t>
      </w:r>
      <w:r w:rsidRPr="00351C82">
        <w:rPr>
          <w:rFonts w:ascii="Times New Roman" w:hAnsi="Times New Roman" w:cs="Times New Roman"/>
          <w:color w:val="0A0A0A"/>
          <w:sz w:val="24"/>
          <w:szCs w:val="24"/>
          <w:shd w:val="clear" w:color="auto" w:fill="FEFEFE"/>
        </w:rPr>
        <w:t>declinante</w:t>
      </w:r>
      <w:r>
        <w:rPr>
          <w:rFonts w:ascii="Times New Roman" w:hAnsi="Times New Roman" w:cs="Times New Roman"/>
          <w:color w:val="0A0A0A"/>
          <w:sz w:val="24"/>
          <w:szCs w:val="24"/>
          <w:shd w:val="clear" w:color="auto" w:fill="FEFEFE"/>
        </w:rPr>
        <w:t>,</w:t>
      </w:r>
      <w:r w:rsidRPr="00351C82">
        <w:rPr>
          <w:rFonts w:ascii="Times New Roman" w:hAnsi="Times New Roman" w:cs="Times New Roman"/>
          <w:color w:val="0A0A0A"/>
          <w:sz w:val="24"/>
          <w:szCs w:val="24"/>
          <w:shd w:val="clear" w:color="auto" w:fill="FEFEFE"/>
        </w:rPr>
        <w:t xml:space="preserve"> indica um maior nível de consumo intermediário ou aumento no custo das operações industriais</w:t>
      </w:r>
      <w:r>
        <w:rPr>
          <w:rFonts w:ascii="Arial" w:hAnsi="Arial" w:cs="Arial"/>
          <w:color w:val="0A0A0A"/>
          <w:shd w:val="clear" w:color="auto" w:fill="FEFEFE"/>
        </w:rPr>
        <w:t>.</w:t>
      </w:r>
      <w:r>
        <w:rPr>
          <w:rFonts w:ascii="Times New Roman" w:eastAsia="Times New Roman" w:hAnsi="Times New Roman" w:cs="Times New Roman"/>
          <w:color w:val="000000"/>
          <w:sz w:val="24"/>
          <w:szCs w:val="24"/>
          <w:lang w:eastAsia="pt-BR"/>
        </w:rPr>
        <w:t xml:space="preserve"> </w:t>
      </w:r>
      <w:r w:rsidRPr="00351C82">
        <w:rPr>
          <w:rFonts w:ascii="Times New Roman" w:hAnsi="Times New Roman" w:cs="Times New Roman"/>
          <w:color w:val="0A0A0A"/>
          <w:sz w:val="24"/>
          <w:szCs w:val="24"/>
          <w:shd w:val="clear" w:color="auto" w:fill="FEFEFE"/>
        </w:rPr>
        <w:t>Isso indica um enfraquecimento dos elos produtivos da produção</w:t>
      </w:r>
      <w:r>
        <w:rPr>
          <w:rFonts w:ascii="Times New Roman" w:hAnsi="Times New Roman" w:cs="Times New Roman"/>
          <w:color w:val="0A0A0A"/>
          <w:sz w:val="24"/>
          <w:szCs w:val="24"/>
          <w:shd w:val="clear" w:color="auto" w:fill="FEFEFE"/>
        </w:rPr>
        <w:t xml:space="preserve"> </w:t>
      </w:r>
      <w:r w:rsidRPr="00351C82">
        <w:rPr>
          <w:rFonts w:ascii="Times New Roman" w:hAnsi="Times New Roman" w:cs="Times New Roman"/>
          <w:color w:val="0A0A0A"/>
          <w:sz w:val="24"/>
          <w:szCs w:val="24"/>
          <w:shd w:val="clear" w:color="auto" w:fill="FEFEFE"/>
        </w:rPr>
        <w:t>e representa um sintoma de menor grau de industrialização da economia.</w:t>
      </w:r>
    </w:p>
    <w:p w14:paraId="34AD08FB" w14:textId="041A6EBA" w:rsidR="003C3BDB" w:rsidRDefault="00351C82" w:rsidP="00781769">
      <w:pPr>
        <w:spacing w:after="0" w:line="360" w:lineRule="auto"/>
        <w:ind w:firstLine="69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O coeficiente de penetração das i</w:t>
      </w:r>
      <w:r w:rsidR="00EB5790" w:rsidRPr="00EB5790">
        <w:rPr>
          <w:rFonts w:ascii="Times New Roman" w:eastAsia="Times New Roman" w:hAnsi="Times New Roman" w:cs="Times New Roman"/>
          <w:color w:val="000000"/>
          <w:sz w:val="24"/>
          <w:szCs w:val="24"/>
          <w:lang w:eastAsia="pt-BR"/>
        </w:rPr>
        <w:t xml:space="preserve">mportações (CPM) revela a parcela do consumo aparente doméstico de bens finais e intermediários que é atendida pelas importações. </w:t>
      </w:r>
      <w:r w:rsidR="003C3BDB" w:rsidRPr="00EB5790">
        <w:rPr>
          <w:rFonts w:ascii="Times New Roman" w:eastAsia="Times New Roman" w:hAnsi="Times New Roman" w:cs="Times New Roman"/>
          <w:color w:val="000000"/>
          <w:sz w:val="24"/>
          <w:szCs w:val="24"/>
          <w:lang w:eastAsia="pt-BR"/>
        </w:rPr>
        <w:t xml:space="preserve">O aumento desse coeficiente leva a maiores pressões sobre o </w:t>
      </w:r>
      <w:r w:rsidR="009E3527">
        <w:rPr>
          <w:rFonts w:ascii="Times New Roman" w:eastAsia="Times New Roman" w:hAnsi="Times New Roman" w:cs="Times New Roman"/>
          <w:color w:val="000000"/>
          <w:sz w:val="24"/>
          <w:szCs w:val="24"/>
          <w:lang w:eastAsia="pt-BR"/>
        </w:rPr>
        <w:t>balanço de pagamentos</w:t>
      </w:r>
      <w:r w:rsidR="003C3BDB" w:rsidRPr="00EB5790">
        <w:rPr>
          <w:rFonts w:ascii="Times New Roman" w:eastAsia="Times New Roman" w:hAnsi="Times New Roman" w:cs="Times New Roman"/>
          <w:color w:val="000000"/>
          <w:sz w:val="24"/>
          <w:szCs w:val="24"/>
          <w:lang w:eastAsia="pt-BR"/>
        </w:rPr>
        <w:t xml:space="preserve">. Nesse sentido, uma redução do Coeficiente indica uma substituição de produtos importados por nacionais como aponta Ribeiro e Pourchet (2002). </w:t>
      </w:r>
      <w:r w:rsidR="00EB5790" w:rsidRPr="00EB5790">
        <w:rPr>
          <w:rFonts w:ascii="Times New Roman" w:eastAsia="Times New Roman" w:hAnsi="Times New Roman" w:cs="Times New Roman"/>
          <w:color w:val="000000"/>
          <w:sz w:val="24"/>
          <w:szCs w:val="24"/>
          <w:lang w:eastAsia="pt-BR"/>
        </w:rPr>
        <w:t>Os dados de exportação e impo</w:t>
      </w:r>
      <w:r w:rsidR="00CE1239">
        <w:rPr>
          <w:rFonts w:ascii="Times New Roman" w:eastAsia="Times New Roman" w:hAnsi="Times New Roman" w:cs="Times New Roman"/>
          <w:color w:val="000000"/>
          <w:sz w:val="24"/>
          <w:szCs w:val="24"/>
          <w:lang w:eastAsia="pt-BR"/>
        </w:rPr>
        <w:t>rtação, foram coletados da base</w:t>
      </w:r>
      <w:r w:rsidR="0090236B">
        <w:rPr>
          <w:rFonts w:ascii="Times New Roman" w:eastAsia="Times New Roman" w:hAnsi="Times New Roman" w:cs="Times New Roman"/>
          <w:color w:val="000000"/>
          <w:sz w:val="24"/>
          <w:szCs w:val="24"/>
          <w:lang w:eastAsia="pt-BR"/>
        </w:rPr>
        <w:t xml:space="preserve"> Comex</w:t>
      </w:r>
      <w:r w:rsidR="00EB5790" w:rsidRPr="00EB5790">
        <w:rPr>
          <w:rFonts w:ascii="Times New Roman" w:eastAsia="Times New Roman" w:hAnsi="Times New Roman" w:cs="Times New Roman"/>
          <w:color w:val="000000"/>
          <w:sz w:val="24"/>
          <w:szCs w:val="24"/>
          <w:lang w:eastAsia="pt-BR"/>
        </w:rPr>
        <w:t xml:space="preserve">Stat. </w:t>
      </w:r>
      <w:r w:rsidR="003C3BDB" w:rsidRPr="00EB5790">
        <w:rPr>
          <w:rFonts w:ascii="Times New Roman" w:hAnsi="Times New Roman" w:cs="Times New Roman"/>
          <w:sz w:val="24"/>
          <w:szCs w:val="24"/>
        </w:rPr>
        <w:t>Dessa forma o cálculo pode ser expresso da seguinte forma (LEVY; SERRA, 2002):</w:t>
      </w:r>
    </w:p>
    <w:p w14:paraId="26C04C6F" w14:textId="6531B85A" w:rsidR="00604C05" w:rsidRDefault="00604C05" w:rsidP="00B21A88">
      <w:pPr>
        <w:spacing w:after="0" w:line="240" w:lineRule="auto"/>
        <w:jc w:val="both"/>
        <w:rPr>
          <w:rFonts w:ascii="Arial" w:hAnsi="Arial" w:cs="Arial"/>
          <w:sz w:val="24"/>
          <w:szCs w:val="24"/>
        </w:rPr>
      </w:pPr>
    </w:p>
    <w:p w14:paraId="6D3E4B64" w14:textId="77777777" w:rsidR="003C3BDB" w:rsidRDefault="002625BA" w:rsidP="003C3BDB">
      <w:pPr>
        <w:pStyle w:val="SemEspaamento"/>
        <w:rPr>
          <w:rFonts w:ascii="Arial" w:hAnsi="Arial" w:cs="Arial"/>
          <w:sz w:val="24"/>
          <w:szCs w:val="24"/>
        </w:rPr>
      </w:pPr>
      <m:oMathPara>
        <m:oMath>
          <m:sSubSup>
            <m:sSubSupPr>
              <m:ctrlPr>
                <w:rPr>
                  <w:rFonts w:ascii="Cambria Math" w:hAnsi="Cambria Math" w:cs="Arial"/>
                  <w:i/>
                  <w:sz w:val="24"/>
                  <w:szCs w:val="24"/>
                </w:rPr>
              </m:ctrlPr>
            </m:sSubSupPr>
            <m:e>
              <m:r>
                <w:rPr>
                  <w:rFonts w:ascii="Cambria Math" w:hAnsi="Cambria Math" w:cs="Arial"/>
                  <w:sz w:val="24"/>
                  <w:szCs w:val="24"/>
                </w:rPr>
                <m:t>CPM</m:t>
              </m:r>
            </m:e>
            <m:sub>
              <m:r>
                <w:rPr>
                  <w:rFonts w:ascii="Cambria Math" w:hAnsi="Cambria Math" w:cs="Arial"/>
                  <w:sz w:val="24"/>
                  <w:szCs w:val="24"/>
                </w:rPr>
                <m:t>t</m:t>
              </m:r>
            </m:sub>
            <m:sup>
              <m:r>
                <w:rPr>
                  <w:rFonts w:ascii="Cambria Math" w:hAnsi="Cambria Math" w:cs="Arial"/>
                  <w:sz w:val="24"/>
                  <w:szCs w:val="24"/>
                </w:rPr>
                <m:t>i</m:t>
              </m:r>
            </m:sup>
          </m:sSubSup>
          <m:r>
            <w:rPr>
              <w:rFonts w:ascii="Cambria Math" w:hAnsi="Cambria Math" w:cs="Arial"/>
              <w:sz w:val="24"/>
              <w:szCs w:val="24"/>
            </w:rPr>
            <m:t>=</m:t>
          </m:r>
          <m:f>
            <m:fPr>
              <m:ctrlPr>
                <w:rPr>
                  <w:rFonts w:ascii="Cambria Math" w:hAnsi="Cambria Math" w:cs="Arial"/>
                  <w:i/>
                  <w:sz w:val="24"/>
                  <w:szCs w:val="24"/>
                </w:rPr>
              </m:ctrlPr>
            </m:fPr>
            <m:num>
              <m:sSubSup>
                <m:sSubSupPr>
                  <m:ctrlPr>
                    <w:rPr>
                      <w:rFonts w:ascii="Cambria Math" w:hAnsi="Cambria Math" w:cs="Arial"/>
                      <w:i/>
                      <w:sz w:val="24"/>
                      <w:szCs w:val="24"/>
                    </w:rPr>
                  </m:ctrlPr>
                </m:sSubSupPr>
                <m:e>
                  <m:r>
                    <w:rPr>
                      <w:rFonts w:ascii="Cambria Math" w:hAnsi="Cambria Math" w:cs="Arial"/>
                      <w:sz w:val="24"/>
                      <w:szCs w:val="24"/>
                    </w:rPr>
                    <m:t>M</m:t>
                  </m:r>
                </m:e>
                <m:sub>
                  <m:r>
                    <w:rPr>
                      <w:rFonts w:ascii="Cambria Math" w:hAnsi="Cambria Math" w:cs="Arial"/>
                      <w:sz w:val="24"/>
                      <w:szCs w:val="24"/>
                    </w:rPr>
                    <m:t>t</m:t>
                  </m:r>
                </m:sub>
                <m:sup>
                  <m:r>
                    <w:rPr>
                      <w:rFonts w:ascii="Cambria Math" w:hAnsi="Cambria Math" w:cs="Arial"/>
                      <w:sz w:val="24"/>
                      <w:szCs w:val="24"/>
                    </w:rPr>
                    <m:t>i</m:t>
                  </m:r>
                </m:sup>
              </m:sSubSup>
            </m:num>
            <m:den>
              <m:sSubSup>
                <m:sSubSupPr>
                  <m:ctrlPr>
                    <w:rPr>
                      <w:rFonts w:ascii="Cambria Math" w:hAnsi="Cambria Math" w:cs="Arial"/>
                      <w:i/>
                      <w:sz w:val="24"/>
                      <w:szCs w:val="24"/>
                    </w:rPr>
                  </m:ctrlPr>
                </m:sSubSupPr>
                <m:e>
                  <m:r>
                    <w:rPr>
                      <w:rFonts w:ascii="Cambria Math" w:hAnsi="Cambria Math" w:cs="Arial"/>
                      <w:sz w:val="24"/>
                      <w:szCs w:val="24"/>
                    </w:rPr>
                    <m:t>VP</m:t>
                  </m:r>
                </m:e>
                <m:sub>
                  <m:r>
                    <w:rPr>
                      <w:rFonts w:ascii="Cambria Math" w:hAnsi="Cambria Math" w:cs="Arial"/>
                      <w:sz w:val="24"/>
                      <w:szCs w:val="24"/>
                    </w:rPr>
                    <m:t>t</m:t>
                  </m:r>
                </m:sub>
                <m:sup>
                  <m:r>
                    <w:rPr>
                      <w:rFonts w:ascii="Cambria Math" w:hAnsi="Cambria Math" w:cs="Arial"/>
                      <w:sz w:val="24"/>
                      <w:szCs w:val="24"/>
                    </w:rPr>
                    <m:t>i</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M</m:t>
                  </m:r>
                </m:e>
                <m:sub>
                  <m:r>
                    <w:rPr>
                      <w:rFonts w:ascii="Cambria Math" w:hAnsi="Cambria Math" w:cs="Arial"/>
                      <w:sz w:val="24"/>
                      <w:szCs w:val="24"/>
                    </w:rPr>
                    <m:t>t</m:t>
                  </m:r>
                </m:sub>
                <m:sup>
                  <m:r>
                    <w:rPr>
                      <w:rFonts w:ascii="Cambria Math" w:hAnsi="Cambria Math" w:cs="Arial"/>
                      <w:sz w:val="24"/>
                      <w:szCs w:val="24"/>
                    </w:rPr>
                    <m:t>i</m:t>
                  </m:r>
                </m:sup>
              </m:sSubSup>
              <m:r>
                <w:rPr>
                  <w:rFonts w:ascii="Cambria Math" w:hAnsi="Cambria Math" w:cs="Arial"/>
                  <w:sz w:val="24"/>
                  <w:szCs w:val="24"/>
                </w:rPr>
                <m:t xml:space="preserve">- </m:t>
              </m:r>
              <m:sSubSup>
                <m:sSubSupPr>
                  <m:ctrlPr>
                    <w:rPr>
                      <w:rFonts w:ascii="Cambria Math" w:hAnsi="Cambria Math" w:cs="Arial"/>
                      <w:i/>
                      <w:sz w:val="24"/>
                      <w:szCs w:val="24"/>
                    </w:rPr>
                  </m:ctrlPr>
                </m:sSubSupPr>
                <m:e>
                  <m:r>
                    <w:rPr>
                      <w:rFonts w:ascii="Cambria Math" w:hAnsi="Cambria Math" w:cs="Arial"/>
                      <w:sz w:val="24"/>
                      <w:szCs w:val="24"/>
                    </w:rPr>
                    <m:t>X</m:t>
                  </m:r>
                </m:e>
                <m:sub>
                  <m:r>
                    <w:rPr>
                      <w:rFonts w:ascii="Cambria Math" w:hAnsi="Cambria Math" w:cs="Arial"/>
                      <w:sz w:val="24"/>
                      <w:szCs w:val="24"/>
                    </w:rPr>
                    <m:t>t</m:t>
                  </m:r>
                </m:sub>
                <m:sup>
                  <m:r>
                    <w:rPr>
                      <w:rFonts w:ascii="Cambria Math" w:hAnsi="Cambria Math" w:cs="Arial"/>
                      <w:sz w:val="24"/>
                      <w:szCs w:val="24"/>
                    </w:rPr>
                    <m:t>i</m:t>
                  </m:r>
                </m:sup>
              </m:sSubSup>
            </m:den>
          </m:f>
        </m:oMath>
      </m:oMathPara>
    </w:p>
    <w:p w14:paraId="7BA0EADE" w14:textId="77777777" w:rsidR="00604C05" w:rsidRDefault="00604C05" w:rsidP="003C3BDB">
      <w:pPr>
        <w:pStyle w:val="SemEspaamento"/>
        <w:rPr>
          <w:rFonts w:ascii="Times New Roman" w:hAnsi="Times New Roman" w:cs="Times New Roman"/>
          <w:sz w:val="24"/>
          <w:szCs w:val="24"/>
        </w:rPr>
      </w:pPr>
    </w:p>
    <w:p w14:paraId="4F5E373B" w14:textId="4C01C9A0" w:rsidR="003C3BDB" w:rsidRPr="00EB5790" w:rsidRDefault="003C3BDB" w:rsidP="003C3BDB">
      <w:pPr>
        <w:pStyle w:val="SemEspaamento"/>
        <w:rPr>
          <w:rFonts w:ascii="Times New Roman" w:hAnsi="Times New Roman" w:cs="Times New Roman"/>
          <w:sz w:val="24"/>
          <w:szCs w:val="24"/>
        </w:rPr>
      </w:pPr>
      <w:r w:rsidRPr="00EB5790">
        <w:rPr>
          <w:rFonts w:ascii="Times New Roman" w:hAnsi="Times New Roman" w:cs="Times New Roman"/>
          <w:sz w:val="24"/>
          <w:szCs w:val="24"/>
        </w:rPr>
        <w:t>Onde,</w:t>
      </w:r>
    </w:p>
    <w:p w14:paraId="6C79B197" w14:textId="77777777" w:rsidR="003C3BDB" w:rsidRPr="00EB5790" w:rsidRDefault="002625BA" w:rsidP="003C3BDB">
      <w:pPr>
        <w:pStyle w:val="SemEspaamento"/>
        <w:numPr>
          <w:ilvl w:val="0"/>
          <w:numId w:val="4"/>
        </w:numPr>
        <w:spacing w:line="36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CPM</m:t>
            </m:r>
          </m:e>
          <m:sub>
            <m:r>
              <w:rPr>
                <w:rFonts w:ascii="Cambria Math" w:hAnsi="Cambria Math" w:cs="Times New Roman"/>
                <w:sz w:val="24"/>
                <w:szCs w:val="24"/>
              </w:rPr>
              <m:t>t</m:t>
            </m:r>
          </m:sub>
          <m:sup>
            <m:r>
              <w:rPr>
                <w:rFonts w:ascii="Cambria Math" w:hAnsi="Cambria Math" w:cs="Times New Roman"/>
                <w:sz w:val="24"/>
                <w:szCs w:val="24"/>
              </w:rPr>
              <m:t>i</m:t>
            </m:r>
          </m:sup>
        </m:sSubSup>
      </m:oMath>
      <w:r w:rsidR="003C3BDB" w:rsidRPr="00EB5790">
        <w:rPr>
          <w:rFonts w:ascii="Times New Roman" w:eastAsiaTheme="minorEastAsia" w:hAnsi="Times New Roman" w:cs="Times New Roman"/>
          <w:sz w:val="24"/>
          <w:szCs w:val="24"/>
        </w:rPr>
        <w:t xml:space="preserve"> é o coeficiente de penetração das importações do segmento i no período t;</w:t>
      </w:r>
    </w:p>
    <w:p w14:paraId="139EE1EC" w14:textId="77777777" w:rsidR="003C3BDB" w:rsidRPr="00EB5790" w:rsidRDefault="002625BA" w:rsidP="003C3BDB">
      <w:pPr>
        <w:pStyle w:val="SemEspaamento"/>
        <w:numPr>
          <w:ilvl w:val="0"/>
          <w:numId w:val="4"/>
        </w:numPr>
        <w:spacing w:line="36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t</m:t>
            </m:r>
          </m:sub>
          <m:sup>
            <m:r>
              <w:rPr>
                <w:rFonts w:ascii="Cambria Math" w:hAnsi="Cambria Math" w:cs="Times New Roman"/>
                <w:sz w:val="24"/>
                <w:szCs w:val="24"/>
              </w:rPr>
              <m:t>i</m:t>
            </m:r>
          </m:sup>
        </m:sSubSup>
      </m:oMath>
      <w:r w:rsidR="003C3BDB" w:rsidRPr="00EB5790">
        <w:rPr>
          <w:rFonts w:ascii="Times New Roman" w:eastAsiaTheme="minorEastAsia" w:hAnsi="Times New Roman" w:cs="Times New Roman"/>
          <w:sz w:val="24"/>
          <w:szCs w:val="24"/>
        </w:rPr>
        <w:t xml:space="preserve">  são as importações da atividade i no período t;</w:t>
      </w:r>
    </w:p>
    <w:p w14:paraId="514DDC25" w14:textId="77777777" w:rsidR="003C3BDB" w:rsidRPr="00EB5790" w:rsidRDefault="002625BA" w:rsidP="003C3BDB">
      <w:pPr>
        <w:pStyle w:val="SemEspaamento"/>
        <w:numPr>
          <w:ilvl w:val="0"/>
          <w:numId w:val="4"/>
        </w:numPr>
        <w:spacing w:line="36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VP</m:t>
            </m:r>
          </m:e>
          <m:sub>
            <m:r>
              <w:rPr>
                <w:rFonts w:ascii="Cambria Math" w:hAnsi="Cambria Math" w:cs="Times New Roman"/>
                <w:sz w:val="24"/>
                <w:szCs w:val="24"/>
              </w:rPr>
              <m:t>t</m:t>
            </m:r>
          </m:sub>
          <m:sup>
            <m:r>
              <w:rPr>
                <w:rFonts w:ascii="Cambria Math" w:hAnsi="Cambria Math" w:cs="Times New Roman"/>
                <w:sz w:val="24"/>
                <w:szCs w:val="24"/>
              </w:rPr>
              <m:t>i</m:t>
            </m:r>
          </m:sup>
        </m:sSubSup>
      </m:oMath>
      <w:r w:rsidR="003C3BDB" w:rsidRPr="00EB5790">
        <w:rPr>
          <w:rFonts w:ascii="Times New Roman" w:eastAsiaTheme="minorEastAsia" w:hAnsi="Times New Roman" w:cs="Times New Roman"/>
          <w:sz w:val="24"/>
          <w:szCs w:val="24"/>
        </w:rPr>
        <w:t xml:space="preserve"> é o valor da produção da atividade i no período t;</w:t>
      </w:r>
    </w:p>
    <w:p w14:paraId="6A801187" w14:textId="1A176D82" w:rsidR="003C3BDB" w:rsidRPr="008C16D5" w:rsidRDefault="002625BA" w:rsidP="008C16D5">
      <w:pPr>
        <w:pStyle w:val="SemEspaamento"/>
        <w:numPr>
          <w:ilvl w:val="0"/>
          <w:numId w:val="4"/>
        </w:numPr>
        <w:spacing w:line="36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t</m:t>
            </m:r>
          </m:sub>
          <m:sup>
            <m:r>
              <w:rPr>
                <w:rFonts w:ascii="Cambria Math" w:hAnsi="Cambria Math" w:cs="Times New Roman"/>
                <w:sz w:val="24"/>
                <w:szCs w:val="24"/>
              </w:rPr>
              <m:t>i</m:t>
            </m:r>
          </m:sup>
        </m:sSubSup>
      </m:oMath>
      <w:r w:rsidR="003C3BDB" w:rsidRPr="00EB5790">
        <w:rPr>
          <w:rFonts w:ascii="Times New Roman" w:eastAsiaTheme="minorEastAsia" w:hAnsi="Times New Roman" w:cs="Times New Roman"/>
          <w:sz w:val="24"/>
          <w:szCs w:val="24"/>
        </w:rPr>
        <w:t xml:space="preserve"> são as exportações da atividade i no período t</w:t>
      </w:r>
      <w:r w:rsidR="00EB5790">
        <w:rPr>
          <w:rFonts w:ascii="Times New Roman" w:eastAsiaTheme="minorEastAsia" w:hAnsi="Times New Roman" w:cs="Times New Roman"/>
          <w:sz w:val="24"/>
          <w:szCs w:val="24"/>
        </w:rPr>
        <w:t>;</w:t>
      </w:r>
    </w:p>
    <w:p w14:paraId="4E531DC0" w14:textId="77777777" w:rsidR="00604C05" w:rsidRDefault="00604C05" w:rsidP="00351C82">
      <w:pPr>
        <w:spacing w:after="0" w:line="240" w:lineRule="auto"/>
        <w:ind w:firstLine="709"/>
        <w:jc w:val="both"/>
        <w:rPr>
          <w:rFonts w:ascii="Times New Roman" w:eastAsia="Times New Roman" w:hAnsi="Times New Roman" w:cs="Times New Roman"/>
          <w:color w:val="000000"/>
          <w:sz w:val="24"/>
          <w:szCs w:val="24"/>
          <w:lang w:eastAsia="pt-BR"/>
        </w:rPr>
      </w:pPr>
    </w:p>
    <w:p w14:paraId="64A0F09C" w14:textId="7B83903D" w:rsidR="00002236" w:rsidRDefault="00351C82" w:rsidP="00781769">
      <w:pPr>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As variáveis e os indicadores construídos foram coletados ao nível setorial. </w:t>
      </w:r>
      <w:r w:rsidRPr="003C3BDB">
        <w:rPr>
          <w:rFonts w:ascii="Times New Roman" w:eastAsia="Times New Roman" w:hAnsi="Times New Roman" w:cs="Times New Roman"/>
          <w:color w:val="000000"/>
          <w:sz w:val="24"/>
          <w:szCs w:val="24"/>
          <w:lang w:eastAsia="pt-BR"/>
        </w:rPr>
        <w:t xml:space="preserve">Os setores foram agrupados por intensidade tecnológica, conforme a classificação internacional da </w:t>
      </w:r>
      <w:r w:rsidRPr="003C3BDB">
        <w:rPr>
          <w:rFonts w:ascii="Times New Roman" w:eastAsia="Times New Roman" w:hAnsi="Times New Roman" w:cs="Times New Roman"/>
          <w:i/>
          <w:iCs/>
          <w:color w:val="000000"/>
          <w:sz w:val="24"/>
          <w:szCs w:val="24"/>
          <w:lang w:eastAsia="pt-BR"/>
        </w:rPr>
        <w:t>Organization for Economic Cooperation and Development</w:t>
      </w:r>
      <w:r w:rsidRPr="003C3BDB">
        <w:rPr>
          <w:rFonts w:ascii="Times New Roman" w:eastAsia="Times New Roman" w:hAnsi="Times New Roman" w:cs="Times New Roman"/>
          <w:color w:val="000000"/>
          <w:sz w:val="24"/>
          <w:szCs w:val="24"/>
          <w:lang w:eastAsia="pt-BR"/>
        </w:rPr>
        <w:t xml:space="preserve"> (OECD) que divide os setores industriais em quatro grupos distintos de intensidade tecnologia, a saber: alta (AT), média-alta (MAT), média-baixa (MBT) e baixa (BT) (OECD, 2011). </w:t>
      </w:r>
    </w:p>
    <w:p w14:paraId="4E562891" w14:textId="019A9BCE" w:rsidR="00351C82" w:rsidRPr="00B95905" w:rsidRDefault="00C67BD8" w:rsidP="009E3527">
      <w:pPr>
        <w:spacing w:after="0" w:line="240" w:lineRule="auto"/>
        <w:ind w:firstLine="709"/>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Quadro 1</w:t>
      </w:r>
      <w:r w:rsidR="00B95905" w:rsidRPr="00B95905">
        <w:rPr>
          <w:rFonts w:ascii="Times New Roman" w:eastAsia="Times New Roman" w:hAnsi="Times New Roman" w:cs="Times New Roman"/>
          <w:b/>
          <w:sz w:val="24"/>
          <w:szCs w:val="24"/>
          <w:lang w:eastAsia="pt-BR"/>
        </w:rPr>
        <w:t xml:space="preserve"> – Variáveis utilizadas</w:t>
      </w:r>
    </w:p>
    <w:tbl>
      <w:tblPr>
        <w:tblW w:w="6820" w:type="dxa"/>
        <w:jc w:val="center"/>
        <w:tblCellMar>
          <w:left w:w="70" w:type="dxa"/>
          <w:right w:w="70" w:type="dxa"/>
        </w:tblCellMar>
        <w:tblLook w:val="04A0" w:firstRow="1" w:lastRow="0" w:firstColumn="1" w:lastColumn="0" w:noHBand="0" w:noVBand="1"/>
      </w:tblPr>
      <w:tblGrid>
        <w:gridCol w:w="4240"/>
        <w:gridCol w:w="1460"/>
        <w:gridCol w:w="1120"/>
      </w:tblGrid>
      <w:tr w:rsidR="0090236B" w:rsidRPr="0090236B" w14:paraId="73A41008" w14:textId="77777777" w:rsidTr="0090236B">
        <w:trPr>
          <w:trHeight w:val="330"/>
          <w:jc w:val="center"/>
        </w:trPr>
        <w:tc>
          <w:tcPr>
            <w:tcW w:w="4240" w:type="dxa"/>
            <w:tcBorders>
              <w:top w:val="double" w:sz="6" w:space="0" w:color="auto"/>
              <w:left w:val="nil"/>
              <w:bottom w:val="single" w:sz="4" w:space="0" w:color="auto"/>
              <w:right w:val="nil"/>
            </w:tcBorders>
            <w:shd w:val="clear" w:color="000000" w:fill="FFFFFF"/>
            <w:noWrap/>
            <w:vAlign w:val="bottom"/>
            <w:hideMark/>
          </w:tcPr>
          <w:p w14:paraId="44745A42" w14:textId="77777777" w:rsidR="0090236B" w:rsidRPr="00002236" w:rsidRDefault="0090236B" w:rsidP="00B95905">
            <w:pPr>
              <w:spacing w:after="0" w:line="240" w:lineRule="auto"/>
              <w:rPr>
                <w:rFonts w:ascii="Times New Roman" w:eastAsia="Times New Roman" w:hAnsi="Times New Roman" w:cs="Times New Roman"/>
                <w:b/>
                <w:bCs/>
                <w:color w:val="000000"/>
                <w:sz w:val="20"/>
                <w:szCs w:val="20"/>
                <w:lang w:eastAsia="pt-BR"/>
              </w:rPr>
            </w:pPr>
            <w:r w:rsidRPr="00002236">
              <w:rPr>
                <w:rFonts w:ascii="Times New Roman" w:eastAsia="Times New Roman" w:hAnsi="Times New Roman" w:cs="Times New Roman"/>
                <w:b/>
                <w:bCs/>
                <w:color w:val="000000"/>
                <w:sz w:val="20"/>
                <w:szCs w:val="20"/>
                <w:lang w:eastAsia="pt-BR"/>
              </w:rPr>
              <w:t xml:space="preserve">Variável </w:t>
            </w:r>
          </w:p>
        </w:tc>
        <w:tc>
          <w:tcPr>
            <w:tcW w:w="1460" w:type="dxa"/>
            <w:tcBorders>
              <w:top w:val="double" w:sz="6" w:space="0" w:color="auto"/>
              <w:left w:val="nil"/>
              <w:bottom w:val="single" w:sz="4" w:space="0" w:color="auto"/>
              <w:right w:val="nil"/>
            </w:tcBorders>
            <w:shd w:val="clear" w:color="000000" w:fill="FFFFFF"/>
            <w:noWrap/>
            <w:vAlign w:val="bottom"/>
            <w:hideMark/>
          </w:tcPr>
          <w:p w14:paraId="3EB76DB8" w14:textId="77777777" w:rsidR="0090236B" w:rsidRPr="00002236" w:rsidRDefault="0090236B" w:rsidP="00B95905">
            <w:pPr>
              <w:spacing w:after="0" w:line="240" w:lineRule="auto"/>
              <w:rPr>
                <w:rFonts w:ascii="Times New Roman" w:eastAsia="Times New Roman" w:hAnsi="Times New Roman" w:cs="Times New Roman"/>
                <w:b/>
                <w:bCs/>
                <w:color w:val="000000"/>
                <w:sz w:val="20"/>
                <w:szCs w:val="20"/>
                <w:lang w:eastAsia="pt-BR"/>
              </w:rPr>
            </w:pPr>
            <w:r w:rsidRPr="00002236">
              <w:rPr>
                <w:rFonts w:ascii="Times New Roman" w:eastAsia="Times New Roman" w:hAnsi="Times New Roman" w:cs="Times New Roman"/>
                <w:b/>
                <w:bCs/>
                <w:color w:val="000000"/>
                <w:sz w:val="20"/>
                <w:szCs w:val="20"/>
                <w:lang w:eastAsia="pt-BR"/>
              </w:rPr>
              <w:t>Indicador</w:t>
            </w:r>
          </w:p>
        </w:tc>
        <w:tc>
          <w:tcPr>
            <w:tcW w:w="1120" w:type="dxa"/>
            <w:tcBorders>
              <w:top w:val="double" w:sz="6" w:space="0" w:color="auto"/>
              <w:left w:val="nil"/>
              <w:bottom w:val="single" w:sz="4" w:space="0" w:color="auto"/>
              <w:right w:val="nil"/>
            </w:tcBorders>
            <w:shd w:val="clear" w:color="000000" w:fill="FFFFFF"/>
            <w:noWrap/>
            <w:vAlign w:val="bottom"/>
            <w:hideMark/>
          </w:tcPr>
          <w:p w14:paraId="1DF8FA39" w14:textId="77777777" w:rsidR="0090236B" w:rsidRPr="00002236" w:rsidRDefault="0090236B" w:rsidP="00B95905">
            <w:pPr>
              <w:spacing w:after="0" w:line="240" w:lineRule="auto"/>
              <w:rPr>
                <w:rFonts w:ascii="Times New Roman" w:eastAsia="Times New Roman" w:hAnsi="Times New Roman" w:cs="Times New Roman"/>
                <w:b/>
                <w:bCs/>
                <w:color w:val="000000"/>
                <w:sz w:val="20"/>
                <w:szCs w:val="20"/>
                <w:lang w:eastAsia="pt-BR"/>
              </w:rPr>
            </w:pPr>
            <w:r w:rsidRPr="00002236">
              <w:rPr>
                <w:rFonts w:ascii="Times New Roman" w:eastAsia="Times New Roman" w:hAnsi="Times New Roman" w:cs="Times New Roman"/>
                <w:b/>
                <w:bCs/>
                <w:color w:val="000000"/>
                <w:sz w:val="20"/>
                <w:szCs w:val="20"/>
                <w:lang w:eastAsia="pt-BR"/>
              </w:rPr>
              <w:t>Fonte</w:t>
            </w:r>
          </w:p>
        </w:tc>
      </w:tr>
      <w:tr w:rsidR="0090236B" w:rsidRPr="0090236B" w14:paraId="03E99F35" w14:textId="77777777" w:rsidTr="0090236B">
        <w:trPr>
          <w:trHeight w:val="315"/>
          <w:jc w:val="center"/>
        </w:trPr>
        <w:tc>
          <w:tcPr>
            <w:tcW w:w="4240" w:type="dxa"/>
            <w:tcBorders>
              <w:top w:val="nil"/>
              <w:left w:val="nil"/>
              <w:bottom w:val="nil"/>
              <w:right w:val="nil"/>
            </w:tcBorders>
            <w:shd w:val="clear" w:color="000000" w:fill="FFFFFF"/>
            <w:noWrap/>
            <w:vAlign w:val="bottom"/>
            <w:hideMark/>
          </w:tcPr>
          <w:p w14:paraId="7807ED00" w14:textId="77777777" w:rsidR="0090236B" w:rsidRPr="00002236" w:rsidRDefault="0090236B" w:rsidP="00B95905">
            <w:pPr>
              <w:spacing w:after="0" w:line="240" w:lineRule="auto"/>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Produto Interno Bruto</w:t>
            </w:r>
          </w:p>
        </w:tc>
        <w:tc>
          <w:tcPr>
            <w:tcW w:w="1460" w:type="dxa"/>
            <w:tcBorders>
              <w:top w:val="nil"/>
              <w:left w:val="nil"/>
              <w:bottom w:val="nil"/>
              <w:right w:val="nil"/>
            </w:tcBorders>
            <w:shd w:val="clear" w:color="000000" w:fill="FFFFFF"/>
            <w:noWrap/>
            <w:vAlign w:val="bottom"/>
            <w:hideMark/>
          </w:tcPr>
          <w:p w14:paraId="631C20FE"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w:t>
            </w:r>
          </w:p>
        </w:tc>
        <w:tc>
          <w:tcPr>
            <w:tcW w:w="1120" w:type="dxa"/>
            <w:tcBorders>
              <w:top w:val="nil"/>
              <w:left w:val="nil"/>
              <w:bottom w:val="nil"/>
              <w:right w:val="nil"/>
            </w:tcBorders>
            <w:shd w:val="clear" w:color="000000" w:fill="FFFFFF"/>
            <w:noWrap/>
            <w:vAlign w:val="bottom"/>
            <w:hideMark/>
          </w:tcPr>
          <w:p w14:paraId="492AA430"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IBGE</w:t>
            </w:r>
          </w:p>
        </w:tc>
      </w:tr>
      <w:tr w:rsidR="0090236B" w:rsidRPr="0090236B" w14:paraId="7EE4114A" w14:textId="77777777" w:rsidTr="0090236B">
        <w:trPr>
          <w:trHeight w:val="315"/>
          <w:jc w:val="center"/>
        </w:trPr>
        <w:tc>
          <w:tcPr>
            <w:tcW w:w="4240" w:type="dxa"/>
            <w:tcBorders>
              <w:top w:val="nil"/>
              <w:left w:val="nil"/>
              <w:bottom w:val="nil"/>
              <w:right w:val="nil"/>
            </w:tcBorders>
            <w:shd w:val="clear" w:color="000000" w:fill="FFFFFF"/>
            <w:noWrap/>
            <w:vAlign w:val="bottom"/>
            <w:hideMark/>
          </w:tcPr>
          <w:p w14:paraId="348D5898" w14:textId="77777777" w:rsidR="0090236B" w:rsidRPr="00002236" w:rsidRDefault="0090236B" w:rsidP="00B95905">
            <w:pPr>
              <w:spacing w:after="0" w:line="240" w:lineRule="auto"/>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 xml:space="preserve">Valor Bruto da Produção </w:t>
            </w:r>
          </w:p>
        </w:tc>
        <w:tc>
          <w:tcPr>
            <w:tcW w:w="1460" w:type="dxa"/>
            <w:tcBorders>
              <w:top w:val="nil"/>
              <w:left w:val="nil"/>
              <w:bottom w:val="nil"/>
              <w:right w:val="nil"/>
            </w:tcBorders>
            <w:shd w:val="clear" w:color="000000" w:fill="FFFFFF"/>
            <w:noWrap/>
            <w:vAlign w:val="bottom"/>
            <w:hideMark/>
          </w:tcPr>
          <w:p w14:paraId="2D8C9CBB"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w:t>
            </w:r>
          </w:p>
        </w:tc>
        <w:tc>
          <w:tcPr>
            <w:tcW w:w="1120" w:type="dxa"/>
            <w:tcBorders>
              <w:top w:val="nil"/>
              <w:left w:val="nil"/>
              <w:bottom w:val="nil"/>
              <w:right w:val="nil"/>
            </w:tcBorders>
            <w:shd w:val="clear" w:color="000000" w:fill="FFFFFF"/>
            <w:noWrap/>
            <w:vAlign w:val="bottom"/>
            <w:hideMark/>
          </w:tcPr>
          <w:p w14:paraId="06657FCA"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PIA/IBGE</w:t>
            </w:r>
          </w:p>
        </w:tc>
      </w:tr>
      <w:tr w:rsidR="0090236B" w:rsidRPr="0090236B" w14:paraId="50F45C2B" w14:textId="77777777" w:rsidTr="0090236B">
        <w:trPr>
          <w:trHeight w:val="315"/>
          <w:jc w:val="center"/>
        </w:trPr>
        <w:tc>
          <w:tcPr>
            <w:tcW w:w="4240" w:type="dxa"/>
            <w:tcBorders>
              <w:top w:val="nil"/>
              <w:left w:val="nil"/>
              <w:bottom w:val="nil"/>
              <w:right w:val="nil"/>
            </w:tcBorders>
            <w:shd w:val="clear" w:color="000000" w:fill="FFFFFF"/>
            <w:noWrap/>
            <w:vAlign w:val="bottom"/>
            <w:hideMark/>
          </w:tcPr>
          <w:p w14:paraId="0E784AD5" w14:textId="77777777" w:rsidR="0090236B" w:rsidRPr="00002236" w:rsidRDefault="0090236B" w:rsidP="00B95905">
            <w:pPr>
              <w:spacing w:after="0" w:line="240" w:lineRule="auto"/>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 xml:space="preserve">Valor da Transformação Industrial </w:t>
            </w:r>
          </w:p>
        </w:tc>
        <w:tc>
          <w:tcPr>
            <w:tcW w:w="1460" w:type="dxa"/>
            <w:tcBorders>
              <w:top w:val="nil"/>
              <w:left w:val="nil"/>
              <w:bottom w:val="nil"/>
              <w:right w:val="nil"/>
            </w:tcBorders>
            <w:shd w:val="clear" w:color="000000" w:fill="FFFFFF"/>
            <w:noWrap/>
            <w:vAlign w:val="bottom"/>
            <w:hideMark/>
          </w:tcPr>
          <w:p w14:paraId="37DB861A"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w:t>
            </w:r>
          </w:p>
        </w:tc>
        <w:tc>
          <w:tcPr>
            <w:tcW w:w="1120" w:type="dxa"/>
            <w:tcBorders>
              <w:top w:val="nil"/>
              <w:left w:val="nil"/>
              <w:bottom w:val="nil"/>
              <w:right w:val="nil"/>
            </w:tcBorders>
            <w:shd w:val="clear" w:color="000000" w:fill="FFFFFF"/>
            <w:noWrap/>
            <w:vAlign w:val="bottom"/>
            <w:hideMark/>
          </w:tcPr>
          <w:p w14:paraId="7BB45A2D"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PIA/IBGE</w:t>
            </w:r>
          </w:p>
        </w:tc>
      </w:tr>
      <w:tr w:rsidR="0090236B" w:rsidRPr="0090236B" w14:paraId="19B468BA" w14:textId="77777777" w:rsidTr="0090236B">
        <w:trPr>
          <w:trHeight w:val="315"/>
          <w:jc w:val="center"/>
        </w:trPr>
        <w:tc>
          <w:tcPr>
            <w:tcW w:w="4240" w:type="dxa"/>
            <w:tcBorders>
              <w:top w:val="nil"/>
              <w:left w:val="nil"/>
              <w:bottom w:val="nil"/>
              <w:right w:val="nil"/>
            </w:tcBorders>
            <w:shd w:val="clear" w:color="000000" w:fill="FFFFFF"/>
            <w:noWrap/>
            <w:vAlign w:val="bottom"/>
            <w:hideMark/>
          </w:tcPr>
          <w:p w14:paraId="4980C625" w14:textId="77777777" w:rsidR="0090236B" w:rsidRPr="00002236" w:rsidRDefault="0090236B" w:rsidP="00B95905">
            <w:pPr>
              <w:spacing w:after="0" w:line="240" w:lineRule="auto"/>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Número de estabelecimentos</w:t>
            </w:r>
          </w:p>
        </w:tc>
        <w:tc>
          <w:tcPr>
            <w:tcW w:w="1460" w:type="dxa"/>
            <w:tcBorders>
              <w:top w:val="nil"/>
              <w:left w:val="nil"/>
              <w:bottom w:val="nil"/>
              <w:right w:val="nil"/>
            </w:tcBorders>
            <w:shd w:val="clear" w:color="000000" w:fill="FFFFFF"/>
            <w:noWrap/>
            <w:vAlign w:val="bottom"/>
            <w:hideMark/>
          </w:tcPr>
          <w:p w14:paraId="6C3E6230"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Número índice</w:t>
            </w:r>
          </w:p>
        </w:tc>
        <w:tc>
          <w:tcPr>
            <w:tcW w:w="1120" w:type="dxa"/>
            <w:tcBorders>
              <w:top w:val="nil"/>
              <w:left w:val="nil"/>
              <w:bottom w:val="nil"/>
              <w:right w:val="nil"/>
            </w:tcBorders>
            <w:shd w:val="clear" w:color="000000" w:fill="FFFFFF"/>
            <w:noWrap/>
            <w:vAlign w:val="bottom"/>
            <w:hideMark/>
          </w:tcPr>
          <w:p w14:paraId="3049C918"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PIA/IBGE</w:t>
            </w:r>
          </w:p>
        </w:tc>
      </w:tr>
      <w:tr w:rsidR="0090236B" w:rsidRPr="0090236B" w14:paraId="39BDE089" w14:textId="77777777" w:rsidTr="0090236B">
        <w:trPr>
          <w:trHeight w:val="315"/>
          <w:jc w:val="center"/>
        </w:trPr>
        <w:tc>
          <w:tcPr>
            <w:tcW w:w="4240" w:type="dxa"/>
            <w:tcBorders>
              <w:top w:val="nil"/>
              <w:left w:val="nil"/>
              <w:bottom w:val="nil"/>
              <w:right w:val="nil"/>
            </w:tcBorders>
            <w:shd w:val="clear" w:color="000000" w:fill="FFFFFF"/>
            <w:noWrap/>
            <w:vAlign w:val="bottom"/>
            <w:hideMark/>
          </w:tcPr>
          <w:p w14:paraId="3922543A" w14:textId="77777777" w:rsidR="0090236B" w:rsidRPr="00002236" w:rsidRDefault="0090236B" w:rsidP="00B95905">
            <w:pPr>
              <w:spacing w:after="0" w:line="240" w:lineRule="auto"/>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Emprego</w:t>
            </w:r>
          </w:p>
        </w:tc>
        <w:tc>
          <w:tcPr>
            <w:tcW w:w="1460" w:type="dxa"/>
            <w:tcBorders>
              <w:top w:val="nil"/>
              <w:left w:val="nil"/>
              <w:bottom w:val="nil"/>
              <w:right w:val="nil"/>
            </w:tcBorders>
            <w:shd w:val="clear" w:color="000000" w:fill="FFFFFF"/>
            <w:noWrap/>
            <w:vAlign w:val="bottom"/>
            <w:hideMark/>
          </w:tcPr>
          <w:p w14:paraId="750618CC"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Número índice</w:t>
            </w:r>
          </w:p>
        </w:tc>
        <w:tc>
          <w:tcPr>
            <w:tcW w:w="1120" w:type="dxa"/>
            <w:tcBorders>
              <w:top w:val="nil"/>
              <w:left w:val="nil"/>
              <w:bottom w:val="nil"/>
              <w:right w:val="nil"/>
            </w:tcBorders>
            <w:shd w:val="clear" w:color="000000" w:fill="FFFFFF"/>
            <w:noWrap/>
            <w:vAlign w:val="bottom"/>
            <w:hideMark/>
          </w:tcPr>
          <w:p w14:paraId="05F24140"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PIA/IBGE</w:t>
            </w:r>
          </w:p>
        </w:tc>
      </w:tr>
      <w:tr w:rsidR="0090236B" w:rsidRPr="0090236B" w14:paraId="7489901F" w14:textId="77777777" w:rsidTr="0090236B">
        <w:trPr>
          <w:trHeight w:val="315"/>
          <w:jc w:val="center"/>
        </w:trPr>
        <w:tc>
          <w:tcPr>
            <w:tcW w:w="4240" w:type="dxa"/>
            <w:tcBorders>
              <w:top w:val="nil"/>
              <w:left w:val="nil"/>
              <w:bottom w:val="nil"/>
              <w:right w:val="nil"/>
            </w:tcBorders>
            <w:shd w:val="clear" w:color="000000" w:fill="FFFFFF"/>
            <w:noWrap/>
            <w:vAlign w:val="bottom"/>
            <w:hideMark/>
          </w:tcPr>
          <w:p w14:paraId="445BA8A8" w14:textId="77777777" w:rsidR="0090236B" w:rsidRPr="00002236" w:rsidRDefault="0090236B" w:rsidP="00B95905">
            <w:pPr>
              <w:spacing w:after="0" w:line="240" w:lineRule="auto"/>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 xml:space="preserve">Exportações </w:t>
            </w:r>
          </w:p>
        </w:tc>
        <w:tc>
          <w:tcPr>
            <w:tcW w:w="1460" w:type="dxa"/>
            <w:tcBorders>
              <w:top w:val="nil"/>
              <w:left w:val="nil"/>
              <w:bottom w:val="nil"/>
              <w:right w:val="nil"/>
            </w:tcBorders>
            <w:shd w:val="clear" w:color="000000" w:fill="FFFFFF"/>
            <w:noWrap/>
            <w:vAlign w:val="bottom"/>
            <w:hideMark/>
          </w:tcPr>
          <w:p w14:paraId="0B621A6A"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w:t>
            </w:r>
          </w:p>
        </w:tc>
        <w:tc>
          <w:tcPr>
            <w:tcW w:w="1120" w:type="dxa"/>
            <w:tcBorders>
              <w:top w:val="nil"/>
              <w:left w:val="nil"/>
              <w:bottom w:val="nil"/>
              <w:right w:val="nil"/>
            </w:tcBorders>
            <w:shd w:val="clear" w:color="000000" w:fill="FFFFFF"/>
            <w:noWrap/>
            <w:vAlign w:val="bottom"/>
            <w:hideMark/>
          </w:tcPr>
          <w:p w14:paraId="4D9BFEC4"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ComexStat</w:t>
            </w:r>
          </w:p>
        </w:tc>
      </w:tr>
      <w:tr w:rsidR="0090236B" w:rsidRPr="0090236B" w14:paraId="495F1797" w14:textId="77777777" w:rsidTr="0090236B">
        <w:trPr>
          <w:trHeight w:val="315"/>
          <w:jc w:val="center"/>
        </w:trPr>
        <w:tc>
          <w:tcPr>
            <w:tcW w:w="4240" w:type="dxa"/>
            <w:tcBorders>
              <w:top w:val="nil"/>
              <w:left w:val="nil"/>
              <w:bottom w:val="nil"/>
              <w:right w:val="nil"/>
            </w:tcBorders>
            <w:shd w:val="clear" w:color="000000" w:fill="FFFFFF"/>
            <w:noWrap/>
            <w:vAlign w:val="bottom"/>
            <w:hideMark/>
          </w:tcPr>
          <w:p w14:paraId="5C6AFD2E" w14:textId="77777777" w:rsidR="0090236B" w:rsidRPr="00002236" w:rsidRDefault="0090236B" w:rsidP="00B95905">
            <w:pPr>
              <w:spacing w:after="0" w:line="240" w:lineRule="auto"/>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Importações</w:t>
            </w:r>
          </w:p>
        </w:tc>
        <w:tc>
          <w:tcPr>
            <w:tcW w:w="1460" w:type="dxa"/>
            <w:tcBorders>
              <w:top w:val="nil"/>
              <w:left w:val="nil"/>
              <w:bottom w:val="nil"/>
              <w:right w:val="nil"/>
            </w:tcBorders>
            <w:shd w:val="clear" w:color="000000" w:fill="FFFFFF"/>
            <w:noWrap/>
            <w:vAlign w:val="bottom"/>
            <w:hideMark/>
          </w:tcPr>
          <w:p w14:paraId="0F7FBABC"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w:t>
            </w:r>
          </w:p>
        </w:tc>
        <w:tc>
          <w:tcPr>
            <w:tcW w:w="1120" w:type="dxa"/>
            <w:tcBorders>
              <w:top w:val="nil"/>
              <w:left w:val="nil"/>
              <w:bottom w:val="nil"/>
              <w:right w:val="nil"/>
            </w:tcBorders>
            <w:shd w:val="clear" w:color="000000" w:fill="FFFFFF"/>
            <w:noWrap/>
            <w:vAlign w:val="bottom"/>
            <w:hideMark/>
          </w:tcPr>
          <w:p w14:paraId="322B7CCA"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ComexStat</w:t>
            </w:r>
          </w:p>
        </w:tc>
      </w:tr>
      <w:tr w:rsidR="0090236B" w:rsidRPr="0090236B" w14:paraId="646E1C8E" w14:textId="77777777" w:rsidTr="0090236B">
        <w:trPr>
          <w:trHeight w:val="330"/>
          <w:jc w:val="center"/>
        </w:trPr>
        <w:tc>
          <w:tcPr>
            <w:tcW w:w="4240" w:type="dxa"/>
            <w:tcBorders>
              <w:top w:val="nil"/>
              <w:left w:val="nil"/>
              <w:bottom w:val="double" w:sz="6" w:space="0" w:color="auto"/>
              <w:right w:val="nil"/>
            </w:tcBorders>
            <w:shd w:val="clear" w:color="000000" w:fill="FFFFFF"/>
            <w:noWrap/>
            <w:vAlign w:val="bottom"/>
            <w:hideMark/>
          </w:tcPr>
          <w:p w14:paraId="6018DD43" w14:textId="77777777" w:rsidR="0090236B" w:rsidRPr="00002236" w:rsidRDefault="0090236B" w:rsidP="00B95905">
            <w:pPr>
              <w:spacing w:after="0" w:line="240" w:lineRule="auto"/>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Coeficiente de Penetração das Importações</w:t>
            </w:r>
          </w:p>
        </w:tc>
        <w:tc>
          <w:tcPr>
            <w:tcW w:w="1460" w:type="dxa"/>
            <w:tcBorders>
              <w:top w:val="nil"/>
              <w:left w:val="nil"/>
              <w:bottom w:val="double" w:sz="6" w:space="0" w:color="auto"/>
              <w:right w:val="nil"/>
            </w:tcBorders>
            <w:shd w:val="clear" w:color="000000" w:fill="FFFFFF"/>
            <w:noWrap/>
            <w:vAlign w:val="bottom"/>
            <w:hideMark/>
          </w:tcPr>
          <w:p w14:paraId="34ED3246" w14:textId="1C249706" w:rsidR="0090236B" w:rsidRPr="00002236" w:rsidRDefault="002050E7"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CP</w:t>
            </w:r>
            <w:r w:rsidR="0090236B" w:rsidRPr="00002236">
              <w:rPr>
                <w:rFonts w:ascii="Times New Roman" w:eastAsia="Times New Roman" w:hAnsi="Times New Roman" w:cs="Times New Roman"/>
                <w:color w:val="000000"/>
                <w:sz w:val="20"/>
                <w:szCs w:val="20"/>
                <w:lang w:eastAsia="pt-BR"/>
              </w:rPr>
              <w:t>M</w:t>
            </w:r>
          </w:p>
        </w:tc>
        <w:tc>
          <w:tcPr>
            <w:tcW w:w="1120" w:type="dxa"/>
            <w:tcBorders>
              <w:top w:val="nil"/>
              <w:left w:val="nil"/>
              <w:bottom w:val="double" w:sz="6" w:space="0" w:color="auto"/>
              <w:right w:val="nil"/>
            </w:tcBorders>
            <w:shd w:val="clear" w:color="000000" w:fill="FFFFFF"/>
            <w:noWrap/>
            <w:vAlign w:val="bottom"/>
            <w:hideMark/>
          </w:tcPr>
          <w:p w14:paraId="0AAE8698" w14:textId="77777777" w:rsidR="0090236B" w:rsidRPr="00002236" w:rsidRDefault="0090236B" w:rsidP="00B95905">
            <w:pPr>
              <w:spacing w:after="0" w:line="240" w:lineRule="auto"/>
              <w:jc w:val="center"/>
              <w:rPr>
                <w:rFonts w:ascii="Times New Roman" w:eastAsia="Times New Roman" w:hAnsi="Times New Roman" w:cs="Times New Roman"/>
                <w:color w:val="000000"/>
                <w:sz w:val="20"/>
                <w:szCs w:val="20"/>
                <w:lang w:eastAsia="pt-BR"/>
              </w:rPr>
            </w:pPr>
            <w:r w:rsidRPr="00002236">
              <w:rPr>
                <w:rFonts w:ascii="Times New Roman" w:eastAsia="Times New Roman" w:hAnsi="Times New Roman" w:cs="Times New Roman"/>
                <w:color w:val="000000"/>
                <w:sz w:val="20"/>
                <w:szCs w:val="20"/>
                <w:lang w:eastAsia="pt-BR"/>
              </w:rPr>
              <w:t>ComexStat</w:t>
            </w:r>
          </w:p>
        </w:tc>
      </w:tr>
    </w:tbl>
    <w:p w14:paraId="158F1461" w14:textId="3027BEBA" w:rsidR="00EB5790" w:rsidRPr="0090236B" w:rsidRDefault="0090236B" w:rsidP="00B95905">
      <w:pPr>
        <w:spacing w:after="0" w:line="240" w:lineRule="auto"/>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 xml:space="preserve">                     </w:t>
      </w:r>
      <w:r w:rsidRPr="0090236B">
        <w:rPr>
          <w:rFonts w:ascii="Times New Roman" w:eastAsia="Times New Roman" w:hAnsi="Times New Roman" w:cs="Times New Roman"/>
          <w:b/>
          <w:sz w:val="20"/>
          <w:szCs w:val="20"/>
          <w:lang w:eastAsia="pt-BR"/>
        </w:rPr>
        <w:t>Fonte: Elaborado pelos autores</w:t>
      </w:r>
    </w:p>
    <w:p w14:paraId="5AA02731" w14:textId="77777777" w:rsidR="009E3527" w:rsidRDefault="009E3527" w:rsidP="009826B5">
      <w:pPr>
        <w:spacing w:after="0" w:line="240" w:lineRule="auto"/>
        <w:ind w:firstLine="709"/>
        <w:jc w:val="both"/>
        <w:rPr>
          <w:rFonts w:ascii="Times New Roman" w:hAnsi="Times New Roman" w:cs="Times New Roman"/>
          <w:color w:val="000000" w:themeColor="text1"/>
          <w:sz w:val="24"/>
          <w:szCs w:val="24"/>
        </w:rPr>
      </w:pPr>
    </w:p>
    <w:p w14:paraId="00783C55" w14:textId="7A3086D2" w:rsidR="00002236" w:rsidRDefault="00002236" w:rsidP="00781769">
      <w:pPr>
        <w:spacing w:after="0" w:line="360" w:lineRule="auto"/>
        <w:ind w:firstLine="709"/>
        <w:jc w:val="both"/>
        <w:rPr>
          <w:rFonts w:ascii="Times New Roman" w:hAnsi="Times New Roman" w:cs="Times New Roman"/>
          <w:b/>
          <w:bCs/>
          <w:sz w:val="24"/>
          <w:szCs w:val="24"/>
        </w:rPr>
      </w:pPr>
      <w:r w:rsidRPr="003C3BDB">
        <w:rPr>
          <w:rFonts w:ascii="Times New Roman" w:eastAsia="Times New Roman" w:hAnsi="Times New Roman" w:cs="Times New Roman"/>
          <w:color w:val="000000"/>
          <w:sz w:val="24"/>
          <w:szCs w:val="24"/>
          <w:lang w:eastAsia="pt-BR"/>
        </w:rPr>
        <w:t>Cabe ressaltar que a metodologia da OECD (2011) é construída a partir de dois indicadores de intensidade tecnológica, a saber: 1) gastos em P&amp;D divididos por valor agregado do setor; 2) gastos em pesquisa e desenvolvimento (P&amp;D) divididos pela produção do setor. Como demonstr</w:t>
      </w:r>
      <w:r w:rsidR="004B4495">
        <w:rPr>
          <w:rFonts w:ascii="Times New Roman" w:eastAsia="Times New Roman" w:hAnsi="Times New Roman" w:cs="Times New Roman"/>
          <w:color w:val="000000"/>
          <w:sz w:val="24"/>
          <w:szCs w:val="24"/>
          <w:lang w:eastAsia="pt-BR"/>
        </w:rPr>
        <w:t xml:space="preserve">ação da </w:t>
      </w:r>
      <w:r w:rsidR="004B4495" w:rsidRPr="005B4D26">
        <w:rPr>
          <w:rFonts w:ascii="Times New Roman" w:eastAsia="Times New Roman" w:hAnsi="Times New Roman" w:cs="Times New Roman"/>
          <w:sz w:val="24"/>
          <w:szCs w:val="24"/>
          <w:lang w:eastAsia="pt-BR"/>
        </w:rPr>
        <w:t>referida metodologia, a Tabela 1 apresenta as variáveis e indicadores utilizados neste estudo. O Q</w:t>
      </w:r>
      <w:r w:rsidRPr="005B4D26">
        <w:rPr>
          <w:rFonts w:ascii="Times New Roman" w:eastAsia="Times New Roman" w:hAnsi="Times New Roman" w:cs="Times New Roman"/>
          <w:sz w:val="24"/>
          <w:szCs w:val="24"/>
          <w:lang w:eastAsia="pt-BR"/>
        </w:rPr>
        <w:t xml:space="preserve">uadro 2 </w:t>
      </w:r>
      <w:r w:rsidRPr="003C3BDB">
        <w:rPr>
          <w:rFonts w:ascii="Times New Roman" w:eastAsia="Times New Roman" w:hAnsi="Times New Roman" w:cs="Times New Roman"/>
          <w:color w:val="000000"/>
          <w:sz w:val="24"/>
          <w:szCs w:val="24"/>
          <w:lang w:eastAsia="pt-BR"/>
        </w:rPr>
        <w:t>mostra os setores por intensidade tecnológica e seus respectivos grupos.</w:t>
      </w:r>
      <w:r>
        <w:rPr>
          <w:rFonts w:ascii="Times New Roman" w:hAnsi="Times New Roman" w:cs="Times New Roman"/>
          <w:b/>
          <w:bCs/>
          <w:sz w:val="24"/>
          <w:szCs w:val="24"/>
        </w:rPr>
        <w:t xml:space="preserve"> </w:t>
      </w:r>
    </w:p>
    <w:p w14:paraId="6010C3EF" w14:textId="13F36316" w:rsidR="005B4D26" w:rsidRDefault="005B4D26" w:rsidP="00781769">
      <w:pPr>
        <w:spacing w:after="0" w:line="360" w:lineRule="auto"/>
        <w:ind w:firstLine="709"/>
        <w:jc w:val="both"/>
        <w:rPr>
          <w:rFonts w:ascii="Times New Roman" w:hAnsi="Times New Roman" w:cs="Times New Roman"/>
          <w:b/>
          <w:bCs/>
          <w:sz w:val="24"/>
          <w:szCs w:val="24"/>
        </w:rPr>
      </w:pPr>
    </w:p>
    <w:p w14:paraId="41C96CF4" w14:textId="35E01281" w:rsidR="005B4D26" w:rsidRPr="00C67BD8" w:rsidRDefault="005B4D26" w:rsidP="005B4D26">
      <w:pPr>
        <w:pStyle w:val="Legenda"/>
        <w:keepNext/>
        <w:jc w:val="center"/>
        <w:rPr>
          <w:rFonts w:ascii="Times New Roman" w:hAnsi="Times New Roman" w:cs="Times New Roman"/>
          <w:color w:val="auto"/>
          <w:sz w:val="24"/>
          <w:szCs w:val="24"/>
        </w:rPr>
      </w:pPr>
      <w:bookmarkStart w:id="2" w:name="_Toc444035603"/>
      <w:r w:rsidRPr="00C67BD8">
        <w:rPr>
          <w:rFonts w:ascii="Times New Roman" w:hAnsi="Times New Roman" w:cs="Times New Roman"/>
          <w:color w:val="auto"/>
          <w:sz w:val="24"/>
          <w:szCs w:val="24"/>
        </w:rPr>
        <w:lastRenderedPageBreak/>
        <w:t xml:space="preserve">Quadro </w:t>
      </w:r>
      <w:r w:rsidRPr="00C67BD8">
        <w:rPr>
          <w:rFonts w:ascii="Times New Roman" w:hAnsi="Times New Roman" w:cs="Times New Roman"/>
          <w:color w:val="auto"/>
          <w:sz w:val="24"/>
          <w:szCs w:val="24"/>
        </w:rPr>
        <w:fldChar w:fldCharType="begin"/>
      </w:r>
      <w:r w:rsidRPr="00C67BD8">
        <w:rPr>
          <w:rFonts w:ascii="Times New Roman" w:hAnsi="Times New Roman" w:cs="Times New Roman"/>
          <w:color w:val="auto"/>
          <w:sz w:val="24"/>
          <w:szCs w:val="24"/>
        </w:rPr>
        <w:instrText xml:space="preserve"> SEQ Quadro \* ARABIC </w:instrText>
      </w:r>
      <w:r w:rsidRPr="00C67BD8">
        <w:rPr>
          <w:rFonts w:ascii="Times New Roman" w:hAnsi="Times New Roman" w:cs="Times New Roman"/>
          <w:color w:val="auto"/>
          <w:sz w:val="24"/>
          <w:szCs w:val="24"/>
        </w:rPr>
        <w:fldChar w:fldCharType="separate"/>
      </w:r>
      <w:r w:rsidRPr="00C67BD8">
        <w:rPr>
          <w:rFonts w:ascii="Times New Roman" w:hAnsi="Times New Roman" w:cs="Times New Roman"/>
          <w:noProof/>
          <w:color w:val="auto"/>
          <w:sz w:val="24"/>
          <w:szCs w:val="24"/>
        </w:rPr>
        <w:t>2</w:t>
      </w:r>
      <w:r w:rsidRPr="00C67BD8">
        <w:rPr>
          <w:rFonts w:ascii="Times New Roman" w:hAnsi="Times New Roman" w:cs="Times New Roman"/>
          <w:color w:val="auto"/>
          <w:sz w:val="24"/>
          <w:szCs w:val="24"/>
        </w:rPr>
        <w:fldChar w:fldCharType="end"/>
      </w:r>
      <w:r w:rsidRPr="00C67BD8">
        <w:rPr>
          <w:rFonts w:ascii="Times New Roman" w:hAnsi="Times New Roman" w:cs="Times New Roman"/>
          <w:color w:val="auto"/>
          <w:sz w:val="24"/>
          <w:szCs w:val="24"/>
        </w:rPr>
        <w:t>: Classificação dos setores por intensidade tecnológica</w:t>
      </w:r>
      <w:bookmarkEnd w:id="2"/>
      <w:r w:rsidRPr="00C67BD8">
        <w:rPr>
          <w:rFonts w:ascii="Times New Roman" w:hAnsi="Times New Roman" w:cs="Times New Roman"/>
          <w:color w:val="auto"/>
          <w:sz w:val="24"/>
          <w:szCs w:val="24"/>
        </w:rPr>
        <w:t>, segundo OCDE.</w:t>
      </w:r>
    </w:p>
    <w:p w14:paraId="67659758" w14:textId="77777777" w:rsidR="005B4D26" w:rsidRDefault="005B4D26" w:rsidP="005B4D26">
      <w:pPr>
        <w:keepNext/>
        <w:spacing w:line="240" w:lineRule="auto"/>
        <w:jc w:val="center"/>
      </w:pPr>
      <w:r>
        <w:rPr>
          <w:noProof/>
          <w:lang w:eastAsia="pt-BR"/>
        </w:rPr>
        <w:drawing>
          <wp:inline distT="0" distB="0" distL="0" distR="0" wp14:anchorId="29C28489" wp14:editId="718687E5">
            <wp:extent cx="5391150" cy="3228975"/>
            <wp:effectExtent l="0" t="0" r="0"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1150" cy="3228975"/>
                    </a:xfrm>
                    <a:prstGeom prst="rect">
                      <a:avLst/>
                    </a:prstGeom>
                  </pic:spPr>
                </pic:pic>
              </a:graphicData>
            </a:graphic>
          </wp:inline>
        </w:drawing>
      </w:r>
    </w:p>
    <w:p w14:paraId="3F6BE87B" w14:textId="0817EB2B" w:rsidR="005B4D26" w:rsidRPr="00B21A88" w:rsidRDefault="005B4D26" w:rsidP="005B4D26">
      <w:pPr>
        <w:pStyle w:val="SemEspaamento"/>
        <w:rPr>
          <w:rFonts w:ascii="Times New Roman" w:hAnsi="Times New Roman" w:cs="Times New Roman"/>
          <w:b/>
          <w:sz w:val="20"/>
          <w:szCs w:val="20"/>
        </w:rPr>
      </w:pPr>
      <w:r w:rsidRPr="000B0AFF">
        <w:rPr>
          <w:rFonts w:ascii="Arial" w:hAnsi="Arial" w:cs="Arial"/>
          <w:b/>
          <w:sz w:val="20"/>
          <w:szCs w:val="20"/>
        </w:rPr>
        <w:t xml:space="preserve">       </w:t>
      </w:r>
      <w:r w:rsidRPr="00B21A88">
        <w:rPr>
          <w:rFonts w:ascii="Times New Roman" w:hAnsi="Times New Roman" w:cs="Times New Roman"/>
          <w:b/>
          <w:sz w:val="20"/>
          <w:szCs w:val="20"/>
        </w:rPr>
        <w:t>Fonte: OCDE (2011)</w:t>
      </w:r>
      <w:r w:rsidR="00A7240A" w:rsidRPr="00B21A88">
        <w:rPr>
          <w:rFonts w:ascii="Times New Roman" w:hAnsi="Times New Roman" w:cs="Times New Roman"/>
          <w:b/>
          <w:sz w:val="20"/>
          <w:szCs w:val="20"/>
        </w:rPr>
        <w:t xml:space="preserve"> apud Silva</w:t>
      </w:r>
      <w:r w:rsidRPr="00B21A88">
        <w:rPr>
          <w:rFonts w:ascii="Times New Roman" w:hAnsi="Times New Roman" w:cs="Times New Roman"/>
          <w:b/>
          <w:sz w:val="20"/>
          <w:szCs w:val="20"/>
        </w:rPr>
        <w:t xml:space="preserve"> (2012).</w:t>
      </w:r>
    </w:p>
    <w:p w14:paraId="7B2CF3B1" w14:textId="7510E6C3" w:rsidR="005B4D26" w:rsidRDefault="005B4D26" w:rsidP="00002236">
      <w:pPr>
        <w:spacing w:after="0" w:line="240" w:lineRule="auto"/>
        <w:ind w:firstLine="709"/>
        <w:jc w:val="both"/>
        <w:rPr>
          <w:rFonts w:ascii="Times New Roman" w:hAnsi="Times New Roman" w:cs="Times New Roman"/>
          <w:b/>
          <w:bCs/>
          <w:sz w:val="24"/>
          <w:szCs w:val="24"/>
        </w:rPr>
      </w:pPr>
    </w:p>
    <w:p w14:paraId="4AEF7FBE" w14:textId="5F218193" w:rsidR="00781769" w:rsidRDefault="00CE1239" w:rsidP="00781769">
      <w:pPr>
        <w:spacing w:after="0" w:line="360" w:lineRule="auto"/>
        <w:ind w:firstLine="709"/>
        <w:jc w:val="both"/>
        <w:rPr>
          <w:rFonts w:ascii="Times New Roman" w:hAnsi="Times New Roman" w:cs="Times New Roman"/>
          <w:i/>
          <w:color w:val="000000" w:themeColor="text1"/>
          <w:sz w:val="24"/>
          <w:szCs w:val="24"/>
        </w:rPr>
      </w:pPr>
      <w:r w:rsidRPr="00CE1239">
        <w:rPr>
          <w:rFonts w:ascii="Times New Roman" w:hAnsi="Times New Roman" w:cs="Times New Roman"/>
          <w:color w:val="000000" w:themeColor="text1"/>
          <w:sz w:val="24"/>
          <w:szCs w:val="24"/>
        </w:rPr>
        <w:t>Os dados</w:t>
      </w:r>
      <w:r>
        <w:rPr>
          <w:rFonts w:ascii="Times New Roman" w:hAnsi="Times New Roman" w:cs="Times New Roman"/>
          <w:color w:val="000000" w:themeColor="text1"/>
          <w:sz w:val="24"/>
          <w:szCs w:val="24"/>
        </w:rPr>
        <w:t xml:space="preserve"> em dólares</w:t>
      </w:r>
      <w:r w:rsidRPr="00CE1239">
        <w:rPr>
          <w:rFonts w:ascii="Times New Roman" w:hAnsi="Times New Roman" w:cs="Times New Roman"/>
          <w:color w:val="000000" w:themeColor="text1"/>
          <w:sz w:val="24"/>
          <w:szCs w:val="24"/>
        </w:rPr>
        <w:t xml:space="preserve"> foram </w:t>
      </w:r>
      <w:r w:rsidR="00AE64B7" w:rsidRPr="00CE1239">
        <w:rPr>
          <w:rFonts w:ascii="Times New Roman" w:hAnsi="Times New Roman" w:cs="Times New Roman"/>
          <w:color w:val="000000" w:themeColor="text1"/>
          <w:sz w:val="24"/>
          <w:szCs w:val="24"/>
        </w:rPr>
        <w:t>deflacionados pelo IPA</w:t>
      </w:r>
      <w:r>
        <w:rPr>
          <w:rFonts w:ascii="Times New Roman" w:hAnsi="Times New Roman" w:cs="Times New Roman"/>
          <w:color w:val="000000" w:themeColor="text1"/>
          <w:sz w:val="24"/>
          <w:szCs w:val="24"/>
        </w:rPr>
        <w:t xml:space="preserve"> (</w:t>
      </w:r>
      <w:r w:rsidR="00AE64B7" w:rsidRPr="00CE1239">
        <w:rPr>
          <w:rFonts w:ascii="Times New Roman" w:hAnsi="Times New Roman" w:cs="Times New Roman"/>
          <w:color w:val="000000" w:themeColor="text1"/>
          <w:sz w:val="24"/>
          <w:szCs w:val="24"/>
        </w:rPr>
        <w:t>Índice</w:t>
      </w:r>
      <w:r>
        <w:rPr>
          <w:rFonts w:ascii="Times New Roman" w:hAnsi="Times New Roman" w:cs="Times New Roman"/>
          <w:color w:val="000000" w:themeColor="text1"/>
          <w:sz w:val="24"/>
          <w:szCs w:val="24"/>
        </w:rPr>
        <w:t xml:space="preserve"> de Preços por Atacado dos </w:t>
      </w:r>
      <w:r w:rsidR="00AE64B7" w:rsidRPr="00CE1239">
        <w:rPr>
          <w:rFonts w:ascii="Times New Roman" w:hAnsi="Times New Roman" w:cs="Times New Roman"/>
          <w:color w:val="000000" w:themeColor="text1"/>
          <w:sz w:val="24"/>
          <w:szCs w:val="24"/>
        </w:rPr>
        <w:t>Estados Unidos da América</w:t>
      </w:r>
      <w:r>
        <w:rPr>
          <w:rFonts w:ascii="Times New Roman" w:hAnsi="Times New Roman" w:cs="Times New Roman"/>
          <w:color w:val="000000" w:themeColor="text1"/>
          <w:sz w:val="24"/>
          <w:szCs w:val="24"/>
        </w:rPr>
        <w:t xml:space="preserve"> - EUA), disponibilizados</w:t>
      </w:r>
      <w:r w:rsidR="00AE64B7" w:rsidRPr="00CE1239">
        <w:rPr>
          <w:rFonts w:ascii="Times New Roman" w:hAnsi="Times New Roman" w:cs="Times New Roman"/>
          <w:color w:val="000000" w:themeColor="text1"/>
          <w:sz w:val="24"/>
          <w:szCs w:val="24"/>
        </w:rPr>
        <w:t xml:space="preserve"> pelo Fundo Monetário Internacional, International Financi</w:t>
      </w:r>
      <w:r>
        <w:rPr>
          <w:rFonts w:ascii="Times New Roman" w:hAnsi="Times New Roman" w:cs="Times New Roman"/>
          <w:color w:val="000000" w:themeColor="text1"/>
          <w:sz w:val="24"/>
          <w:szCs w:val="24"/>
        </w:rPr>
        <w:t>al Statistics (FMI/IFS). Conforme Zini (199</w:t>
      </w:r>
      <w:r w:rsidR="004B4495">
        <w:rPr>
          <w:rFonts w:ascii="Times New Roman" w:hAnsi="Times New Roman" w:cs="Times New Roman"/>
          <w:color w:val="000000" w:themeColor="text1"/>
          <w:sz w:val="24"/>
          <w:szCs w:val="24"/>
        </w:rPr>
        <w:t>3), para melhor precisão opta-se</w:t>
      </w:r>
      <w:r>
        <w:rPr>
          <w:rFonts w:ascii="Times New Roman" w:hAnsi="Times New Roman" w:cs="Times New Roman"/>
          <w:color w:val="000000" w:themeColor="text1"/>
          <w:sz w:val="24"/>
          <w:szCs w:val="24"/>
        </w:rPr>
        <w:t xml:space="preserve"> por</w:t>
      </w:r>
      <w:r w:rsidR="00AE64B7" w:rsidRPr="00CE1239">
        <w:rPr>
          <w:rFonts w:ascii="Times New Roman" w:hAnsi="Times New Roman" w:cs="Times New Roman"/>
          <w:color w:val="000000" w:themeColor="text1"/>
          <w:sz w:val="24"/>
          <w:szCs w:val="24"/>
        </w:rPr>
        <w:t xml:space="preserve"> utilizar o IPA</w:t>
      </w:r>
      <w:r w:rsidR="004B4495">
        <w:rPr>
          <w:rFonts w:ascii="Times New Roman" w:hAnsi="Times New Roman" w:cs="Times New Roman"/>
          <w:color w:val="000000" w:themeColor="text1"/>
          <w:sz w:val="24"/>
          <w:szCs w:val="24"/>
        </w:rPr>
        <w:t xml:space="preserve"> dado que esse</w:t>
      </w:r>
      <w:r w:rsidR="00AE64B7" w:rsidRPr="00CE1239">
        <w:rPr>
          <w:rFonts w:ascii="Times New Roman" w:hAnsi="Times New Roman" w:cs="Times New Roman"/>
          <w:color w:val="000000" w:themeColor="text1"/>
          <w:sz w:val="24"/>
          <w:szCs w:val="24"/>
        </w:rPr>
        <w:t xml:space="preserve"> reflete a evolução dos preços de produtos indust</w:t>
      </w:r>
      <w:r>
        <w:rPr>
          <w:rFonts w:ascii="Times New Roman" w:hAnsi="Times New Roman" w:cs="Times New Roman"/>
          <w:color w:val="000000" w:themeColor="text1"/>
          <w:sz w:val="24"/>
          <w:szCs w:val="24"/>
        </w:rPr>
        <w:t xml:space="preserve">riais e agrícolas </w:t>
      </w:r>
      <w:r w:rsidR="00AE64B7" w:rsidRPr="00CE1239">
        <w:rPr>
          <w:rFonts w:ascii="Times New Roman" w:hAnsi="Times New Roman" w:cs="Times New Roman"/>
          <w:color w:val="000000" w:themeColor="text1"/>
          <w:sz w:val="24"/>
          <w:szCs w:val="24"/>
        </w:rPr>
        <w:t>caracterizados como comercializáveis (</w:t>
      </w:r>
      <w:r w:rsidR="00AE64B7" w:rsidRPr="00CE1239">
        <w:rPr>
          <w:rFonts w:ascii="Times New Roman" w:hAnsi="Times New Roman" w:cs="Times New Roman"/>
          <w:i/>
          <w:color w:val="000000" w:themeColor="text1"/>
          <w:sz w:val="24"/>
          <w:szCs w:val="24"/>
        </w:rPr>
        <w:t>tradeables</w:t>
      </w:r>
      <w:r>
        <w:rPr>
          <w:rFonts w:ascii="Times New Roman" w:hAnsi="Times New Roman" w:cs="Times New Roman"/>
          <w:color w:val="000000" w:themeColor="text1"/>
          <w:sz w:val="24"/>
          <w:szCs w:val="24"/>
        </w:rPr>
        <w:t>), ao passo que o</w:t>
      </w:r>
      <w:r w:rsidR="00AE64B7" w:rsidRPr="00CE1239">
        <w:rPr>
          <w:rFonts w:ascii="Times New Roman" w:hAnsi="Times New Roman" w:cs="Times New Roman"/>
          <w:color w:val="000000" w:themeColor="text1"/>
          <w:sz w:val="24"/>
          <w:szCs w:val="24"/>
        </w:rPr>
        <w:t xml:space="preserve"> índice de preço</w:t>
      </w:r>
      <w:r>
        <w:rPr>
          <w:rFonts w:ascii="Times New Roman" w:hAnsi="Times New Roman" w:cs="Times New Roman"/>
          <w:color w:val="000000" w:themeColor="text1"/>
          <w:sz w:val="24"/>
          <w:szCs w:val="24"/>
        </w:rPr>
        <w:t>s</w:t>
      </w:r>
      <w:r w:rsidR="00AE64B7" w:rsidRPr="00CE1239">
        <w:rPr>
          <w:rFonts w:ascii="Times New Roman" w:hAnsi="Times New Roman" w:cs="Times New Roman"/>
          <w:color w:val="000000" w:themeColor="text1"/>
          <w:sz w:val="24"/>
          <w:szCs w:val="24"/>
        </w:rPr>
        <w:t xml:space="preserve"> ao consumi</w:t>
      </w:r>
      <w:r>
        <w:rPr>
          <w:rFonts w:ascii="Times New Roman" w:hAnsi="Times New Roman" w:cs="Times New Roman"/>
          <w:color w:val="000000" w:themeColor="text1"/>
          <w:sz w:val="24"/>
          <w:szCs w:val="24"/>
        </w:rPr>
        <w:t xml:space="preserve">dor inclui bens e serviços não-comercializáveis </w:t>
      </w:r>
      <w:r w:rsidRPr="00CE1239">
        <w:rPr>
          <w:rFonts w:ascii="Times New Roman" w:hAnsi="Times New Roman" w:cs="Times New Roman"/>
          <w:color w:val="000000" w:themeColor="text1"/>
          <w:sz w:val="24"/>
          <w:szCs w:val="24"/>
        </w:rPr>
        <w:t>(</w:t>
      </w:r>
      <w:r w:rsidRPr="004B4495">
        <w:rPr>
          <w:rFonts w:ascii="Times New Roman" w:hAnsi="Times New Roman" w:cs="Times New Roman"/>
          <w:i/>
          <w:color w:val="000000" w:themeColor="text1"/>
          <w:sz w:val="24"/>
          <w:szCs w:val="24"/>
        </w:rPr>
        <w:t>non tradeables)</w:t>
      </w:r>
      <w:r w:rsidR="00AE64B7" w:rsidRPr="004B4495">
        <w:rPr>
          <w:rFonts w:ascii="Times New Roman" w:hAnsi="Times New Roman" w:cs="Times New Roman"/>
          <w:i/>
          <w:color w:val="000000" w:themeColor="text1"/>
          <w:sz w:val="24"/>
          <w:szCs w:val="24"/>
        </w:rPr>
        <w:t>.</w:t>
      </w:r>
    </w:p>
    <w:p w14:paraId="2374DFE3" w14:textId="77777777" w:rsidR="00781769" w:rsidRPr="004B4495" w:rsidRDefault="00781769" w:rsidP="00781769">
      <w:pPr>
        <w:spacing w:after="0" w:line="360" w:lineRule="auto"/>
        <w:ind w:firstLine="709"/>
        <w:jc w:val="both"/>
        <w:rPr>
          <w:rFonts w:ascii="Times New Roman" w:hAnsi="Times New Roman" w:cs="Times New Roman"/>
          <w:i/>
          <w:color w:val="000000" w:themeColor="text1"/>
          <w:sz w:val="24"/>
          <w:szCs w:val="24"/>
        </w:rPr>
      </w:pPr>
    </w:p>
    <w:p w14:paraId="0EEC9915" w14:textId="77777777" w:rsidR="00351C82" w:rsidRPr="004B4495" w:rsidRDefault="00351C82" w:rsidP="009826B5">
      <w:pPr>
        <w:spacing w:after="0" w:line="240" w:lineRule="auto"/>
        <w:ind w:firstLine="709"/>
        <w:jc w:val="both"/>
        <w:rPr>
          <w:rFonts w:ascii="Times New Roman" w:hAnsi="Times New Roman" w:cs="Times New Roman"/>
          <w:b/>
          <w:bCs/>
          <w:i/>
          <w:color w:val="000000" w:themeColor="text1"/>
          <w:sz w:val="24"/>
          <w:szCs w:val="24"/>
        </w:rPr>
      </w:pPr>
    </w:p>
    <w:p w14:paraId="14130764" w14:textId="0B4BCE76" w:rsidR="00765274" w:rsidRDefault="00B95A0A" w:rsidP="00781769">
      <w:pPr>
        <w:pStyle w:val="PargrafodaLista"/>
        <w:numPr>
          <w:ilvl w:val="0"/>
          <w:numId w:val="1"/>
        </w:numPr>
        <w:spacing w:after="0" w:line="480" w:lineRule="auto"/>
        <w:ind w:left="0" w:firstLine="0"/>
        <w:rPr>
          <w:rFonts w:ascii="Times New Roman" w:hAnsi="Times New Roman" w:cs="Times New Roman"/>
          <w:b/>
          <w:bCs/>
          <w:sz w:val="24"/>
          <w:szCs w:val="24"/>
        </w:rPr>
      </w:pPr>
      <w:r>
        <w:rPr>
          <w:rFonts w:ascii="Times New Roman" w:hAnsi="Times New Roman" w:cs="Times New Roman"/>
          <w:b/>
          <w:bCs/>
          <w:sz w:val="24"/>
          <w:szCs w:val="24"/>
        </w:rPr>
        <w:t>O setor</w:t>
      </w:r>
      <w:r w:rsidR="00765274" w:rsidRPr="00B95A0A">
        <w:rPr>
          <w:rFonts w:ascii="Times New Roman" w:hAnsi="Times New Roman" w:cs="Times New Roman"/>
          <w:b/>
          <w:bCs/>
          <w:sz w:val="24"/>
          <w:szCs w:val="24"/>
        </w:rPr>
        <w:t xml:space="preserve"> ind</w:t>
      </w:r>
      <w:r>
        <w:rPr>
          <w:rFonts w:ascii="Times New Roman" w:hAnsi="Times New Roman" w:cs="Times New Roman"/>
          <w:b/>
          <w:bCs/>
          <w:sz w:val="24"/>
          <w:szCs w:val="24"/>
        </w:rPr>
        <w:t>u</w:t>
      </w:r>
      <w:r w:rsidR="00765274" w:rsidRPr="00B95A0A">
        <w:rPr>
          <w:rFonts w:ascii="Times New Roman" w:hAnsi="Times New Roman" w:cs="Times New Roman"/>
          <w:b/>
          <w:bCs/>
          <w:sz w:val="24"/>
          <w:szCs w:val="24"/>
        </w:rPr>
        <w:t>stria</w:t>
      </w:r>
      <w:r>
        <w:rPr>
          <w:rFonts w:ascii="Times New Roman" w:hAnsi="Times New Roman" w:cs="Times New Roman"/>
          <w:b/>
          <w:bCs/>
          <w:sz w:val="24"/>
          <w:szCs w:val="24"/>
        </w:rPr>
        <w:t>l</w:t>
      </w:r>
      <w:r w:rsidR="00765274" w:rsidRPr="00B95A0A">
        <w:rPr>
          <w:rFonts w:ascii="Times New Roman" w:hAnsi="Times New Roman" w:cs="Times New Roman"/>
          <w:b/>
          <w:bCs/>
          <w:sz w:val="24"/>
          <w:szCs w:val="24"/>
        </w:rPr>
        <w:t xml:space="preserve"> em Santa Catarina</w:t>
      </w:r>
    </w:p>
    <w:p w14:paraId="763C3053" w14:textId="77777777" w:rsidR="00781769" w:rsidRPr="00B95A0A" w:rsidRDefault="00781769" w:rsidP="00781769">
      <w:pPr>
        <w:pStyle w:val="PargrafodaLista"/>
        <w:spacing w:after="0" w:line="360" w:lineRule="auto"/>
        <w:ind w:left="0"/>
        <w:rPr>
          <w:rFonts w:ascii="Times New Roman" w:hAnsi="Times New Roman" w:cs="Times New Roman"/>
          <w:b/>
          <w:bCs/>
          <w:sz w:val="24"/>
          <w:szCs w:val="24"/>
        </w:rPr>
      </w:pPr>
    </w:p>
    <w:p w14:paraId="273056B6" w14:textId="66873BC0" w:rsidR="00765274" w:rsidRDefault="00C67BD8"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tabela 1</w:t>
      </w:r>
      <w:r w:rsidR="00451E44">
        <w:rPr>
          <w:rFonts w:ascii="Times New Roman" w:hAnsi="Times New Roman" w:cs="Times New Roman"/>
          <w:sz w:val="24"/>
          <w:szCs w:val="24"/>
        </w:rPr>
        <w:t xml:space="preserve"> mostra a evo</w:t>
      </w:r>
      <w:r w:rsidR="00285EF7">
        <w:rPr>
          <w:rFonts w:ascii="Times New Roman" w:hAnsi="Times New Roman" w:cs="Times New Roman"/>
          <w:sz w:val="24"/>
          <w:szCs w:val="24"/>
        </w:rPr>
        <w:t>lução do</w:t>
      </w:r>
      <w:r w:rsidR="00451E44">
        <w:rPr>
          <w:rFonts w:ascii="Times New Roman" w:hAnsi="Times New Roman" w:cs="Times New Roman"/>
          <w:sz w:val="24"/>
          <w:szCs w:val="24"/>
        </w:rPr>
        <w:t xml:space="preserve"> PIB</w:t>
      </w:r>
      <w:r w:rsidR="00145F77">
        <w:rPr>
          <w:rFonts w:ascii="Times New Roman" w:hAnsi="Times New Roman" w:cs="Times New Roman"/>
          <w:sz w:val="24"/>
          <w:szCs w:val="24"/>
        </w:rPr>
        <w:t>,</w:t>
      </w:r>
      <w:r w:rsidR="00451E44">
        <w:rPr>
          <w:rFonts w:ascii="Times New Roman" w:hAnsi="Times New Roman" w:cs="Times New Roman"/>
          <w:sz w:val="24"/>
          <w:szCs w:val="24"/>
        </w:rPr>
        <w:t xml:space="preserve"> total e setorial dos estados d</w:t>
      </w:r>
      <w:r w:rsidR="00285EF7">
        <w:rPr>
          <w:rFonts w:ascii="Times New Roman" w:hAnsi="Times New Roman" w:cs="Times New Roman"/>
          <w:sz w:val="24"/>
          <w:szCs w:val="24"/>
        </w:rPr>
        <w:t>a região Sul. Quando consideramos</w:t>
      </w:r>
      <w:r w:rsidR="00451E44">
        <w:rPr>
          <w:rFonts w:ascii="Times New Roman" w:hAnsi="Times New Roman" w:cs="Times New Roman"/>
          <w:sz w:val="24"/>
          <w:szCs w:val="24"/>
        </w:rPr>
        <w:t xml:space="preserve"> a evolução d</w:t>
      </w:r>
      <w:r w:rsidR="009C5B8D">
        <w:rPr>
          <w:rFonts w:ascii="Times New Roman" w:hAnsi="Times New Roman" w:cs="Times New Roman"/>
          <w:sz w:val="24"/>
          <w:szCs w:val="24"/>
        </w:rPr>
        <w:t>o PIB total</w:t>
      </w:r>
      <w:r w:rsidR="00285EF7">
        <w:rPr>
          <w:rFonts w:ascii="Times New Roman" w:hAnsi="Times New Roman" w:cs="Times New Roman"/>
          <w:sz w:val="24"/>
          <w:szCs w:val="24"/>
        </w:rPr>
        <w:t>,</w:t>
      </w:r>
      <w:r w:rsidR="009C5B8D">
        <w:rPr>
          <w:rFonts w:ascii="Times New Roman" w:hAnsi="Times New Roman" w:cs="Times New Roman"/>
          <w:sz w:val="24"/>
          <w:szCs w:val="24"/>
        </w:rPr>
        <w:t xml:space="preserve"> observa-se que todas a</w:t>
      </w:r>
      <w:r w:rsidR="00451E44">
        <w:rPr>
          <w:rFonts w:ascii="Times New Roman" w:hAnsi="Times New Roman" w:cs="Times New Roman"/>
          <w:sz w:val="24"/>
          <w:szCs w:val="24"/>
        </w:rPr>
        <w:t xml:space="preserve">s </w:t>
      </w:r>
      <w:r w:rsidR="009C5B8D">
        <w:rPr>
          <w:rFonts w:ascii="Times New Roman" w:hAnsi="Times New Roman" w:cs="Times New Roman"/>
          <w:sz w:val="24"/>
          <w:szCs w:val="24"/>
        </w:rPr>
        <w:t>unidades federativas do Sul</w:t>
      </w:r>
      <w:r w:rsidR="00451E44">
        <w:rPr>
          <w:rFonts w:ascii="Times New Roman" w:hAnsi="Times New Roman" w:cs="Times New Roman"/>
          <w:sz w:val="24"/>
          <w:szCs w:val="24"/>
        </w:rPr>
        <w:t xml:space="preserve"> apresentaram evolução posi</w:t>
      </w:r>
      <w:r w:rsidR="00145F77">
        <w:rPr>
          <w:rFonts w:ascii="Times New Roman" w:hAnsi="Times New Roman" w:cs="Times New Roman"/>
          <w:sz w:val="24"/>
          <w:szCs w:val="24"/>
        </w:rPr>
        <w:t xml:space="preserve">tiva nos períodos selecionados, </w:t>
      </w:r>
      <w:r w:rsidR="00451E44">
        <w:rPr>
          <w:rFonts w:ascii="Times New Roman" w:hAnsi="Times New Roman" w:cs="Times New Roman"/>
          <w:sz w:val="24"/>
          <w:szCs w:val="24"/>
        </w:rPr>
        <w:t>excetuando o estado do Rio Grande do Sul</w:t>
      </w:r>
      <w:r w:rsidR="009C5B8D">
        <w:rPr>
          <w:rFonts w:ascii="Times New Roman" w:hAnsi="Times New Roman" w:cs="Times New Roman"/>
          <w:sz w:val="24"/>
          <w:szCs w:val="24"/>
        </w:rPr>
        <w:t>,</w:t>
      </w:r>
      <w:r w:rsidR="00451E44">
        <w:rPr>
          <w:rFonts w:ascii="Times New Roman" w:hAnsi="Times New Roman" w:cs="Times New Roman"/>
          <w:sz w:val="24"/>
          <w:szCs w:val="24"/>
        </w:rPr>
        <w:t xml:space="preserve"> que em 2020</w:t>
      </w:r>
      <w:r w:rsidR="009C5B8D">
        <w:rPr>
          <w:rFonts w:ascii="Times New Roman" w:hAnsi="Times New Roman" w:cs="Times New Roman"/>
          <w:sz w:val="24"/>
          <w:szCs w:val="24"/>
        </w:rPr>
        <w:t>,</w:t>
      </w:r>
      <w:r w:rsidR="00451E44">
        <w:rPr>
          <w:rFonts w:ascii="Times New Roman" w:hAnsi="Times New Roman" w:cs="Times New Roman"/>
          <w:sz w:val="24"/>
          <w:szCs w:val="24"/>
        </w:rPr>
        <w:t xml:space="preserve"> apresentou qued</w:t>
      </w:r>
      <w:r w:rsidR="009C5B8D">
        <w:rPr>
          <w:rFonts w:ascii="Times New Roman" w:hAnsi="Times New Roman" w:cs="Times New Roman"/>
          <w:sz w:val="24"/>
          <w:szCs w:val="24"/>
        </w:rPr>
        <w:t>a</w:t>
      </w:r>
      <w:r w:rsidR="00145F77">
        <w:rPr>
          <w:rFonts w:ascii="Times New Roman" w:hAnsi="Times New Roman" w:cs="Times New Roman"/>
          <w:sz w:val="24"/>
          <w:szCs w:val="24"/>
        </w:rPr>
        <w:t xml:space="preserve"> da renda estadual. Este estado foi o único que apresentou taxa de crescimento média anual negativa entre 2000 e 2020. </w:t>
      </w:r>
      <w:r w:rsidR="009C5B8D">
        <w:rPr>
          <w:rFonts w:ascii="Times New Roman" w:hAnsi="Times New Roman" w:cs="Times New Roman"/>
          <w:sz w:val="24"/>
          <w:szCs w:val="24"/>
        </w:rPr>
        <w:t>Por sua vez</w:t>
      </w:r>
      <w:r w:rsidR="00451E44">
        <w:rPr>
          <w:rFonts w:ascii="Times New Roman" w:hAnsi="Times New Roman" w:cs="Times New Roman"/>
          <w:sz w:val="24"/>
          <w:szCs w:val="24"/>
        </w:rPr>
        <w:t>, o estado de Santa Catarina apresentou trajetória positiva ao longo de todo o período em análise.</w:t>
      </w:r>
    </w:p>
    <w:p w14:paraId="6D0C1DCC" w14:textId="77777777" w:rsidR="00781769" w:rsidRDefault="00781769" w:rsidP="00781769">
      <w:pPr>
        <w:spacing w:after="0" w:line="360" w:lineRule="auto"/>
        <w:ind w:firstLine="709"/>
        <w:jc w:val="both"/>
        <w:rPr>
          <w:rFonts w:ascii="Times New Roman" w:hAnsi="Times New Roman" w:cs="Times New Roman"/>
          <w:sz w:val="24"/>
          <w:szCs w:val="24"/>
        </w:rPr>
      </w:pPr>
    </w:p>
    <w:p w14:paraId="2FE6A7CB" w14:textId="77777777" w:rsidR="009826B5" w:rsidRDefault="009826B5" w:rsidP="009826B5">
      <w:pPr>
        <w:spacing w:after="0" w:line="240" w:lineRule="auto"/>
        <w:ind w:firstLine="709"/>
        <w:jc w:val="both"/>
        <w:rPr>
          <w:rFonts w:ascii="Times New Roman" w:hAnsi="Times New Roman" w:cs="Times New Roman"/>
          <w:sz w:val="24"/>
          <w:szCs w:val="24"/>
        </w:rPr>
      </w:pPr>
    </w:p>
    <w:p w14:paraId="210EA39C" w14:textId="6673970E" w:rsidR="007D1BDF" w:rsidRPr="00145F77" w:rsidRDefault="00C67BD8" w:rsidP="00145F7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Tabela 1</w:t>
      </w:r>
      <w:r w:rsidR="007D1BDF" w:rsidRPr="00145F77">
        <w:rPr>
          <w:rFonts w:ascii="Times New Roman" w:hAnsi="Times New Roman" w:cs="Times New Roman"/>
          <w:b/>
          <w:sz w:val="24"/>
          <w:szCs w:val="24"/>
        </w:rPr>
        <w:t xml:space="preserve">: Evolução do PIB total e setorial dos estados da região Sul, </w:t>
      </w:r>
      <w:r w:rsidR="00C0341E">
        <w:rPr>
          <w:rFonts w:ascii="Times New Roman" w:hAnsi="Times New Roman" w:cs="Times New Roman"/>
          <w:b/>
          <w:sz w:val="24"/>
          <w:szCs w:val="24"/>
        </w:rPr>
        <w:t>2000, 2005, 2010, 2015, 2019 e 2020.</w:t>
      </w:r>
    </w:p>
    <w:tbl>
      <w:tblPr>
        <w:tblW w:w="9214" w:type="dxa"/>
        <w:tblCellMar>
          <w:left w:w="70" w:type="dxa"/>
          <w:right w:w="70" w:type="dxa"/>
        </w:tblCellMar>
        <w:tblLook w:val="04A0" w:firstRow="1" w:lastRow="0" w:firstColumn="1" w:lastColumn="0" w:noHBand="0" w:noVBand="1"/>
      </w:tblPr>
      <w:tblGrid>
        <w:gridCol w:w="1985"/>
        <w:gridCol w:w="850"/>
        <w:gridCol w:w="993"/>
        <w:gridCol w:w="992"/>
        <w:gridCol w:w="709"/>
        <w:gridCol w:w="850"/>
        <w:gridCol w:w="851"/>
        <w:gridCol w:w="1984"/>
      </w:tblGrid>
      <w:tr w:rsidR="00145F77" w:rsidRPr="00C3525A" w14:paraId="75B82310" w14:textId="77777777" w:rsidTr="00145F77">
        <w:trPr>
          <w:trHeight w:val="270"/>
        </w:trPr>
        <w:tc>
          <w:tcPr>
            <w:tcW w:w="1985" w:type="dxa"/>
            <w:tcBorders>
              <w:top w:val="double" w:sz="6" w:space="0" w:color="auto"/>
              <w:left w:val="nil"/>
              <w:bottom w:val="single" w:sz="4" w:space="0" w:color="auto"/>
              <w:right w:val="nil"/>
            </w:tcBorders>
            <w:shd w:val="clear" w:color="000000" w:fill="FFFFFF"/>
            <w:noWrap/>
            <w:vAlign w:val="bottom"/>
            <w:hideMark/>
          </w:tcPr>
          <w:p w14:paraId="3C4AA29E"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PIB UF / Brasil (%)</w:t>
            </w:r>
          </w:p>
        </w:tc>
        <w:tc>
          <w:tcPr>
            <w:tcW w:w="850" w:type="dxa"/>
            <w:tcBorders>
              <w:top w:val="double" w:sz="6" w:space="0" w:color="auto"/>
              <w:left w:val="nil"/>
              <w:bottom w:val="single" w:sz="4" w:space="0" w:color="auto"/>
              <w:right w:val="nil"/>
            </w:tcBorders>
            <w:shd w:val="clear" w:color="000000" w:fill="FFFFFF"/>
            <w:noWrap/>
            <w:vAlign w:val="bottom"/>
            <w:hideMark/>
          </w:tcPr>
          <w:p w14:paraId="164D50E8"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2000</w:t>
            </w:r>
          </w:p>
        </w:tc>
        <w:tc>
          <w:tcPr>
            <w:tcW w:w="993" w:type="dxa"/>
            <w:tcBorders>
              <w:top w:val="double" w:sz="6" w:space="0" w:color="auto"/>
              <w:left w:val="nil"/>
              <w:bottom w:val="single" w:sz="4" w:space="0" w:color="auto"/>
              <w:right w:val="nil"/>
            </w:tcBorders>
            <w:shd w:val="clear" w:color="000000" w:fill="FFFFFF"/>
            <w:noWrap/>
            <w:vAlign w:val="bottom"/>
            <w:hideMark/>
          </w:tcPr>
          <w:p w14:paraId="2F258F07"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2005</w:t>
            </w:r>
          </w:p>
        </w:tc>
        <w:tc>
          <w:tcPr>
            <w:tcW w:w="992" w:type="dxa"/>
            <w:tcBorders>
              <w:top w:val="double" w:sz="6" w:space="0" w:color="auto"/>
              <w:left w:val="nil"/>
              <w:bottom w:val="single" w:sz="4" w:space="0" w:color="auto"/>
              <w:right w:val="nil"/>
            </w:tcBorders>
            <w:shd w:val="clear" w:color="000000" w:fill="FFFFFF"/>
            <w:noWrap/>
            <w:vAlign w:val="bottom"/>
            <w:hideMark/>
          </w:tcPr>
          <w:p w14:paraId="4EECC29A"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2010</w:t>
            </w:r>
          </w:p>
        </w:tc>
        <w:tc>
          <w:tcPr>
            <w:tcW w:w="709" w:type="dxa"/>
            <w:tcBorders>
              <w:top w:val="double" w:sz="6" w:space="0" w:color="auto"/>
              <w:left w:val="nil"/>
              <w:bottom w:val="single" w:sz="4" w:space="0" w:color="auto"/>
              <w:right w:val="nil"/>
            </w:tcBorders>
            <w:shd w:val="clear" w:color="000000" w:fill="FFFFFF"/>
            <w:noWrap/>
            <w:vAlign w:val="bottom"/>
            <w:hideMark/>
          </w:tcPr>
          <w:p w14:paraId="6BF27D96"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2015</w:t>
            </w:r>
          </w:p>
        </w:tc>
        <w:tc>
          <w:tcPr>
            <w:tcW w:w="850" w:type="dxa"/>
            <w:tcBorders>
              <w:top w:val="double" w:sz="6" w:space="0" w:color="auto"/>
              <w:left w:val="nil"/>
              <w:bottom w:val="single" w:sz="4" w:space="0" w:color="auto"/>
              <w:right w:val="nil"/>
            </w:tcBorders>
            <w:shd w:val="clear" w:color="000000" w:fill="FFFFFF"/>
            <w:noWrap/>
            <w:vAlign w:val="bottom"/>
            <w:hideMark/>
          </w:tcPr>
          <w:p w14:paraId="50C8D60F"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2019</w:t>
            </w:r>
          </w:p>
        </w:tc>
        <w:tc>
          <w:tcPr>
            <w:tcW w:w="851" w:type="dxa"/>
            <w:tcBorders>
              <w:top w:val="double" w:sz="6" w:space="0" w:color="auto"/>
              <w:left w:val="nil"/>
              <w:bottom w:val="single" w:sz="4" w:space="0" w:color="auto"/>
              <w:right w:val="nil"/>
            </w:tcBorders>
            <w:shd w:val="clear" w:color="000000" w:fill="FFFFFF"/>
            <w:noWrap/>
            <w:vAlign w:val="bottom"/>
            <w:hideMark/>
          </w:tcPr>
          <w:p w14:paraId="43C8CCF3"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2020</w:t>
            </w:r>
          </w:p>
        </w:tc>
        <w:tc>
          <w:tcPr>
            <w:tcW w:w="1984" w:type="dxa"/>
            <w:tcBorders>
              <w:top w:val="double" w:sz="6" w:space="0" w:color="auto"/>
              <w:left w:val="nil"/>
              <w:bottom w:val="single" w:sz="4" w:space="0" w:color="auto"/>
              <w:right w:val="nil"/>
            </w:tcBorders>
            <w:shd w:val="clear" w:color="000000" w:fill="FFFFFF"/>
            <w:noWrap/>
            <w:vAlign w:val="bottom"/>
            <w:hideMark/>
          </w:tcPr>
          <w:p w14:paraId="096B5568"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Tx. Crec. 2000-2020</w:t>
            </w:r>
          </w:p>
        </w:tc>
      </w:tr>
      <w:tr w:rsidR="00145F77" w:rsidRPr="00C3525A" w14:paraId="48713D26" w14:textId="77777777" w:rsidTr="00145F77">
        <w:trPr>
          <w:trHeight w:val="255"/>
        </w:trPr>
        <w:tc>
          <w:tcPr>
            <w:tcW w:w="1985" w:type="dxa"/>
            <w:tcBorders>
              <w:top w:val="nil"/>
              <w:left w:val="nil"/>
              <w:bottom w:val="nil"/>
              <w:right w:val="nil"/>
            </w:tcBorders>
            <w:shd w:val="clear" w:color="000000" w:fill="FFFFFF"/>
            <w:noWrap/>
            <w:vAlign w:val="bottom"/>
            <w:hideMark/>
          </w:tcPr>
          <w:p w14:paraId="34260411"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Paraná</w:t>
            </w:r>
          </w:p>
        </w:tc>
        <w:tc>
          <w:tcPr>
            <w:tcW w:w="850" w:type="dxa"/>
            <w:tcBorders>
              <w:top w:val="nil"/>
              <w:left w:val="nil"/>
              <w:bottom w:val="nil"/>
              <w:right w:val="nil"/>
            </w:tcBorders>
            <w:shd w:val="clear" w:color="000000" w:fill="FFFFFF"/>
            <w:noWrap/>
            <w:vAlign w:val="bottom"/>
            <w:hideMark/>
          </w:tcPr>
          <w:p w14:paraId="3176BF57"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5,86</w:t>
            </w:r>
          </w:p>
        </w:tc>
        <w:tc>
          <w:tcPr>
            <w:tcW w:w="993" w:type="dxa"/>
            <w:tcBorders>
              <w:top w:val="nil"/>
              <w:left w:val="nil"/>
              <w:bottom w:val="nil"/>
              <w:right w:val="nil"/>
            </w:tcBorders>
            <w:shd w:val="clear" w:color="000000" w:fill="FFFFFF"/>
            <w:noWrap/>
            <w:vAlign w:val="bottom"/>
            <w:hideMark/>
          </w:tcPr>
          <w:p w14:paraId="33974B2B"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6,00</w:t>
            </w:r>
          </w:p>
        </w:tc>
        <w:tc>
          <w:tcPr>
            <w:tcW w:w="992" w:type="dxa"/>
            <w:tcBorders>
              <w:top w:val="nil"/>
              <w:left w:val="nil"/>
              <w:bottom w:val="nil"/>
              <w:right w:val="nil"/>
            </w:tcBorders>
            <w:shd w:val="clear" w:color="000000" w:fill="FFFFFF"/>
            <w:noWrap/>
            <w:vAlign w:val="bottom"/>
            <w:hideMark/>
          </w:tcPr>
          <w:p w14:paraId="4E2B6CF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5,84</w:t>
            </w:r>
          </w:p>
        </w:tc>
        <w:tc>
          <w:tcPr>
            <w:tcW w:w="709" w:type="dxa"/>
            <w:tcBorders>
              <w:top w:val="nil"/>
              <w:left w:val="nil"/>
              <w:bottom w:val="nil"/>
              <w:right w:val="nil"/>
            </w:tcBorders>
            <w:shd w:val="clear" w:color="000000" w:fill="FFFFFF"/>
            <w:noWrap/>
            <w:vAlign w:val="bottom"/>
            <w:hideMark/>
          </w:tcPr>
          <w:p w14:paraId="72FF157E"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6,34</w:t>
            </w:r>
          </w:p>
        </w:tc>
        <w:tc>
          <w:tcPr>
            <w:tcW w:w="850" w:type="dxa"/>
            <w:tcBorders>
              <w:top w:val="nil"/>
              <w:left w:val="nil"/>
              <w:bottom w:val="nil"/>
              <w:right w:val="nil"/>
            </w:tcBorders>
            <w:shd w:val="clear" w:color="000000" w:fill="FFFFFF"/>
            <w:noWrap/>
            <w:vAlign w:val="bottom"/>
            <w:hideMark/>
          </w:tcPr>
          <w:p w14:paraId="3EE8689A"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6,38</w:t>
            </w:r>
          </w:p>
        </w:tc>
        <w:tc>
          <w:tcPr>
            <w:tcW w:w="851" w:type="dxa"/>
            <w:tcBorders>
              <w:top w:val="nil"/>
              <w:left w:val="nil"/>
              <w:bottom w:val="nil"/>
              <w:right w:val="nil"/>
            </w:tcBorders>
            <w:shd w:val="clear" w:color="000000" w:fill="FFFFFF"/>
            <w:noWrap/>
            <w:vAlign w:val="bottom"/>
            <w:hideMark/>
          </w:tcPr>
          <w:p w14:paraId="7501B016"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6,47</w:t>
            </w:r>
          </w:p>
        </w:tc>
        <w:tc>
          <w:tcPr>
            <w:tcW w:w="1984" w:type="dxa"/>
            <w:tcBorders>
              <w:top w:val="nil"/>
              <w:left w:val="nil"/>
              <w:bottom w:val="nil"/>
              <w:right w:val="nil"/>
            </w:tcBorders>
            <w:shd w:val="clear" w:color="000000" w:fill="FFFFFF"/>
            <w:noWrap/>
            <w:vAlign w:val="bottom"/>
            <w:hideMark/>
          </w:tcPr>
          <w:p w14:paraId="5CCD3B85"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0,00</w:t>
            </w:r>
          </w:p>
        </w:tc>
      </w:tr>
      <w:tr w:rsidR="00145F77" w:rsidRPr="00C3525A" w14:paraId="1F8DE93E" w14:textId="77777777" w:rsidTr="00145F77">
        <w:trPr>
          <w:trHeight w:val="255"/>
        </w:trPr>
        <w:tc>
          <w:tcPr>
            <w:tcW w:w="1985" w:type="dxa"/>
            <w:tcBorders>
              <w:top w:val="nil"/>
              <w:left w:val="nil"/>
              <w:bottom w:val="nil"/>
              <w:right w:val="nil"/>
            </w:tcBorders>
            <w:shd w:val="clear" w:color="000000" w:fill="FFFFFF"/>
            <w:noWrap/>
            <w:vAlign w:val="bottom"/>
            <w:hideMark/>
          </w:tcPr>
          <w:p w14:paraId="3B43C0DC"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Rio Grande do Sul</w:t>
            </w:r>
          </w:p>
        </w:tc>
        <w:tc>
          <w:tcPr>
            <w:tcW w:w="850" w:type="dxa"/>
            <w:tcBorders>
              <w:top w:val="nil"/>
              <w:left w:val="nil"/>
              <w:bottom w:val="nil"/>
              <w:right w:val="nil"/>
            </w:tcBorders>
            <w:shd w:val="clear" w:color="000000" w:fill="FFFFFF"/>
            <w:noWrap/>
            <w:vAlign w:val="bottom"/>
            <w:hideMark/>
          </w:tcPr>
          <w:p w14:paraId="314A7A89"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6,94</w:t>
            </w:r>
          </w:p>
        </w:tc>
        <w:tc>
          <w:tcPr>
            <w:tcW w:w="993" w:type="dxa"/>
            <w:tcBorders>
              <w:top w:val="nil"/>
              <w:left w:val="nil"/>
              <w:bottom w:val="nil"/>
              <w:right w:val="nil"/>
            </w:tcBorders>
            <w:shd w:val="clear" w:color="000000" w:fill="FFFFFF"/>
            <w:noWrap/>
            <w:vAlign w:val="bottom"/>
            <w:hideMark/>
          </w:tcPr>
          <w:p w14:paraId="114B9F9B"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6,21</w:t>
            </w:r>
          </w:p>
        </w:tc>
        <w:tc>
          <w:tcPr>
            <w:tcW w:w="992" w:type="dxa"/>
            <w:tcBorders>
              <w:top w:val="nil"/>
              <w:left w:val="nil"/>
              <w:bottom w:val="nil"/>
              <w:right w:val="nil"/>
            </w:tcBorders>
            <w:shd w:val="clear" w:color="000000" w:fill="FFFFFF"/>
            <w:noWrap/>
            <w:vAlign w:val="bottom"/>
            <w:hideMark/>
          </w:tcPr>
          <w:p w14:paraId="1D36BBE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6,23</w:t>
            </w:r>
          </w:p>
        </w:tc>
        <w:tc>
          <w:tcPr>
            <w:tcW w:w="709" w:type="dxa"/>
            <w:tcBorders>
              <w:top w:val="nil"/>
              <w:left w:val="nil"/>
              <w:bottom w:val="nil"/>
              <w:right w:val="nil"/>
            </w:tcBorders>
            <w:shd w:val="clear" w:color="000000" w:fill="FFFFFF"/>
            <w:noWrap/>
            <w:vAlign w:val="bottom"/>
            <w:hideMark/>
          </w:tcPr>
          <w:p w14:paraId="57D24D8D"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6,47</w:t>
            </w:r>
          </w:p>
        </w:tc>
        <w:tc>
          <w:tcPr>
            <w:tcW w:w="850" w:type="dxa"/>
            <w:tcBorders>
              <w:top w:val="nil"/>
              <w:left w:val="nil"/>
              <w:bottom w:val="nil"/>
              <w:right w:val="nil"/>
            </w:tcBorders>
            <w:shd w:val="clear" w:color="000000" w:fill="FFFFFF"/>
            <w:noWrap/>
            <w:vAlign w:val="bottom"/>
            <w:hideMark/>
          </w:tcPr>
          <w:p w14:paraId="39F5F782"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6,61</w:t>
            </w:r>
          </w:p>
        </w:tc>
        <w:tc>
          <w:tcPr>
            <w:tcW w:w="851" w:type="dxa"/>
            <w:tcBorders>
              <w:top w:val="nil"/>
              <w:left w:val="nil"/>
              <w:bottom w:val="nil"/>
              <w:right w:val="nil"/>
            </w:tcBorders>
            <w:shd w:val="clear" w:color="000000" w:fill="FFFFFF"/>
            <w:noWrap/>
            <w:vAlign w:val="bottom"/>
            <w:hideMark/>
          </w:tcPr>
          <w:p w14:paraId="2C251589"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6,22</w:t>
            </w:r>
          </w:p>
        </w:tc>
        <w:tc>
          <w:tcPr>
            <w:tcW w:w="1984" w:type="dxa"/>
            <w:tcBorders>
              <w:top w:val="nil"/>
              <w:left w:val="nil"/>
              <w:bottom w:val="nil"/>
              <w:right w:val="nil"/>
            </w:tcBorders>
            <w:shd w:val="clear" w:color="000000" w:fill="FFFFFF"/>
            <w:noWrap/>
            <w:vAlign w:val="bottom"/>
            <w:hideMark/>
          </w:tcPr>
          <w:p w14:paraId="25B80469"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-0,01</w:t>
            </w:r>
          </w:p>
        </w:tc>
      </w:tr>
      <w:tr w:rsidR="00145F77" w:rsidRPr="00C3525A" w14:paraId="3D06C91E" w14:textId="77777777" w:rsidTr="00145F77">
        <w:trPr>
          <w:trHeight w:val="255"/>
        </w:trPr>
        <w:tc>
          <w:tcPr>
            <w:tcW w:w="1985" w:type="dxa"/>
            <w:tcBorders>
              <w:top w:val="nil"/>
              <w:left w:val="nil"/>
              <w:bottom w:val="single" w:sz="4" w:space="0" w:color="auto"/>
              <w:right w:val="nil"/>
            </w:tcBorders>
            <w:shd w:val="clear" w:color="000000" w:fill="FFFFFF"/>
            <w:noWrap/>
            <w:vAlign w:val="bottom"/>
            <w:hideMark/>
          </w:tcPr>
          <w:p w14:paraId="2239B2BC"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Santa Catarina</w:t>
            </w:r>
          </w:p>
        </w:tc>
        <w:tc>
          <w:tcPr>
            <w:tcW w:w="850" w:type="dxa"/>
            <w:tcBorders>
              <w:top w:val="nil"/>
              <w:left w:val="nil"/>
              <w:bottom w:val="single" w:sz="4" w:space="0" w:color="auto"/>
              <w:right w:val="nil"/>
            </w:tcBorders>
            <w:shd w:val="clear" w:color="000000" w:fill="FFFFFF"/>
            <w:noWrap/>
            <w:vAlign w:val="bottom"/>
            <w:hideMark/>
          </w:tcPr>
          <w:p w14:paraId="1A8AAD84"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3,67</w:t>
            </w:r>
          </w:p>
        </w:tc>
        <w:tc>
          <w:tcPr>
            <w:tcW w:w="993" w:type="dxa"/>
            <w:tcBorders>
              <w:top w:val="nil"/>
              <w:left w:val="nil"/>
              <w:bottom w:val="single" w:sz="4" w:space="0" w:color="auto"/>
              <w:right w:val="nil"/>
            </w:tcBorders>
            <w:shd w:val="clear" w:color="000000" w:fill="FFFFFF"/>
            <w:noWrap/>
            <w:vAlign w:val="bottom"/>
            <w:hideMark/>
          </w:tcPr>
          <w:p w14:paraId="552F64EA"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3,81</w:t>
            </w:r>
          </w:p>
        </w:tc>
        <w:tc>
          <w:tcPr>
            <w:tcW w:w="992" w:type="dxa"/>
            <w:tcBorders>
              <w:top w:val="nil"/>
              <w:left w:val="nil"/>
              <w:bottom w:val="single" w:sz="4" w:space="0" w:color="auto"/>
              <w:right w:val="nil"/>
            </w:tcBorders>
            <w:shd w:val="clear" w:color="000000" w:fill="FFFFFF"/>
            <w:noWrap/>
            <w:vAlign w:val="bottom"/>
            <w:hideMark/>
          </w:tcPr>
          <w:p w14:paraId="163F352F"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3,95</w:t>
            </w:r>
          </w:p>
        </w:tc>
        <w:tc>
          <w:tcPr>
            <w:tcW w:w="709" w:type="dxa"/>
            <w:tcBorders>
              <w:top w:val="nil"/>
              <w:left w:val="nil"/>
              <w:bottom w:val="single" w:sz="4" w:space="0" w:color="auto"/>
              <w:right w:val="nil"/>
            </w:tcBorders>
            <w:shd w:val="clear" w:color="000000" w:fill="FFFFFF"/>
            <w:noWrap/>
            <w:vAlign w:val="bottom"/>
            <w:hideMark/>
          </w:tcPr>
          <w:p w14:paraId="11E80D31"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4,07</w:t>
            </w:r>
          </w:p>
        </w:tc>
        <w:tc>
          <w:tcPr>
            <w:tcW w:w="850" w:type="dxa"/>
            <w:tcBorders>
              <w:top w:val="nil"/>
              <w:left w:val="nil"/>
              <w:bottom w:val="single" w:sz="4" w:space="0" w:color="auto"/>
              <w:right w:val="nil"/>
            </w:tcBorders>
            <w:shd w:val="clear" w:color="000000" w:fill="FFFFFF"/>
            <w:noWrap/>
            <w:vAlign w:val="bottom"/>
            <w:hideMark/>
          </w:tcPr>
          <w:p w14:paraId="0E4EBE5C"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4,21</w:t>
            </w:r>
          </w:p>
        </w:tc>
        <w:tc>
          <w:tcPr>
            <w:tcW w:w="851" w:type="dxa"/>
            <w:tcBorders>
              <w:top w:val="nil"/>
              <w:left w:val="nil"/>
              <w:bottom w:val="single" w:sz="4" w:space="0" w:color="auto"/>
              <w:right w:val="nil"/>
            </w:tcBorders>
            <w:shd w:val="clear" w:color="000000" w:fill="FFFFFF"/>
            <w:noWrap/>
            <w:vAlign w:val="bottom"/>
            <w:hideMark/>
          </w:tcPr>
          <w:p w14:paraId="7DE993AE"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4,39</w:t>
            </w:r>
          </w:p>
        </w:tc>
        <w:tc>
          <w:tcPr>
            <w:tcW w:w="1984" w:type="dxa"/>
            <w:tcBorders>
              <w:top w:val="nil"/>
              <w:left w:val="nil"/>
              <w:bottom w:val="single" w:sz="4" w:space="0" w:color="auto"/>
              <w:right w:val="nil"/>
            </w:tcBorders>
            <w:shd w:val="clear" w:color="000000" w:fill="FFFFFF"/>
            <w:noWrap/>
            <w:vAlign w:val="bottom"/>
            <w:hideMark/>
          </w:tcPr>
          <w:p w14:paraId="04D36643"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0,01</w:t>
            </w:r>
          </w:p>
        </w:tc>
      </w:tr>
      <w:tr w:rsidR="00145F77" w:rsidRPr="00C3525A" w14:paraId="2046309D" w14:textId="77777777" w:rsidTr="00145F77">
        <w:trPr>
          <w:trHeight w:val="270"/>
        </w:trPr>
        <w:tc>
          <w:tcPr>
            <w:tcW w:w="1985" w:type="dxa"/>
            <w:tcBorders>
              <w:top w:val="nil"/>
              <w:left w:val="nil"/>
              <w:bottom w:val="double" w:sz="6" w:space="0" w:color="auto"/>
              <w:right w:val="nil"/>
            </w:tcBorders>
            <w:shd w:val="clear" w:color="000000" w:fill="FFFFFF"/>
            <w:noWrap/>
            <w:vAlign w:val="bottom"/>
            <w:hideMark/>
          </w:tcPr>
          <w:p w14:paraId="485E6741"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Sul</w:t>
            </w:r>
          </w:p>
        </w:tc>
        <w:tc>
          <w:tcPr>
            <w:tcW w:w="850" w:type="dxa"/>
            <w:tcBorders>
              <w:top w:val="nil"/>
              <w:left w:val="nil"/>
              <w:bottom w:val="double" w:sz="6" w:space="0" w:color="auto"/>
              <w:right w:val="nil"/>
            </w:tcBorders>
            <w:shd w:val="clear" w:color="000000" w:fill="FFFFFF"/>
            <w:noWrap/>
            <w:vAlign w:val="bottom"/>
            <w:hideMark/>
          </w:tcPr>
          <w:p w14:paraId="68ABFCE8"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16,47</w:t>
            </w:r>
          </w:p>
        </w:tc>
        <w:tc>
          <w:tcPr>
            <w:tcW w:w="993" w:type="dxa"/>
            <w:tcBorders>
              <w:top w:val="nil"/>
              <w:left w:val="nil"/>
              <w:bottom w:val="double" w:sz="6" w:space="0" w:color="auto"/>
              <w:right w:val="nil"/>
            </w:tcBorders>
            <w:shd w:val="clear" w:color="000000" w:fill="FFFFFF"/>
            <w:noWrap/>
            <w:vAlign w:val="bottom"/>
            <w:hideMark/>
          </w:tcPr>
          <w:p w14:paraId="29123762"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16,02</w:t>
            </w:r>
          </w:p>
        </w:tc>
        <w:tc>
          <w:tcPr>
            <w:tcW w:w="992" w:type="dxa"/>
            <w:tcBorders>
              <w:top w:val="nil"/>
              <w:left w:val="nil"/>
              <w:bottom w:val="double" w:sz="6" w:space="0" w:color="auto"/>
              <w:right w:val="nil"/>
            </w:tcBorders>
            <w:shd w:val="clear" w:color="000000" w:fill="FFFFFF"/>
            <w:noWrap/>
            <w:vAlign w:val="bottom"/>
            <w:hideMark/>
          </w:tcPr>
          <w:p w14:paraId="3AE3820B"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16,02</w:t>
            </w:r>
          </w:p>
        </w:tc>
        <w:tc>
          <w:tcPr>
            <w:tcW w:w="709" w:type="dxa"/>
            <w:tcBorders>
              <w:top w:val="nil"/>
              <w:left w:val="nil"/>
              <w:bottom w:val="double" w:sz="6" w:space="0" w:color="auto"/>
              <w:right w:val="nil"/>
            </w:tcBorders>
            <w:shd w:val="clear" w:color="000000" w:fill="FFFFFF"/>
            <w:noWrap/>
            <w:vAlign w:val="bottom"/>
            <w:hideMark/>
          </w:tcPr>
          <w:p w14:paraId="4500B8DC"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16,87</w:t>
            </w:r>
          </w:p>
        </w:tc>
        <w:tc>
          <w:tcPr>
            <w:tcW w:w="850" w:type="dxa"/>
            <w:tcBorders>
              <w:top w:val="nil"/>
              <w:left w:val="nil"/>
              <w:bottom w:val="double" w:sz="6" w:space="0" w:color="auto"/>
              <w:right w:val="nil"/>
            </w:tcBorders>
            <w:shd w:val="clear" w:color="000000" w:fill="FFFFFF"/>
            <w:noWrap/>
            <w:vAlign w:val="bottom"/>
            <w:hideMark/>
          </w:tcPr>
          <w:p w14:paraId="47C0BA18"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17,21</w:t>
            </w:r>
          </w:p>
        </w:tc>
        <w:tc>
          <w:tcPr>
            <w:tcW w:w="851" w:type="dxa"/>
            <w:tcBorders>
              <w:top w:val="nil"/>
              <w:left w:val="nil"/>
              <w:bottom w:val="double" w:sz="6" w:space="0" w:color="auto"/>
              <w:right w:val="nil"/>
            </w:tcBorders>
            <w:shd w:val="clear" w:color="000000" w:fill="FFFFFF"/>
            <w:noWrap/>
            <w:vAlign w:val="bottom"/>
            <w:hideMark/>
          </w:tcPr>
          <w:p w14:paraId="47B01352"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17,07</w:t>
            </w:r>
          </w:p>
        </w:tc>
        <w:tc>
          <w:tcPr>
            <w:tcW w:w="1984" w:type="dxa"/>
            <w:tcBorders>
              <w:top w:val="nil"/>
              <w:left w:val="nil"/>
              <w:bottom w:val="nil"/>
              <w:right w:val="nil"/>
            </w:tcBorders>
            <w:shd w:val="clear" w:color="000000" w:fill="FFFFFF"/>
            <w:noWrap/>
            <w:vAlign w:val="bottom"/>
            <w:hideMark/>
          </w:tcPr>
          <w:p w14:paraId="48E1FA25"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0,00</w:t>
            </w:r>
          </w:p>
        </w:tc>
      </w:tr>
      <w:tr w:rsidR="00145F77" w:rsidRPr="00C3525A" w14:paraId="07E7FC86" w14:textId="77777777" w:rsidTr="00145F77">
        <w:trPr>
          <w:trHeight w:val="285"/>
        </w:trPr>
        <w:tc>
          <w:tcPr>
            <w:tcW w:w="1985" w:type="dxa"/>
            <w:tcBorders>
              <w:top w:val="nil"/>
              <w:left w:val="nil"/>
              <w:bottom w:val="double" w:sz="6" w:space="0" w:color="auto"/>
              <w:right w:val="nil"/>
            </w:tcBorders>
            <w:shd w:val="clear" w:color="000000" w:fill="FFFFFF"/>
            <w:noWrap/>
            <w:vAlign w:val="bottom"/>
            <w:hideMark/>
          </w:tcPr>
          <w:p w14:paraId="3FC3C257"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850" w:type="dxa"/>
            <w:tcBorders>
              <w:top w:val="nil"/>
              <w:left w:val="nil"/>
              <w:bottom w:val="double" w:sz="6" w:space="0" w:color="auto"/>
              <w:right w:val="nil"/>
            </w:tcBorders>
            <w:shd w:val="clear" w:color="000000" w:fill="FFFFFF"/>
            <w:noWrap/>
            <w:vAlign w:val="bottom"/>
            <w:hideMark/>
          </w:tcPr>
          <w:p w14:paraId="54034C23"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993" w:type="dxa"/>
            <w:tcBorders>
              <w:top w:val="nil"/>
              <w:left w:val="nil"/>
              <w:bottom w:val="double" w:sz="6" w:space="0" w:color="auto"/>
              <w:right w:val="nil"/>
            </w:tcBorders>
            <w:shd w:val="clear" w:color="000000" w:fill="FFFFFF"/>
            <w:noWrap/>
            <w:vAlign w:val="bottom"/>
            <w:hideMark/>
          </w:tcPr>
          <w:p w14:paraId="1D8CADF6"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992" w:type="dxa"/>
            <w:tcBorders>
              <w:top w:val="nil"/>
              <w:left w:val="nil"/>
              <w:bottom w:val="double" w:sz="6" w:space="0" w:color="auto"/>
              <w:right w:val="nil"/>
            </w:tcBorders>
            <w:shd w:val="clear" w:color="000000" w:fill="FFFFFF"/>
            <w:noWrap/>
            <w:vAlign w:val="bottom"/>
            <w:hideMark/>
          </w:tcPr>
          <w:p w14:paraId="38FA88A4"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709" w:type="dxa"/>
            <w:tcBorders>
              <w:top w:val="nil"/>
              <w:left w:val="nil"/>
              <w:bottom w:val="double" w:sz="6" w:space="0" w:color="auto"/>
              <w:right w:val="nil"/>
            </w:tcBorders>
            <w:shd w:val="clear" w:color="000000" w:fill="FFFFFF"/>
            <w:noWrap/>
            <w:vAlign w:val="bottom"/>
            <w:hideMark/>
          </w:tcPr>
          <w:p w14:paraId="7E58BFFC"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850" w:type="dxa"/>
            <w:tcBorders>
              <w:top w:val="nil"/>
              <w:left w:val="nil"/>
              <w:bottom w:val="double" w:sz="6" w:space="0" w:color="auto"/>
              <w:right w:val="nil"/>
            </w:tcBorders>
            <w:shd w:val="clear" w:color="000000" w:fill="FFFFFF"/>
            <w:noWrap/>
            <w:vAlign w:val="bottom"/>
            <w:hideMark/>
          </w:tcPr>
          <w:p w14:paraId="2DCA2088"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851" w:type="dxa"/>
            <w:tcBorders>
              <w:top w:val="nil"/>
              <w:left w:val="nil"/>
              <w:bottom w:val="double" w:sz="6" w:space="0" w:color="auto"/>
              <w:right w:val="nil"/>
            </w:tcBorders>
            <w:shd w:val="clear" w:color="000000" w:fill="FFFFFF"/>
            <w:noWrap/>
            <w:vAlign w:val="bottom"/>
            <w:hideMark/>
          </w:tcPr>
          <w:p w14:paraId="3E4ED028"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1984" w:type="dxa"/>
            <w:tcBorders>
              <w:top w:val="double" w:sz="6" w:space="0" w:color="auto"/>
              <w:left w:val="nil"/>
              <w:bottom w:val="double" w:sz="6" w:space="0" w:color="auto"/>
              <w:right w:val="nil"/>
            </w:tcBorders>
            <w:shd w:val="clear" w:color="000000" w:fill="FFFFFF"/>
            <w:noWrap/>
            <w:vAlign w:val="bottom"/>
            <w:hideMark/>
          </w:tcPr>
          <w:p w14:paraId="709464B2"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r>
      <w:tr w:rsidR="00145F77" w:rsidRPr="00C3525A" w14:paraId="6185234C" w14:textId="77777777" w:rsidTr="00145F77">
        <w:trPr>
          <w:trHeight w:val="270"/>
        </w:trPr>
        <w:tc>
          <w:tcPr>
            <w:tcW w:w="1985" w:type="dxa"/>
            <w:tcBorders>
              <w:top w:val="nil"/>
              <w:left w:val="nil"/>
              <w:bottom w:val="single" w:sz="4" w:space="0" w:color="auto"/>
              <w:right w:val="nil"/>
            </w:tcBorders>
            <w:shd w:val="clear" w:color="000000" w:fill="FFFFFF"/>
            <w:noWrap/>
            <w:vAlign w:val="bottom"/>
            <w:hideMark/>
          </w:tcPr>
          <w:p w14:paraId="69CF5DE5"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PIB Ind. Transf. (%)</w:t>
            </w:r>
          </w:p>
        </w:tc>
        <w:tc>
          <w:tcPr>
            <w:tcW w:w="850" w:type="dxa"/>
            <w:tcBorders>
              <w:top w:val="nil"/>
              <w:left w:val="nil"/>
              <w:bottom w:val="single" w:sz="4" w:space="0" w:color="auto"/>
              <w:right w:val="nil"/>
            </w:tcBorders>
            <w:shd w:val="clear" w:color="000000" w:fill="FFFFFF"/>
            <w:noWrap/>
            <w:vAlign w:val="bottom"/>
            <w:hideMark/>
          </w:tcPr>
          <w:p w14:paraId="53520364"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2000</w:t>
            </w:r>
          </w:p>
        </w:tc>
        <w:tc>
          <w:tcPr>
            <w:tcW w:w="993" w:type="dxa"/>
            <w:tcBorders>
              <w:top w:val="nil"/>
              <w:left w:val="nil"/>
              <w:bottom w:val="single" w:sz="4" w:space="0" w:color="auto"/>
              <w:right w:val="nil"/>
            </w:tcBorders>
            <w:shd w:val="clear" w:color="000000" w:fill="FFFFFF"/>
            <w:noWrap/>
            <w:vAlign w:val="bottom"/>
            <w:hideMark/>
          </w:tcPr>
          <w:p w14:paraId="0C58EE12"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2005</w:t>
            </w:r>
          </w:p>
        </w:tc>
        <w:tc>
          <w:tcPr>
            <w:tcW w:w="992" w:type="dxa"/>
            <w:tcBorders>
              <w:top w:val="nil"/>
              <w:left w:val="nil"/>
              <w:bottom w:val="single" w:sz="4" w:space="0" w:color="auto"/>
              <w:right w:val="nil"/>
            </w:tcBorders>
            <w:shd w:val="clear" w:color="000000" w:fill="FFFFFF"/>
            <w:noWrap/>
            <w:vAlign w:val="bottom"/>
            <w:hideMark/>
          </w:tcPr>
          <w:p w14:paraId="4AB1DABE"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2010</w:t>
            </w:r>
          </w:p>
        </w:tc>
        <w:tc>
          <w:tcPr>
            <w:tcW w:w="709" w:type="dxa"/>
            <w:tcBorders>
              <w:top w:val="nil"/>
              <w:left w:val="nil"/>
              <w:bottom w:val="single" w:sz="4" w:space="0" w:color="auto"/>
              <w:right w:val="nil"/>
            </w:tcBorders>
            <w:shd w:val="clear" w:color="000000" w:fill="FFFFFF"/>
            <w:noWrap/>
            <w:vAlign w:val="bottom"/>
            <w:hideMark/>
          </w:tcPr>
          <w:p w14:paraId="24217953"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2015</w:t>
            </w:r>
          </w:p>
        </w:tc>
        <w:tc>
          <w:tcPr>
            <w:tcW w:w="850" w:type="dxa"/>
            <w:tcBorders>
              <w:top w:val="nil"/>
              <w:left w:val="nil"/>
              <w:bottom w:val="single" w:sz="4" w:space="0" w:color="auto"/>
              <w:right w:val="nil"/>
            </w:tcBorders>
            <w:shd w:val="clear" w:color="000000" w:fill="FFFFFF"/>
            <w:noWrap/>
            <w:vAlign w:val="bottom"/>
            <w:hideMark/>
          </w:tcPr>
          <w:p w14:paraId="333837E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2019</w:t>
            </w:r>
          </w:p>
        </w:tc>
        <w:tc>
          <w:tcPr>
            <w:tcW w:w="851" w:type="dxa"/>
            <w:tcBorders>
              <w:top w:val="nil"/>
              <w:left w:val="nil"/>
              <w:bottom w:val="single" w:sz="4" w:space="0" w:color="auto"/>
              <w:right w:val="nil"/>
            </w:tcBorders>
            <w:shd w:val="clear" w:color="000000" w:fill="FFFFFF"/>
            <w:noWrap/>
            <w:vAlign w:val="bottom"/>
            <w:hideMark/>
          </w:tcPr>
          <w:p w14:paraId="0EC4543C"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2020</w:t>
            </w:r>
          </w:p>
        </w:tc>
        <w:tc>
          <w:tcPr>
            <w:tcW w:w="1984" w:type="dxa"/>
            <w:tcBorders>
              <w:top w:val="nil"/>
              <w:left w:val="nil"/>
              <w:bottom w:val="single" w:sz="4" w:space="0" w:color="auto"/>
              <w:right w:val="nil"/>
            </w:tcBorders>
            <w:shd w:val="clear" w:color="000000" w:fill="FFFFFF"/>
            <w:noWrap/>
            <w:vAlign w:val="bottom"/>
            <w:hideMark/>
          </w:tcPr>
          <w:p w14:paraId="1CE03CB1" w14:textId="14E0282E" w:rsidR="00C3525A" w:rsidRPr="00C3525A" w:rsidRDefault="00145F77"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Tx. Crec. 2000-2020</w:t>
            </w:r>
          </w:p>
        </w:tc>
      </w:tr>
      <w:tr w:rsidR="00145F77" w:rsidRPr="00C3525A" w14:paraId="5B960227" w14:textId="77777777" w:rsidTr="00145F77">
        <w:trPr>
          <w:trHeight w:val="255"/>
        </w:trPr>
        <w:tc>
          <w:tcPr>
            <w:tcW w:w="1985" w:type="dxa"/>
            <w:tcBorders>
              <w:top w:val="nil"/>
              <w:left w:val="nil"/>
              <w:bottom w:val="nil"/>
              <w:right w:val="nil"/>
            </w:tcBorders>
            <w:shd w:val="clear" w:color="000000" w:fill="FFFFFF"/>
            <w:noWrap/>
            <w:vAlign w:val="bottom"/>
            <w:hideMark/>
          </w:tcPr>
          <w:p w14:paraId="4BA80203"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Paraná</w:t>
            </w:r>
          </w:p>
        </w:tc>
        <w:tc>
          <w:tcPr>
            <w:tcW w:w="850" w:type="dxa"/>
            <w:tcBorders>
              <w:top w:val="nil"/>
              <w:left w:val="nil"/>
              <w:bottom w:val="nil"/>
              <w:right w:val="nil"/>
            </w:tcBorders>
            <w:shd w:val="clear" w:color="000000" w:fill="FFFFFF"/>
            <w:noWrap/>
            <w:vAlign w:val="bottom"/>
            <w:hideMark/>
          </w:tcPr>
          <w:p w14:paraId="0761FA0C"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5,68</w:t>
            </w:r>
          </w:p>
        </w:tc>
        <w:tc>
          <w:tcPr>
            <w:tcW w:w="993" w:type="dxa"/>
            <w:tcBorders>
              <w:top w:val="nil"/>
              <w:left w:val="nil"/>
              <w:bottom w:val="nil"/>
              <w:right w:val="nil"/>
            </w:tcBorders>
            <w:shd w:val="clear" w:color="000000" w:fill="FFFFFF"/>
            <w:noWrap/>
            <w:vAlign w:val="bottom"/>
            <w:hideMark/>
          </w:tcPr>
          <w:p w14:paraId="54C2406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6,95</w:t>
            </w:r>
          </w:p>
        </w:tc>
        <w:tc>
          <w:tcPr>
            <w:tcW w:w="992" w:type="dxa"/>
            <w:tcBorders>
              <w:top w:val="nil"/>
              <w:left w:val="nil"/>
              <w:bottom w:val="nil"/>
              <w:right w:val="nil"/>
            </w:tcBorders>
            <w:shd w:val="clear" w:color="000000" w:fill="FFFFFF"/>
            <w:noWrap/>
            <w:vAlign w:val="bottom"/>
            <w:hideMark/>
          </w:tcPr>
          <w:p w14:paraId="3B2C8E8C"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6,84</w:t>
            </w:r>
          </w:p>
        </w:tc>
        <w:tc>
          <w:tcPr>
            <w:tcW w:w="709" w:type="dxa"/>
            <w:tcBorders>
              <w:top w:val="nil"/>
              <w:left w:val="nil"/>
              <w:bottom w:val="nil"/>
              <w:right w:val="nil"/>
            </w:tcBorders>
            <w:shd w:val="clear" w:color="000000" w:fill="FFFFFF"/>
            <w:noWrap/>
            <w:vAlign w:val="bottom"/>
            <w:hideMark/>
          </w:tcPr>
          <w:p w14:paraId="37656B6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8,01</w:t>
            </w:r>
          </w:p>
        </w:tc>
        <w:tc>
          <w:tcPr>
            <w:tcW w:w="850" w:type="dxa"/>
            <w:tcBorders>
              <w:top w:val="nil"/>
              <w:left w:val="nil"/>
              <w:bottom w:val="nil"/>
              <w:right w:val="nil"/>
            </w:tcBorders>
            <w:shd w:val="clear" w:color="000000" w:fill="FFFFFF"/>
            <w:noWrap/>
            <w:vAlign w:val="bottom"/>
            <w:hideMark/>
          </w:tcPr>
          <w:p w14:paraId="48D50589"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8,86</w:t>
            </w:r>
          </w:p>
        </w:tc>
        <w:tc>
          <w:tcPr>
            <w:tcW w:w="851" w:type="dxa"/>
            <w:tcBorders>
              <w:top w:val="nil"/>
              <w:left w:val="nil"/>
              <w:bottom w:val="nil"/>
              <w:right w:val="nil"/>
            </w:tcBorders>
            <w:shd w:val="clear" w:color="000000" w:fill="FFFFFF"/>
            <w:noWrap/>
            <w:vAlign w:val="bottom"/>
            <w:hideMark/>
          </w:tcPr>
          <w:p w14:paraId="2F42336F"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8,24</w:t>
            </w:r>
          </w:p>
        </w:tc>
        <w:tc>
          <w:tcPr>
            <w:tcW w:w="1984" w:type="dxa"/>
            <w:tcBorders>
              <w:top w:val="nil"/>
              <w:left w:val="nil"/>
              <w:bottom w:val="nil"/>
              <w:right w:val="nil"/>
            </w:tcBorders>
            <w:shd w:val="clear" w:color="000000" w:fill="FFFFFF"/>
            <w:noWrap/>
            <w:vAlign w:val="bottom"/>
            <w:hideMark/>
          </w:tcPr>
          <w:p w14:paraId="19BBFAEC"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0,02</w:t>
            </w:r>
          </w:p>
        </w:tc>
      </w:tr>
      <w:tr w:rsidR="00145F77" w:rsidRPr="00C3525A" w14:paraId="73ED86AA" w14:textId="77777777" w:rsidTr="00145F77">
        <w:trPr>
          <w:trHeight w:val="255"/>
        </w:trPr>
        <w:tc>
          <w:tcPr>
            <w:tcW w:w="1985" w:type="dxa"/>
            <w:tcBorders>
              <w:top w:val="nil"/>
              <w:left w:val="nil"/>
              <w:bottom w:val="nil"/>
              <w:right w:val="nil"/>
            </w:tcBorders>
            <w:shd w:val="clear" w:color="000000" w:fill="FFFFFF"/>
            <w:noWrap/>
            <w:vAlign w:val="bottom"/>
            <w:hideMark/>
          </w:tcPr>
          <w:p w14:paraId="24DD8AE1"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Rio Grande do Sul</w:t>
            </w:r>
          </w:p>
        </w:tc>
        <w:tc>
          <w:tcPr>
            <w:tcW w:w="850" w:type="dxa"/>
            <w:tcBorders>
              <w:top w:val="nil"/>
              <w:left w:val="nil"/>
              <w:bottom w:val="nil"/>
              <w:right w:val="nil"/>
            </w:tcBorders>
            <w:shd w:val="clear" w:color="000000" w:fill="FFFFFF"/>
            <w:noWrap/>
            <w:vAlign w:val="bottom"/>
            <w:hideMark/>
          </w:tcPr>
          <w:p w14:paraId="6225A51D"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10,21</w:t>
            </w:r>
          </w:p>
        </w:tc>
        <w:tc>
          <w:tcPr>
            <w:tcW w:w="993" w:type="dxa"/>
            <w:tcBorders>
              <w:top w:val="nil"/>
              <w:left w:val="nil"/>
              <w:bottom w:val="nil"/>
              <w:right w:val="nil"/>
            </w:tcBorders>
            <w:shd w:val="clear" w:color="000000" w:fill="FFFFFF"/>
            <w:noWrap/>
            <w:vAlign w:val="bottom"/>
            <w:hideMark/>
          </w:tcPr>
          <w:p w14:paraId="593C3F65"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7,88</w:t>
            </w:r>
          </w:p>
        </w:tc>
        <w:tc>
          <w:tcPr>
            <w:tcW w:w="992" w:type="dxa"/>
            <w:tcBorders>
              <w:top w:val="nil"/>
              <w:left w:val="nil"/>
              <w:bottom w:val="nil"/>
              <w:right w:val="nil"/>
            </w:tcBorders>
            <w:shd w:val="clear" w:color="000000" w:fill="FFFFFF"/>
            <w:noWrap/>
            <w:vAlign w:val="bottom"/>
            <w:hideMark/>
          </w:tcPr>
          <w:p w14:paraId="7758FB2D"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8,33</w:t>
            </w:r>
          </w:p>
        </w:tc>
        <w:tc>
          <w:tcPr>
            <w:tcW w:w="709" w:type="dxa"/>
            <w:tcBorders>
              <w:top w:val="nil"/>
              <w:left w:val="nil"/>
              <w:bottom w:val="nil"/>
              <w:right w:val="nil"/>
            </w:tcBorders>
            <w:shd w:val="clear" w:color="000000" w:fill="FFFFFF"/>
            <w:noWrap/>
            <w:vAlign w:val="bottom"/>
            <w:hideMark/>
          </w:tcPr>
          <w:p w14:paraId="2BA8E65C"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8,62</w:t>
            </w:r>
          </w:p>
        </w:tc>
        <w:tc>
          <w:tcPr>
            <w:tcW w:w="850" w:type="dxa"/>
            <w:tcBorders>
              <w:top w:val="nil"/>
              <w:left w:val="nil"/>
              <w:bottom w:val="nil"/>
              <w:right w:val="nil"/>
            </w:tcBorders>
            <w:shd w:val="clear" w:color="000000" w:fill="FFFFFF"/>
            <w:noWrap/>
            <w:vAlign w:val="bottom"/>
            <w:hideMark/>
          </w:tcPr>
          <w:p w14:paraId="099A1863"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8,67</w:t>
            </w:r>
          </w:p>
        </w:tc>
        <w:tc>
          <w:tcPr>
            <w:tcW w:w="851" w:type="dxa"/>
            <w:tcBorders>
              <w:top w:val="nil"/>
              <w:left w:val="nil"/>
              <w:bottom w:val="nil"/>
              <w:right w:val="nil"/>
            </w:tcBorders>
            <w:shd w:val="clear" w:color="000000" w:fill="FFFFFF"/>
            <w:noWrap/>
            <w:vAlign w:val="bottom"/>
            <w:hideMark/>
          </w:tcPr>
          <w:p w14:paraId="77A653F2"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8,14</w:t>
            </w:r>
          </w:p>
        </w:tc>
        <w:tc>
          <w:tcPr>
            <w:tcW w:w="1984" w:type="dxa"/>
            <w:tcBorders>
              <w:top w:val="nil"/>
              <w:left w:val="nil"/>
              <w:bottom w:val="nil"/>
              <w:right w:val="nil"/>
            </w:tcBorders>
            <w:shd w:val="clear" w:color="000000" w:fill="FFFFFF"/>
            <w:noWrap/>
            <w:vAlign w:val="bottom"/>
            <w:hideMark/>
          </w:tcPr>
          <w:p w14:paraId="42EF5DC7"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-0,01</w:t>
            </w:r>
          </w:p>
        </w:tc>
      </w:tr>
      <w:tr w:rsidR="00145F77" w:rsidRPr="00C3525A" w14:paraId="7C905DAD" w14:textId="77777777" w:rsidTr="00145F77">
        <w:trPr>
          <w:trHeight w:val="255"/>
        </w:trPr>
        <w:tc>
          <w:tcPr>
            <w:tcW w:w="1985" w:type="dxa"/>
            <w:tcBorders>
              <w:top w:val="nil"/>
              <w:left w:val="nil"/>
              <w:bottom w:val="single" w:sz="4" w:space="0" w:color="auto"/>
              <w:right w:val="nil"/>
            </w:tcBorders>
            <w:shd w:val="clear" w:color="000000" w:fill="FFFFFF"/>
            <w:noWrap/>
            <w:vAlign w:val="bottom"/>
            <w:hideMark/>
          </w:tcPr>
          <w:p w14:paraId="7A540CC2"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Santa Catarina</w:t>
            </w:r>
          </w:p>
        </w:tc>
        <w:tc>
          <w:tcPr>
            <w:tcW w:w="850" w:type="dxa"/>
            <w:tcBorders>
              <w:top w:val="nil"/>
              <w:left w:val="nil"/>
              <w:bottom w:val="single" w:sz="4" w:space="0" w:color="auto"/>
              <w:right w:val="nil"/>
            </w:tcBorders>
            <w:shd w:val="clear" w:color="000000" w:fill="FFFFFF"/>
            <w:noWrap/>
            <w:vAlign w:val="bottom"/>
            <w:hideMark/>
          </w:tcPr>
          <w:p w14:paraId="057A68FD"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5,82</w:t>
            </w:r>
          </w:p>
        </w:tc>
        <w:tc>
          <w:tcPr>
            <w:tcW w:w="993" w:type="dxa"/>
            <w:tcBorders>
              <w:top w:val="nil"/>
              <w:left w:val="nil"/>
              <w:bottom w:val="single" w:sz="4" w:space="0" w:color="auto"/>
              <w:right w:val="nil"/>
            </w:tcBorders>
            <w:shd w:val="clear" w:color="000000" w:fill="FFFFFF"/>
            <w:noWrap/>
            <w:vAlign w:val="bottom"/>
            <w:hideMark/>
          </w:tcPr>
          <w:p w14:paraId="441A64C9"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5,73</w:t>
            </w:r>
          </w:p>
        </w:tc>
        <w:tc>
          <w:tcPr>
            <w:tcW w:w="992" w:type="dxa"/>
            <w:tcBorders>
              <w:top w:val="nil"/>
              <w:left w:val="nil"/>
              <w:bottom w:val="single" w:sz="4" w:space="0" w:color="auto"/>
              <w:right w:val="nil"/>
            </w:tcBorders>
            <w:shd w:val="clear" w:color="000000" w:fill="FFFFFF"/>
            <w:noWrap/>
            <w:vAlign w:val="bottom"/>
            <w:hideMark/>
          </w:tcPr>
          <w:p w14:paraId="439959AC"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5,89</w:t>
            </w:r>
          </w:p>
        </w:tc>
        <w:tc>
          <w:tcPr>
            <w:tcW w:w="709" w:type="dxa"/>
            <w:tcBorders>
              <w:top w:val="nil"/>
              <w:left w:val="nil"/>
              <w:bottom w:val="single" w:sz="4" w:space="0" w:color="auto"/>
              <w:right w:val="nil"/>
            </w:tcBorders>
            <w:shd w:val="clear" w:color="000000" w:fill="FFFFFF"/>
            <w:noWrap/>
            <w:vAlign w:val="bottom"/>
            <w:hideMark/>
          </w:tcPr>
          <w:p w14:paraId="6D11EF7A"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6,79</w:t>
            </w:r>
          </w:p>
        </w:tc>
        <w:tc>
          <w:tcPr>
            <w:tcW w:w="850" w:type="dxa"/>
            <w:tcBorders>
              <w:top w:val="nil"/>
              <w:left w:val="nil"/>
              <w:bottom w:val="single" w:sz="4" w:space="0" w:color="auto"/>
              <w:right w:val="nil"/>
            </w:tcBorders>
            <w:shd w:val="clear" w:color="000000" w:fill="FFFFFF"/>
            <w:noWrap/>
            <w:vAlign w:val="bottom"/>
            <w:hideMark/>
          </w:tcPr>
          <w:p w14:paraId="641D0CE9"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6,89</w:t>
            </w:r>
          </w:p>
        </w:tc>
        <w:tc>
          <w:tcPr>
            <w:tcW w:w="851" w:type="dxa"/>
            <w:tcBorders>
              <w:top w:val="nil"/>
              <w:left w:val="nil"/>
              <w:bottom w:val="single" w:sz="4" w:space="0" w:color="auto"/>
              <w:right w:val="nil"/>
            </w:tcBorders>
            <w:shd w:val="clear" w:color="000000" w:fill="FFFFFF"/>
            <w:noWrap/>
            <w:vAlign w:val="bottom"/>
            <w:hideMark/>
          </w:tcPr>
          <w:p w14:paraId="49852E92"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6,98</w:t>
            </w:r>
          </w:p>
        </w:tc>
        <w:tc>
          <w:tcPr>
            <w:tcW w:w="1984" w:type="dxa"/>
            <w:tcBorders>
              <w:top w:val="nil"/>
              <w:left w:val="nil"/>
              <w:bottom w:val="single" w:sz="4" w:space="0" w:color="auto"/>
              <w:right w:val="nil"/>
            </w:tcBorders>
            <w:shd w:val="clear" w:color="000000" w:fill="FFFFFF"/>
            <w:noWrap/>
            <w:vAlign w:val="bottom"/>
            <w:hideMark/>
          </w:tcPr>
          <w:p w14:paraId="15586E69"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0,01</w:t>
            </w:r>
          </w:p>
        </w:tc>
      </w:tr>
      <w:tr w:rsidR="00145F77" w:rsidRPr="00C3525A" w14:paraId="52EAF733" w14:textId="77777777" w:rsidTr="00145F77">
        <w:trPr>
          <w:trHeight w:val="270"/>
        </w:trPr>
        <w:tc>
          <w:tcPr>
            <w:tcW w:w="1985" w:type="dxa"/>
            <w:tcBorders>
              <w:top w:val="nil"/>
              <w:left w:val="nil"/>
              <w:bottom w:val="double" w:sz="6" w:space="0" w:color="auto"/>
              <w:right w:val="nil"/>
            </w:tcBorders>
            <w:shd w:val="clear" w:color="000000" w:fill="FFFFFF"/>
            <w:noWrap/>
            <w:vAlign w:val="bottom"/>
            <w:hideMark/>
          </w:tcPr>
          <w:p w14:paraId="4966A424"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Sul / Brasil</w:t>
            </w:r>
          </w:p>
        </w:tc>
        <w:tc>
          <w:tcPr>
            <w:tcW w:w="850" w:type="dxa"/>
            <w:tcBorders>
              <w:top w:val="nil"/>
              <w:left w:val="nil"/>
              <w:bottom w:val="double" w:sz="6" w:space="0" w:color="auto"/>
              <w:right w:val="nil"/>
            </w:tcBorders>
            <w:shd w:val="clear" w:color="000000" w:fill="FFFFFF"/>
            <w:noWrap/>
            <w:vAlign w:val="bottom"/>
            <w:hideMark/>
          </w:tcPr>
          <w:p w14:paraId="01B3E14F"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21,70</w:t>
            </w:r>
          </w:p>
        </w:tc>
        <w:tc>
          <w:tcPr>
            <w:tcW w:w="993" w:type="dxa"/>
            <w:tcBorders>
              <w:top w:val="nil"/>
              <w:left w:val="nil"/>
              <w:bottom w:val="double" w:sz="6" w:space="0" w:color="auto"/>
              <w:right w:val="nil"/>
            </w:tcBorders>
            <w:shd w:val="clear" w:color="000000" w:fill="FFFFFF"/>
            <w:noWrap/>
            <w:vAlign w:val="bottom"/>
            <w:hideMark/>
          </w:tcPr>
          <w:p w14:paraId="6CD73A36"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20,56</w:t>
            </w:r>
          </w:p>
        </w:tc>
        <w:tc>
          <w:tcPr>
            <w:tcW w:w="992" w:type="dxa"/>
            <w:tcBorders>
              <w:top w:val="nil"/>
              <w:left w:val="nil"/>
              <w:bottom w:val="double" w:sz="6" w:space="0" w:color="auto"/>
              <w:right w:val="nil"/>
            </w:tcBorders>
            <w:shd w:val="clear" w:color="000000" w:fill="FFFFFF"/>
            <w:noWrap/>
            <w:vAlign w:val="bottom"/>
            <w:hideMark/>
          </w:tcPr>
          <w:p w14:paraId="17E11166"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21,06</w:t>
            </w:r>
          </w:p>
        </w:tc>
        <w:tc>
          <w:tcPr>
            <w:tcW w:w="709" w:type="dxa"/>
            <w:tcBorders>
              <w:top w:val="nil"/>
              <w:left w:val="nil"/>
              <w:bottom w:val="double" w:sz="6" w:space="0" w:color="auto"/>
              <w:right w:val="nil"/>
            </w:tcBorders>
            <w:shd w:val="clear" w:color="000000" w:fill="FFFFFF"/>
            <w:noWrap/>
            <w:vAlign w:val="bottom"/>
            <w:hideMark/>
          </w:tcPr>
          <w:p w14:paraId="3065302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23,41</w:t>
            </w:r>
          </w:p>
        </w:tc>
        <w:tc>
          <w:tcPr>
            <w:tcW w:w="850" w:type="dxa"/>
            <w:tcBorders>
              <w:top w:val="nil"/>
              <w:left w:val="nil"/>
              <w:bottom w:val="double" w:sz="6" w:space="0" w:color="auto"/>
              <w:right w:val="nil"/>
            </w:tcBorders>
            <w:shd w:val="clear" w:color="000000" w:fill="FFFFFF"/>
            <w:noWrap/>
            <w:vAlign w:val="bottom"/>
            <w:hideMark/>
          </w:tcPr>
          <w:p w14:paraId="34F40CB3"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24,42</w:t>
            </w:r>
          </w:p>
        </w:tc>
        <w:tc>
          <w:tcPr>
            <w:tcW w:w="851" w:type="dxa"/>
            <w:tcBorders>
              <w:top w:val="nil"/>
              <w:left w:val="nil"/>
              <w:bottom w:val="double" w:sz="6" w:space="0" w:color="auto"/>
              <w:right w:val="nil"/>
            </w:tcBorders>
            <w:shd w:val="clear" w:color="000000" w:fill="FFFFFF"/>
            <w:noWrap/>
            <w:vAlign w:val="bottom"/>
            <w:hideMark/>
          </w:tcPr>
          <w:p w14:paraId="1197F709"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23,36</w:t>
            </w:r>
          </w:p>
        </w:tc>
        <w:tc>
          <w:tcPr>
            <w:tcW w:w="1984" w:type="dxa"/>
            <w:tcBorders>
              <w:top w:val="nil"/>
              <w:left w:val="nil"/>
              <w:bottom w:val="nil"/>
              <w:right w:val="nil"/>
            </w:tcBorders>
            <w:shd w:val="clear" w:color="000000" w:fill="FFFFFF"/>
            <w:noWrap/>
            <w:vAlign w:val="bottom"/>
            <w:hideMark/>
          </w:tcPr>
          <w:p w14:paraId="0DECDD1A"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0,00</w:t>
            </w:r>
          </w:p>
        </w:tc>
      </w:tr>
      <w:tr w:rsidR="00145F77" w:rsidRPr="00C3525A" w14:paraId="0302E534" w14:textId="77777777" w:rsidTr="00145F77">
        <w:trPr>
          <w:trHeight w:val="285"/>
        </w:trPr>
        <w:tc>
          <w:tcPr>
            <w:tcW w:w="1985" w:type="dxa"/>
            <w:tcBorders>
              <w:top w:val="nil"/>
              <w:left w:val="nil"/>
              <w:bottom w:val="double" w:sz="6" w:space="0" w:color="auto"/>
              <w:right w:val="nil"/>
            </w:tcBorders>
            <w:shd w:val="clear" w:color="000000" w:fill="FFFFFF"/>
            <w:noWrap/>
            <w:vAlign w:val="bottom"/>
            <w:hideMark/>
          </w:tcPr>
          <w:p w14:paraId="1B1A47AE"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850" w:type="dxa"/>
            <w:tcBorders>
              <w:top w:val="nil"/>
              <w:left w:val="nil"/>
              <w:bottom w:val="double" w:sz="6" w:space="0" w:color="auto"/>
              <w:right w:val="nil"/>
            </w:tcBorders>
            <w:shd w:val="clear" w:color="000000" w:fill="FFFFFF"/>
            <w:noWrap/>
            <w:vAlign w:val="bottom"/>
            <w:hideMark/>
          </w:tcPr>
          <w:p w14:paraId="5A3CA41E"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993" w:type="dxa"/>
            <w:tcBorders>
              <w:top w:val="nil"/>
              <w:left w:val="nil"/>
              <w:bottom w:val="double" w:sz="6" w:space="0" w:color="auto"/>
              <w:right w:val="nil"/>
            </w:tcBorders>
            <w:shd w:val="clear" w:color="000000" w:fill="FFFFFF"/>
            <w:noWrap/>
            <w:vAlign w:val="bottom"/>
            <w:hideMark/>
          </w:tcPr>
          <w:p w14:paraId="6370FECB"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992" w:type="dxa"/>
            <w:tcBorders>
              <w:top w:val="nil"/>
              <w:left w:val="nil"/>
              <w:bottom w:val="double" w:sz="6" w:space="0" w:color="auto"/>
              <w:right w:val="nil"/>
            </w:tcBorders>
            <w:shd w:val="clear" w:color="000000" w:fill="FFFFFF"/>
            <w:noWrap/>
            <w:vAlign w:val="bottom"/>
            <w:hideMark/>
          </w:tcPr>
          <w:p w14:paraId="00EBA12B"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709" w:type="dxa"/>
            <w:tcBorders>
              <w:top w:val="nil"/>
              <w:left w:val="nil"/>
              <w:bottom w:val="double" w:sz="6" w:space="0" w:color="auto"/>
              <w:right w:val="nil"/>
            </w:tcBorders>
            <w:shd w:val="clear" w:color="000000" w:fill="FFFFFF"/>
            <w:noWrap/>
            <w:vAlign w:val="bottom"/>
            <w:hideMark/>
          </w:tcPr>
          <w:p w14:paraId="6A92A5EA"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850" w:type="dxa"/>
            <w:tcBorders>
              <w:top w:val="nil"/>
              <w:left w:val="nil"/>
              <w:bottom w:val="double" w:sz="6" w:space="0" w:color="auto"/>
              <w:right w:val="nil"/>
            </w:tcBorders>
            <w:shd w:val="clear" w:color="000000" w:fill="FFFFFF"/>
            <w:noWrap/>
            <w:vAlign w:val="bottom"/>
            <w:hideMark/>
          </w:tcPr>
          <w:p w14:paraId="16F4042A"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851" w:type="dxa"/>
            <w:tcBorders>
              <w:top w:val="nil"/>
              <w:left w:val="nil"/>
              <w:bottom w:val="double" w:sz="6" w:space="0" w:color="auto"/>
              <w:right w:val="nil"/>
            </w:tcBorders>
            <w:shd w:val="clear" w:color="000000" w:fill="FFFFFF"/>
            <w:noWrap/>
            <w:vAlign w:val="bottom"/>
            <w:hideMark/>
          </w:tcPr>
          <w:p w14:paraId="2A506B64"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1984" w:type="dxa"/>
            <w:tcBorders>
              <w:top w:val="double" w:sz="6" w:space="0" w:color="auto"/>
              <w:left w:val="nil"/>
              <w:bottom w:val="double" w:sz="6" w:space="0" w:color="auto"/>
              <w:right w:val="nil"/>
            </w:tcBorders>
            <w:shd w:val="clear" w:color="000000" w:fill="FFFFFF"/>
            <w:noWrap/>
            <w:vAlign w:val="bottom"/>
            <w:hideMark/>
          </w:tcPr>
          <w:p w14:paraId="6A34B4A4"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r>
      <w:tr w:rsidR="00145F77" w:rsidRPr="00C3525A" w14:paraId="4D88BB0D" w14:textId="77777777" w:rsidTr="00145F77">
        <w:trPr>
          <w:trHeight w:val="270"/>
        </w:trPr>
        <w:tc>
          <w:tcPr>
            <w:tcW w:w="1985" w:type="dxa"/>
            <w:tcBorders>
              <w:top w:val="nil"/>
              <w:left w:val="nil"/>
              <w:bottom w:val="single" w:sz="4" w:space="0" w:color="auto"/>
              <w:right w:val="nil"/>
            </w:tcBorders>
            <w:shd w:val="clear" w:color="000000" w:fill="FFFFFF"/>
            <w:noWrap/>
            <w:vAlign w:val="bottom"/>
            <w:hideMark/>
          </w:tcPr>
          <w:p w14:paraId="211FA567"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PIB Agropecuária (%)</w:t>
            </w:r>
          </w:p>
        </w:tc>
        <w:tc>
          <w:tcPr>
            <w:tcW w:w="850" w:type="dxa"/>
            <w:tcBorders>
              <w:top w:val="nil"/>
              <w:left w:val="nil"/>
              <w:bottom w:val="single" w:sz="4" w:space="0" w:color="auto"/>
              <w:right w:val="nil"/>
            </w:tcBorders>
            <w:shd w:val="clear" w:color="000000" w:fill="FFFFFF"/>
            <w:noWrap/>
            <w:vAlign w:val="bottom"/>
            <w:hideMark/>
          </w:tcPr>
          <w:p w14:paraId="56192C06"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2000</w:t>
            </w:r>
          </w:p>
        </w:tc>
        <w:tc>
          <w:tcPr>
            <w:tcW w:w="993" w:type="dxa"/>
            <w:tcBorders>
              <w:top w:val="nil"/>
              <w:left w:val="nil"/>
              <w:bottom w:val="single" w:sz="4" w:space="0" w:color="auto"/>
              <w:right w:val="nil"/>
            </w:tcBorders>
            <w:shd w:val="clear" w:color="000000" w:fill="FFFFFF"/>
            <w:noWrap/>
            <w:vAlign w:val="bottom"/>
            <w:hideMark/>
          </w:tcPr>
          <w:p w14:paraId="1EBAB73A"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2005</w:t>
            </w:r>
          </w:p>
        </w:tc>
        <w:tc>
          <w:tcPr>
            <w:tcW w:w="992" w:type="dxa"/>
            <w:tcBorders>
              <w:top w:val="nil"/>
              <w:left w:val="nil"/>
              <w:bottom w:val="single" w:sz="4" w:space="0" w:color="auto"/>
              <w:right w:val="nil"/>
            </w:tcBorders>
            <w:shd w:val="clear" w:color="000000" w:fill="FFFFFF"/>
            <w:noWrap/>
            <w:vAlign w:val="bottom"/>
            <w:hideMark/>
          </w:tcPr>
          <w:p w14:paraId="7C13E5C3"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2010</w:t>
            </w:r>
          </w:p>
        </w:tc>
        <w:tc>
          <w:tcPr>
            <w:tcW w:w="709" w:type="dxa"/>
            <w:tcBorders>
              <w:top w:val="nil"/>
              <w:left w:val="nil"/>
              <w:bottom w:val="single" w:sz="4" w:space="0" w:color="auto"/>
              <w:right w:val="nil"/>
            </w:tcBorders>
            <w:shd w:val="clear" w:color="000000" w:fill="FFFFFF"/>
            <w:noWrap/>
            <w:vAlign w:val="bottom"/>
            <w:hideMark/>
          </w:tcPr>
          <w:p w14:paraId="226264CD"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2015</w:t>
            </w:r>
          </w:p>
        </w:tc>
        <w:tc>
          <w:tcPr>
            <w:tcW w:w="850" w:type="dxa"/>
            <w:tcBorders>
              <w:top w:val="nil"/>
              <w:left w:val="nil"/>
              <w:bottom w:val="single" w:sz="4" w:space="0" w:color="auto"/>
              <w:right w:val="nil"/>
            </w:tcBorders>
            <w:shd w:val="clear" w:color="000000" w:fill="FFFFFF"/>
            <w:noWrap/>
            <w:vAlign w:val="bottom"/>
            <w:hideMark/>
          </w:tcPr>
          <w:p w14:paraId="33C1C2CC"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2019</w:t>
            </w:r>
          </w:p>
        </w:tc>
        <w:tc>
          <w:tcPr>
            <w:tcW w:w="851" w:type="dxa"/>
            <w:tcBorders>
              <w:top w:val="nil"/>
              <w:left w:val="nil"/>
              <w:bottom w:val="single" w:sz="4" w:space="0" w:color="auto"/>
              <w:right w:val="nil"/>
            </w:tcBorders>
            <w:shd w:val="clear" w:color="000000" w:fill="FFFFFF"/>
            <w:noWrap/>
            <w:vAlign w:val="bottom"/>
            <w:hideMark/>
          </w:tcPr>
          <w:p w14:paraId="2B5ADA09"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2020</w:t>
            </w:r>
          </w:p>
        </w:tc>
        <w:tc>
          <w:tcPr>
            <w:tcW w:w="1984" w:type="dxa"/>
            <w:tcBorders>
              <w:top w:val="nil"/>
              <w:left w:val="nil"/>
              <w:bottom w:val="single" w:sz="4" w:space="0" w:color="auto"/>
              <w:right w:val="nil"/>
            </w:tcBorders>
            <w:shd w:val="clear" w:color="000000" w:fill="FFFFFF"/>
            <w:noWrap/>
            <w:vAlign w:val="bottom"/>
            <w:hideMark/>
          </w:tcPr>
          <w:p w14:paraId="576B6183" w14:textId="14B6B2B0" w:rsidR="00C3525A" w:rsidRPr="00C3525A" w:rsidRDefault="00145F77"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Tx. Crec. 2000-2020</w:t>
            </w:r>
          </w:p>
        </w:tc>
      </w:tr>
      <w:tr w:rsidR="00145F77" w:rsidRPr="00C3525A" w14:paraId="2AA78A58" w14:textId="77777777" w:rsidTr="00145F77">
        <w:trPr>
          <w:trHeight w:val="255"/>
        </w:trPr>
        <w:tc>
          <w:tcPr>
            <w:tcW w:w="1985" w:type="dxa"/>
            <w:tcBorders>
              <w:top w:val="nil"/>
              <w:left w:val="nil"/>
              <w:bottom w:val="nil"/>
              <w:right w:val="nil"/>
            </w:tcBorders>
            <w:shd w:val="clear" w:color="000000" w:fill="FFFFFF"/>
            <w:noWrap/>
            <w:vAlign w:val="bottom"/>
            <w:hideMark/>
          </w:tcPr>
          <w:p w14:paraId="117CC11C"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Paraná</w:t>
            </w:r>
          </w:p>
        </w:tc>
        <w:tc>
          <w:tcPr>
            <w:tcW w:w="850" w:type="dxa"/>
            <w:tcBorders>
              <w:top w:val="nil"/>
              <w:left w:val="nil"/>
              <w:bottom w:val="nil"/>
              <w:right w:val="nil"/>
            </w:tcBorders>
            <w:shd w:val="clear" w:color="000000" w:fill="FFFFFF"/>
            <w:noWrap/>
            <w:vAlign w:val="bottom"/>
            <w:hideMark/>
          </w:tcPr>
          <w:p w14:paraId="7A090B69"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10,91</w:t>
            </w:r>
          </w:p>
        </w:tc>
        <w:tc>
          <w:tcPr>
            <w:tcW w:w="993" w:type="dxa"/>
            <w:tcBorders>
              <w:top w:val="nil"/>
              <w:left w:val="nil"/>
              <w:bottom w:val="nil"/>
              <w:right w:val="nil"/>
            </w:tcBorders>
            <w:shd w:val="clear" w:color="000000" w:fill="FFFFFF"/>
            <w:noWrap/>
            <w:vAlign w:val="bottom"/>
            <w:hideMark/>
          </w:tcPr>
          <w:p w14:paraId="4807BCD8"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10,25</w:t>
            </w:r>
          </w:p>
        </w:tc>
        <w:tc>
          <w:tcPr>
            <w:tcW w:w="992" w:type="dxa"/>
            <w:tcBorders>
              <w:top w:val="nil"/>
              <w:left w:val="nil"/>
              <w:bottom w:val="nil"/>
              <w:right w:val="nil"/>
            </w:tcBorders>
            <w:shd w:val="clear" w:color="000000" w:fill="FFFFFF"/>
            <w:noWrap/>
            <w:vAlign w:val="bottom"/>
            <w:hideMark/>
          </w:tcPr>
          <w:p w14:paraId="6BE4947D"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10,84</w:t>
            </w:r>
          </w:p>
        </w:tc>
        <w:tc>
          <w:tcPr>
            <w:tcW w:w="709" w:type="dxa"/>
            <w:tcBorders>
              <w:top w:val="nil"/>
              <w:left w:val="nil"/>
              <w:bottom w:val="nil"/>
              <w:right w:val="nil"/>
            </w:tcBorders>
            <w:shd w:val="clear" w:color="000000" w:fill="FFFFFF"/>
            <w:noWrap/>
            <w:vAlign w:val="bottom"/>
            <w:hideMark/>
          </w:tcPr>
          <w:p w14:paraId="3B21807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11,76</w:t>
            </w:r>
          </w:p>
        </w:tc>
        <w:tc>
          <w:tcPr>
            <w:tcW w:w="850" w:type="dxa"/>
            <w:tcBorders>
              <w:top w:val="nil"/>
              <w:left w:val="nil"/>
              <w:bottom w:val="nil"/>
              <w:right w:val="nil"/>
            </w:tcBorders>
            <w:shd w:val="clear" w:color="000000" w:fill="FFFFFF"/>
            <w:noWrap/>
            <w:vAlign w:val="bottom"/>
            <w:hideMark/>
          </w:tcPr>
          <w:p w14:paraId="0F491A7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11,37</w:t>
            </w:r>
          </w:p>
        </w:tc>
        <w:tc>
          <w:tcPr>
            <w:tcW w:w="851" w:type="dxa"/>
            <w:tcBorders>
              <w:top w:val="nil"/>
              <w:left w:val="nil"/>
              <w:bottom w:val="nil"/>
              <w:right w:val="nil"/>
            </w:tcBorders>
            <w:shd w:val="clear" w:color="000000" w:fill="FFFFFF"/>
            <w:noWrap/>
            <w:vAlign w:val="bottom"/>
            <w:hideMark/>
          </w:tcPr>
          <w:p w14:paraId="0287F4B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11,77</w:t>
            </w:r>
          </w:p>
        </w:tc>
        <w:tc>
          <w:tcPr>
            <w:tcW w:w="1984" w:type="dxa"/>
            <w:tcBorders>
              <w:top w:val="nil"/>
              <w:left w:val="nil"/>
              <w:bottom w:val="nil"/>
              <w:right w:val="nil"/>
            </w:tcBorders>
            <w:shd w:val="clear" w:color="000000" w:fill="FFFFFF"/>
            <w:noWrap/>
            <w:vAlign w:val="bottom"/>
            <w:hideMark/>
          </w:tcPr>
          <w:p w14:paraId="34C2A7AE"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0,00</w:t>
            </w:r>
          </w:p>
        </w:tc>
      </w:tr>
      <w:tr w:rsidR="00145F77" w:rsidRPr="00C3525A" w14:paraId="5AEE8E63" w14:textId="77777777" w:rsidTr="00145F77">
        <w:trPr>
          <w:trHeight w:val="255"/>
        </w:trPr>
        <w:tc>
          <w:tcPr>
            <w:tcW w:w="1985" w:type="dxa"/>
            <w:tcBorders>
              <w:top w:val="nil"/>
              <w:left w:val="nil"/>
              <w:bottom w:val="nil"/>
              <w:right w:val="nil"/>
            </w:tcBorders>
            <w:shd w:val="clear" w:color="000000" w:fill="FFFFFF"/>
            <w:noWrap/>
            <w:vAlign w:val="bottom"/>
            <w:hideMark/>
          </w:tcPr>
          <w:p w14:paraId="78730B10"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Rio Grande do Sul</w:t>
            </w:r>
          </w:p>
        </w:tc>
        <w:tc>
          <w:tcPr>
            <w:tcW w:w="850" w:type="dxa"/>
            <w:tcBorders>
              <w:top w:val="nil"/>
              <w:left w:val="nil"/>
              <w:bottom w:val="nil"/>
              <w:right w:val="nil"/>
            </w:tcBorders>
            <w:shd w:val="clear" w:color="000000" w:fill="FFFFFF"/>
            <w:noWrap/>
            <w:vAlign w:val="bottom"/>
            <w:hideMark/>
          </w:tcPr>
          <w:p w14:paraId="707C4E62"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12,45</w:t>
            </w:r>
          </w:p>
        </w:tc>
        <w:tc>
          <w:tcPr>
            <w:tcW w:w="993" w:type="dxa"/>
            <w:tcBorders>
              <w:top w:val="nil"/>
              <w:left w:val="nil"/>
              <w:bottom w:val="nil"/>
              <w:right w:val="nil"/>
            </w:tcBorders>
            <w:shd w:val="clear" w:color="000000" w:fill="FFFFFF"/>
            <w:noWrap/>
            <w:vAlign w:val="bottom"/>
            <w:hideMark/>
          </w:tcPr>
          <w:p w14:paraId="6BD80341"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8,07</w:t>
            </w:r>
          </w:p>
        </w:tc>
        <w:tc>
          <w:tcPr>
            <w:tcW w:w="992" w:type="dxa"/>
            <w:tcBorders>
              <w:top w:val="nil"/>
              <w:left w:val="nil"/>
              <w:bottom w:val="nil"/>
              <w:right w:val="nil"/>
            </w:tcBorders>
            <w:shd w:val="clear" w:color="000000" w:fill="FFFFFF"/>
            <w:noWrap/>
            <w:vAlign w:val="bottom"/>
            <w:hideMark/>
          </w:tcPr>
          <w:p w14:paraId="5901C5FB"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11,02</w:t>
            </w:r>
          </w:p>
        </w:tc>
        <w:tc>
          <w:tcPr>
            <w:tcW w:w="709" w:type="dxa"/>
            <w:tcBorders>
              <w:top w:val="nil"/>
              <w:left w:val="nil"/>
              <w:bottom w:val="nil"/>
              <w:right w:val="nil"/>
            </w:tcBorders>
            <w:shd w:val="clear" w:color="000000" w:fill="FFFFFF"/>
            <w:noWrap/>
            <w:vAlign w:val="bottom"/>
            <w:hideMark/>
          </w:tcPr>
          <w:p w14:paraId="34150148"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12,60</w:t>
            </w:r>
          </w:p>
        </w:tc>
        <w:tc>
          <w:tcPr>
            <w:tcW w:w="850" w:type="dxa"/>
            <w:tcBorders>
              <w:top w:val="nil"/>
              <w:left w:val="nil"/>
              <w:bottom w:val="nil"/>
              <w:right w:val="nil"/>
            </w:tcBorders>
            <w:shd w:val="clear" w:color="000000" w:fill="FFFFFF"/>
            <w:noWrap/>
            <w:vAlign w:val="bottom"/>
            <w:hideMark/>
          </w:tcPr>
          <w:p w14:paraId="24DEEB7E"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12,03</w:t>
            </w:r>
          </w:p>
        </w:tc>
        <w:tc>
          <w:tcPr>
            <w:tcW w:w="851" w:type="dxa"/>
            <w:tcBorders>
              <w:top w:val="nil"/>
              <w:left w:val="nil"/>
              <w:bottom w:val="nil"/>
              <w:right w:val="nil"/>
            </w:tcBorders>
            <w:shd w:val="clear" w:color="000000" w:fill="FFFFFF"/>
            <w:noWrap/>
            <w:vAlign w:val="bottom"/>
            <w:hideMark/>
          </w:tcPr>
          <w:p w14:paraId="16FD0D6E"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11,99</w:t>
            </w:r>
          </w:p>
        </w:tc>
        <w:tc>
          <w:tcPr>
            <w:tcW w:w="1984" w:type="dxa"/>
            <w:tcBorders>
              <w:top w:val="nil"/>
              <w:left w:val="nil"/>
              <w:bottom w:val="nil"/>
              <w:right w:val="nil"/>
            </w:tcBorders>
            <w:shd w:val="clear" w:color="000000" w:fill="FFFFFF"/>
            <w:noWrap/>
            <w:vAlign w:val="bottom"/>
            <w:hideMark/>
          </w:tcPr>
          <w:p w14:paraId="04F8E179"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0,00</w:t>
            </w:r>
          </w:p>
        </w:tc>
      </w:tr>
      <w:tr w:rsidR="00145F77" w:rsidRPr="00C3525A" w14:paraId="003B5AF3" w14:textId="77777777" w:rsidTr="00145F77">
        <w:trPr>
          <w:trHeight w:val="255"/>
        </w:trPr>
        <w:tc>
          <w:tcPr>
            <w:tcW w:w="1985" w:type="dxa"/>
            <w:tcBorders>
              <w:top w:val="nil"/>
              <w:left w:val="nil"/>
              <w:bottom w:val="single" w:sz="4" w:space="0" w:color="auto"/>
              <w:right w:val="nil"/>
            </w:tcBorders>
            <w:shd w:val="clear" w:color="000000" w:fill="FFFFFF"/>
            <w:noWrap/>
            <w:vAlign w:val="bottom"/>
            <w:hideMark/>
          </w:tcPr>
          <w:p w14:paraId="0CD944FC"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Santa Catarina</w:t>
            </w:r>
          </w:p>
        </w:tc>
        <w:tc>
          <w:tcPr>
            <w:tcW w:w="850" w:type="dxa"/>
            <w:tcBorders>
              <w:top w:val="nil"/>
              <w:left w:val="nil"/>
              <w:bottom w:val="single" w:sz="4" w:space="0" w:color="auto"/>
              <w:right w:val="nil"/>
            </w:tcBorders>
            <w:shd w:val="clear" w:color="000000" w:fill="FFFFFF"/>
            <w:noWrap/>
            <w:vAlign w:val="bottom"/>
            <w:hideMark/>
          </w:tcPr>
          <w:p w14:paraId="063822EF"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7,06</w:t>
            </w:r>
          </w:p>
        </w:tc>
        <w:tc>
          <w:tcPr>
            <w:tcW w:w="993" w:type="dxa"/>
            <w:tcBorders>
              <w:top w:val="nil"/>
              <w:left w:val="nil"/>
              <w:bottom w:val="single" w:sz="4" w:space="0" w:color="auto"/>
              <w:right w:val="nil"/>
            </w:tcBorders>
            <w:shd w:val="clear" w:color="000000" w:fill="FFFFFF"/>
            <w:noWrap/>
            <w:vAlign w:val="bottom"/>
            <w:hideMark/>
          </w:tcPr>
          <w:p w14:paraId="32A0E4D2"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5,82</w:t>
            </w:r>
          </w:p>
        </w:tc>
        <w:tc>
          <w:tcPr>
            <w:tcW w:w="992" w:type="dxa"/>
            <w:tcBorders>
              <w:top w:val="nil"/>
              <w:left w:val="nil"/>
              <w:bottom w:val="single" w:sz="4" w:space="0" w:color="auto"/>
              <w:right w:val="nil"/>
            </w:tcBorders>
            <w:shd w:val="clear" w:color="000000" w:fill="FFFFFF"/>
            <w:noWrap/>
            <w:vAlign w:val="bottom"/>
            <w:hideMark/>
          </w:tcPr>
          <w:p w14:paraId="61771664"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5,14</w:t>
            </w:r>
          </w:p>
        </w:tc>
        <w:tc>
          <w:tcPr>
            <w:tcW w:w="709" w:type="dxa"/>
            <w:tcBorders>
              <w:top w:val="nil"/>
              <w:left w:val="nil"/>
              <w:bottom w:val="single" w:sz="4" w:space="0" w:color="auto"/>
              <w:right w:val="nil"/>
            </w:tcBorders>
            <w:shd w:val="clear" w:color="000000" w:fill="FFFFFF"/>
            <w:noWrap/>
            <w:vAlign w:val="bottom"/>
            <w:hideMark/>
          </w:tcPr>
          <w:p w14:paraId="30A2ECD2"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4,47</w:t>
            </w:r>
          </w:p>
        </w:tc>
        <w:tc>
          <w:tcPr>
            <w:tcW w:w="850" w:type="dxa"/>
            <w:tcBorders>
              <w:top w:val="nil"/>
              <w:left w:val="nil"/>
              <w:bottom w:val="single" w:sz="4" w:space="0" w:color="auto"/>
              <w:right w:val="nil"/>
            </w:tcBorders>
            <w:shd w:val="clear" w:color="000000" w:fill="FFFFFF"/>
            <w:noWrap/>
            <w:vAlign w:val="bottom"/>
            <w:hideMark/>
          </w:tcPr>
          <w:p w14:paraId="7563FCBE"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4,62</w:t>
            </w:r>
          </w:p>
        </w:tc>
        <w:tc>
          <w:tcPr>
            <w:tcW w:w="851" w:type="dxa"/>
            <w:tcBorders>
              <w:top w:val="nil"/>
              <w:left w:val="nil"/>
              <w:bottom w:val="single" w:sz="4" w:space="0" w:color="auto"/>
              <w:right w:val="nil"/>
            </w:tcBorders>
            <w:shd w:val="clear" w:color="000000" w:fill="FFFFFF"/>
            <w:noWrap/>
            <w:vAlign w:val="bottom"/>
            <w:hideMark/>
          </w:tcPr>
          <w:p w14:paraId="17E3F7AB"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4,37</w:t>
            </w:r>
          </w:p>
        </w:tc>
        <w:tc>
          <w:tcPr>
            <w:tcW w:w="1984" w:type="dxa"/>
            <w:tcBorders>
              <w:top w:val="nil"/>
              <w:left w:val="nil"/>
              <w:bottom w:val="single" w:sz="4" w:space="0" w:color="auto"/>
              <w:right w:val="nil"/>
            </w:tcBorders>
            <w:shd w:val="clear" w:color="000000" w:fill="FFFFFF"/>
            <w:noWrap/>
            <w:vAlign w:val="bottom"/>
            <w:hideMark/>
          </w:tcPr>
          <w:p w14:paraId="1FA10B4D"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-0,02</w:t>
            </w:r>
          </w:p>
        </w:tc>
      </w:tr>
      <w:tr w:rsidR="00145F77" w:rsidRPr="00C3525A" w14:paraId="379B49B3" w14:textId="77777777" w:rsidTr="00145F77">
        <w:trPr>
          <w:trHeight w:val="270"/>
        </w:trPr>
        <w:tc>
          <w:tcPr>
            <w:tcW w:w="1985" w:type="dxa"/>
            <w:tcBorders>
              <w:top w:val="nil"/>
              <w:left w:val="nil"/>
              <w:bottom w:val="double" w:sz="6" w:space="0" w:color="auto"/>
              <w:right w:val="nil"/>
            </w:tcBorders>
            <w:shd w:val="clear" w:color="000000" w:fill="FFFFFF"/>
            <w:noWrap/>
            <w:vAlign w:val="bottom"/>
            <w:hideMark/>
          </w:tcPr>
          <w:p w14:paraId="001CC4D1"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Sul / Brasil</w:t>
            </w:r>
          </w:p>
        </w:tc>
        <w:tc>
          <w:tcPr>
            <w:tcW w:w="850" w:type="dxa"/>
            <w:tcBorders>
              <w:top w:val="nil"/>
              <w:left w:val="nil"/>
              <w:bottom w:val="double" w:sz="6" w:space="0" w:color="auto"/>
              <w:right w:val="nil"/>
            </w:tcBorders>
            <w:shd w:val="clear" w:color="000000" w:fill="FFFFFF"/>
            <w:noWrap/>
            <w:vAlign w:val="bottom"/>
            <w:hideMark/>
          </w:tcPr>
          <w:p w14:paraId="6AB743AA"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30,42</w:t>
            </w:r>
          </w:p>
        </w:tc>
        <w:tc>
          <w:tcPr>
            <w:tcW w:w="993" w:type="dxa"/>
            <w:tcBorders>
              <w:top w:val="nil"/>
              <w:left w:val="nil"/>
              <w:bottom w:val="double" w:sz="6" w:space="0" w:color="auto"/>
              <w:right w:val="nil"/>
            </w:tcBorders>
            <w:shd w:val="clear" w:color="000000" w:fill="FFFFFF"/>
            <w:noWrap/>
            <w:vAlign w:val="bottom"/>
            <w:hideMark/>
          </w:tcPr>
          <w:p w14:paraId="13ABD2C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24,14</w:t>
            </w:r>
          </w:p>
        </w:tc>
        <w:tc>
          <w:tcPr>
            <w:tcW w:w="992" w:type="dxa"/>
            <w:tcBorders>
              <w:top w:val="nil"/>
              <w:left w:val="nil"/>
              <w:bottom w:val="double" w:sz="6" w:space="0" w:color="auto"/>
              <w:right w:val="nil"/>
            </w:tcBorders>
            <w:shd w:val="clear" w:color="000000" w:fill="FFFFFF"/>
            <w:noWrap/>
            <w:vAlign w:val="bottom"/>
            <w:hideMark/>
          </w:tcPr>
          <w:p w14:paraId="41C0C33A"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27,00</w:t>
            </w:r>
          </w:p>
        </w:tc>
        <w:tc>
          <w:tcPr>
            <w:tcW w:w="709" w:type="dxa"/>
            <w:tcBorders>
              <w:top w:val="nil"/>
              <w:left w:val="nil"/>
              <w:bottom w:val="double" w:sz="6" w:space="0" w:color="auto"/>
              <w:right w:val="nil"/>
            </w:tcBorders>
            <w:shd w:val="clear" w:color="000000" w:fill="FFFFFF"/>
            <w:noWrap/>
            <w:vAlign w:val="bottom"/>
            <w:hideMark/>
          </w:tcPr>
          <w:p w14:paraId="1B0E59BF"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28,83</w:t>
            </w:r>
          </w:p>
        </w:tc>
        <w:tc>
          <w:tcPr>
            <w:tcW w:w="850" w:type="dxa"/>
            <w:tcBorders>
              <w:top w:val="nil"/>
              <w:left w:val="nil"/>
              <w:bottom w:val="double" w:sz="6" w:space="0" w:color="auto"/>
              <w:right w:val="nil"/>
            </w:tcBorders>
            <w:shd w:val="clear" w:color="000000" w:fill="FFFFFF"/>
            <w:noWrap/>
            <w:vAlign w:val="bottom"/>
            <w:hideMark/>
          </w:tcPr>
          <w:p w14:paraId="1095A76B"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28,02</w:t>
            </w:r>
          </w:p>
        </w:tc>
        <w:tc>
          <w:tcPr>
            <w:tcW w:w="851" w:type="dxa"/>
            <w:tcBorders>
              <w:top w:val="nil"/>
              <w:left w:val="nil"/>
              <w:bottom w:val="double" w:sz="6" w:space="0" w:color="auto"/>
              <w:right w:val="nil"/>
            </w:tcBorders>
            <w:shd w:val="clear" w:color="000000" w:fill="FFFFFF"/>
            <w:noWrap/>
            <w:vAlign w:val="bottom"/>
            <w:hideMark/>
          </w:tcPr>
          <w:p w14:paraId="58445BBB"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28,13</w:t>
            </w:r>
          </w:p>
        </w:tc>
        <w:tc>
          <w:tcPr>
            <w:tcW w:w="1984" w:type="dxa"/>
            <w:tcBorders>
              <w:top w:val="nil"/>
              <w:left w:val="nil"/>
              <w:bottom w:val="nil"/>
              <w:right w:val="nil"/>
            </w:tcBorders>
            <w:shd w:val="clear" w:color="000000" w:fill="FFFFFF"/>
            <w:noWrap/>
            <w:vAlign w:val="bottom"/>
            <w:hideMark/>
          </w:tcPr>
          <w:p w14:paraId="5180070C"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0,00</w:t>
            </w:r>
          </w:p>
        </w:tc>
      </w:tr>
      <w:tr w:rsidR="00145F77" w:rsidRPr="00C3525A" w14:paraId="299B2251" w14:textId="77777777" w:rsidTr="00145F77">
        <w:trPr>
          <w:trHeight w:val="285"/>
        </w:trPr>
        <w:tc>
          <w:tcPr>
            <w:tcW w:w="1985" w:type="dxa"/>
            <w:tcBorders>
              <w:top w:val="nil"/>
              <w:left w:val="nil"/>
              <w:bottom w:val="double" w:sz="6" w:space="0" w:color="auto"/>
              <w:right w:val="nil"/>
            </w:tcBorders>
            <w:shd w:val="clear" w:color="000000" w:fill="FFFFFF"/>
            <w:noWrap/>
            <w:vAlign w:val="bottom"/>
            <w:hideMark/>
          </w:tcPr>
          <w:p w14:paraId="5B6738E9"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850" w:type="dxa"/>
            <w:tcBorders>
              <w:top w:val="nil"/>
              <w:left w:val="nil"/>
              <w:bottom w:val="double" w:sz="6" w:space="0" w:color="auto"/>
              <w:right w:val="nil"/>
            </w:tcBorders>
            <w:shd w:val="clear" w:color="000000" w:fill="FFFFFF"/>
            <w:noWrap/>
            <w:vAlign w:val="bottom"/>
            <w:hideMark/>
          </w:tcPr>
          <w:p w14:paraId="21FF172A"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993" w:type="dxa"/>
            <w:tcBorders>
              <w:top w:val="nil"/>
              <w:left w:val="nil"/>
              <w:bottom w:val="double" w:sz="6" w:space="0" w:color="auto"/>
              <w:right w:val="nil"/>
            </w:tcBorders>
            <w:shd w:val="clear" w:color="000000" w:fill="FFFFFF"/>
            <w:noWrap/>
            <w:vAlign w:val="bottom"/>
            <w:hideMark/>
          </w:tcPr>
          <w:p w14:paraId="52287BE6"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992" w:type="dxa"/>
            <w:tcBorders>
              <w:top w:val="nil"/>
              <w:left w:val="nil"/>
              <w:bottom w:val="double" w:sz="6" w:space="0" w:color="auto"/>
              <w:right w:val="nil"/>
            </w:tcBorders>
            <w:shd w:val="clear" w:color="000000" w:fill="FFFFFF"/>
            <w:noWrap/>
            <w:vAlign w:val="bottom"/>
            <w:hideMark/>
          </w:tcPr>
          <w:p w14:paraId="762617FE"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709" w:type="dxa"/>
            <w:tcBorders>
              <w:top w:val="nil"/>
              <w:left w:val="nil"/>
              <w:bottom w:val="double" w:sz="6" w:space="0" w:color="auto"/>
              <w:right w:val="nil"/>
            </w:tcBorders>
            <w:shd w:val="clear" w:color="000000" w:fill="FFFFFF"/>
            <w:noWrap/>
            <w:vAlign w:val="bottom"/>
            <w:hideMark/>
          </w:tcPr>
          <w:p w14:paraId="2E736BA1"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850" w:type="dxa"/>
            <w:tcBorders>
              <w:top w:val="nil"/>
              <w:left w:val="nil"/>
              <w:bottom w:val="double" w:sz="6" w:space="0" w:color="auto"/>
              <w:right w:val="nil"/>
            </w:tcBorders>
            <w:shd w:val="clear" w:color="000000" w:fill="FFFFFF"/>
            <w:noWrap/>
            <w:vAlign w:val="bottom"/>
            <w:hideMark/>
          </w:tcPr>
          <w:p w14:paraId="1CF4B8D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851" w:type="dxa"/>
            <w:tcBorders>
              <w:top w:val="nil"/>
              <w:left w:val="nil"/>
              <w:bottom w:val="double" w:sz="6" w:space="0" w:color="auto"/>
              <w:right w:val="nil"/>
            </w:tcBorders>
            <w:shd w:val="clear" w:color="000000" w:fill="FFFFFF"/>
            <w:noWrap/>
            <w:vAlign w:val="bottom"/>
            <w:hideMark/>
          </w:tcPr>
          <w:p w14:paraId="7362B55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c>
          <w:tcPr>
            <w:tcW w:w="1984" w:type="dxa"/>
            <w:tcBorders>
              <w:top w:val="double" w:sz="6" w:space="0" w:color="auto"/>
              <w:left w:val="nil"/>
              <w:bottom w:val="double" w:sz="6" w:space="0" w:color="auto"/>
              <w:right w:val="nil"/>
            </w:tcBorders>
            <w:shd w:val="clear" w:color="000000" w:fill="FFFFFF"/>
            <w:noWrap/>
            <w:vAlign w:val="bottom"/>
            <w:hideMark/>
          </w:tcPr>
          <w:p w14:paraId="2CD2AF48"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w:t>
            </w:r>
          </w:p>
        </w:tc>
      </w:tr>
      <w:tr w:rsidR="00145F77" w:rsidRPr="00C3525A" w14:paraId="50156DBC" w14:textId="77777777" w:rsidTr="00145F77">
        <w:trPr>
          <w:trHeight w:val="270"/>
        </w:trPr>
        <w:tc>
          <w:tcPr>
            <w:tcW w:w="1985" w:type="dxa"/>
            <w:tcBorders>
              <w:top w:val="nil"/>
              <w:left w:val="nil"/>
              <w:bottom w:val="single" w:sz="4" w:space="0" w:color="auto"/>
              <w:right w:val="nil"/>
            </w:tcBorders>
            <w:shd w:val="clear" w:color="000000" w:fill="FFFFFF"/>
            <w:noWrap/>
            <w:vAlign w:val="bottom"/>
            <w:hideMark/>
          </w:tcPr>
          <w:p w14:paraId="3F804A01" w14:textId="08113705"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 xml:space="preserve">PIB Comércio </w:t>
            </w:r>
            <w:r>
              <w:rPr>
                <w:rFonts w:ascii="Times New Roman" w:eastAsia="Times New Roman" w:hAnsi="Times New Roman" w:cs="Times New Roman"/>
                <w:color w:val="000000"/>
                <w:sz w:val="20"/>
                <w:szCs w:val="20"/>
                <w:lang w:eastAsia="pt-BR"/>
              </w:rPr>
              <w:t xml:space="preserve">e </w:t>
            </w:r>
            <w:r w:rsidRPr="00C3525A">
              <w:rPr>
                <w:rFonts w:ascii="Times New Roman" w:eastAsia="Times New Roman" w:hAnsi="Times New Roman" w:cs="Times New Roman"/>
                <w:color w:val="000000"/>
                <w:sz w:val="20"/>
                <w:szCs w:val="20"/>
                <w:lang w:eastAsia="pt-BR"/>
              </w:rPr>
              <w:t>serviços (%)</w:t>
            </w:r>
          </w:p>
        </w:tc>
        <w:tc>
          <w:tcPr>
            <w:tcW w:w="850" w:type="dxa"/>
            <w:tcBorders>
              <w:top w:val="nil"/>
              <w:left w:val="nil"/>
              <w:bottom w:val="single" w:sz="4" w:space="0" w:color="auto"/>
              <w:right w:val="nil"/>
            </w:tcBorders>
            <w:shd w:val="clear" w:color="000000" w:fill="FFFFFF"/>
            <w:noWrap/>
            <w:vAlign w:val="bottom"/>
            <w:hideMark/>
          </w:tcPr>
          <w:p w14:paraId="37A3D444"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2000</w:t>
            </w:r>
          </w:p>
        </w:tc>
        <w:tc>
          <w:tcPr>
            <w:tcW w:w="993" w:type="dxa"/>
            <w:tcBorders>
              <w:top w:val="nil"/>
              <w:left w:val="nil"/>
              <w:bottom w:val="single" w:sz="4" w:space="0" w:color="auto"/>
              <w:right w:val="nil"/>
            </w:tcBorders>
            <w:shd w:val="clear" w:color="000000" w:fill="FFFFFF"/>
            <w:noWrap/>
            <w:vAlign w:val="bottom"/>
            <w:hideMark/>
          </w:tcPr>
          <w:p w14:paraId="23130E9F"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2005</w:t>
            </w:r>
          </w:p>
        </w:tc>
        <w:tc>
          <w:tcPr>
            <w:tcW w:w="992" w:type="dxa"/>
            <w:tcBorders>
              <w:top w:val="nil"/>
              <w:left w:val="nil"/>
              <w:bottom w:val="single" w:sz="4" w:space="0" w:color="auto"/>
              <w:right w:val="nil"/>
            </w:tcBorders>
            <w:shd w:val="clear" w:color="000000" w:fill="FFFFFF"/>
            <w:noWrap/>
            <w:vAlign w:val="bottom"/>
            <w:hideMark/>
          </w:tcPr>
          <w:p w14:paraId="2D249C0A"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2010</w:t>
            </w:r>
          </w:p>
        </w:tc>
        <w:tc>
          <w:tcPr>
            <w:tcW w:w="709" w:type="dxa"/>
            <w:tcBorders>
              <w:top w:val="nil"/>
              <w:left w:val="nil"/>
              <w:bottom w:val="single" w:sz="4" w:space="0" w:color="auto"/>
              <w:right w:val="nil"/>
            </w:tcBorders>
            <w:shd w:val="clear" w:color="000000" w:fill="FFFFFF"/>
            <w:noWrap/>
            <w:vAlign w:val="bottom"/>
            <w:hideMark/>
          </w:tcPr>
          <w:p w14:paraId="708300E6"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2015</w:t>
            </w:r>
          </w:p>
        </w:tc>
        <w:tc>
          <w:tcPr>
            <w:tcW w:w="850" w:type="dxa"/>
            <w:tcBorders>
              <w:top w:val="nil"/>
              <w:left w:val="nil"/>
              <w:bottom w:val="single" w:sz="4" w:space="0" w:color="auto"/>
              <w:right w:val="nil"/>
            </w:tcBorders>
            <w:shd w:val="clear" w:color="000000" w:fill="FFFFFF"/>
            <w:noWrap/>
            <w:vAlign w:val="bottom"/>
            <w:hideMark/>
          </w:tcPr>
          <w:p w14:paraId="6CC66C84"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2019</w:t>
            </w:r>
          </w:p>
        </w:tc>
        <w:tc>
          <w:tcPr>
            <w:tcW w:w="851" w:type="dxa"/>
            <w:tcBorders>
              <w:top w:val="nil"/>
              <w:left w:val="nil"/>
              <w:bottom w:val="single" w:sz="4" w:space="0" w:color="auto"/>
              <w:right w:val="nil"/>
            </w:tcBorders>
            <w:shd w:val="clear" w:color="000000" w:fill="FFFFFF"/>
            <w:noWrap/>
            <w:vAlign w:val="bottom"/>
            <w:hideMark/>
          </w:tcPr>
          <w:p w14:paraId="133DF2A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2020</w:t>
            </w:r>
          </w:p>
        </w:tc>
        <w:tc>
          <w:tcPr>
            <w:tcW w:w="1984" w:type="dxa"/>
            <w:tcBorders>
              <w:top w:val="nil"/>
              <w:left w:val="nil"/>
              <w:bottom w:val="single" w:sz="4" w:space="0" w:color="auto"/>
              <w:right w:val="nil"/>
            </w:tcBorders>
            <w:shd w:val="clear" w:color="000000" w:fill="FFFFFF"/>
            <w:noWrap/>
            <w:vAlign w:val="bottom"/>
            <w:hideMark/>
          </w:tcPr>
          <w:p w14:paraId="4A91A28A" w14:textId="39FC0629" w:rsidR="00C3525A" w:rsidRPr="00C3525A" w:rsidRDefault="00145F77"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Tx. Crec. 2000-2020</w:t>
            </w:r>
          </w:p>
        </w:tc>
      </w:tr>
      <w:tr w:rsidR="00145F77" w:rsidRPr="00C3525A" w14:paraId="76873DD3" w14:textId="77777777" w:rsidTr="00145F77">
        <w:trPr>
          <w:trHeight w:val="255"/>
        </w:trPr>
        <w:tc>
          <w:tcPr>
            <w:tcW w:w="1985" w:type="dxa"/>
            <w:tcBorders>
              <w:top w:val="nil"/>
              <w:left w:val="nil"/>
              <w:bottom w:val="nil"/>
              <w:right w:val="nil"/>
            </w:tcBorders>
            <w:shd w:val="clear" w:color="000000" w:fill="FFFFFF"/>
            <w:noWrap/>
            <w:vAlign w:val="bottom"/>
            <w:hideMark/>
          </w:tcPr>
          <w:p w14:paraId="611FAAD3"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Paraná</w:t>
            </w:r>
          </w:p>
        </w:tc>
        <w:tc>
          <w:tcPr>
            <w:tcW w:w="850" w:type="dxa"/>
            <w:tcBorders>
              <w:top w:val="nil"/>
              <w:left w:val="nil"/>
              <w:bottom w:val="nil"/>
              <w:right w:val="nil"/>
            </w:tcBorders>
            <w:shd w:val="clear" w:color="000000" w:fill="FFFFFF"/>
            <w:noWrap/>
            <w:vAlign w:val="bottom"/>
            <w:hideMark/>
          </w:tcPr>
          <w:p w14:paraId="16E93F37"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5,16</w:t>
            </w:r>
          </w:p>
        </w:tc>
        <w:tc>
          <w:tcPr>
            <w:tcW w:w="993" w:type="dxa"/>
            <w:tcBorders>
              <w:top w:val="nil"/>
              <w:left w:val="nil"/>
              <w:bottom w:val="nil"/>
              <w:right w:val="nil"/>
            </w:tcBorders>
            <w:shd w:val="clear" w:color="000000" w:fill="FFFFFF"/>
            <w:noWrap/>
            <w:vAlign w:val="bottom"/>
            <w:hideMark/>
          </w:tcPr>
          <w:p w14:paraId="0D2ADD4D"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5,41</w:t>
            </w:r>
          </w:p>
        </w:tc>
        <w:tc>
          <w:tcPr>
            <w:tcW w:w="992" w:type="dxa"/>
            <w:tcBorders>
              <w:top w:val="nil"/>
              <w:left w:val="nil"/>
              <w:bottom w:val="nil"/>
              <w:right w:val="nil"/>
            </w:tcBorders>
            <w:shd w:val="clear" w:color="000000" w:fill="FFFFFF"/>
            <w:noWrap/>
            <w:vAlign w:val="bottom"/>
            <w:hideMark/>
          </w:tcPr>
          <w:p w14:paraId="40788EEA"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5,33</w:t>
            </w:r>
          </w:p>
        </w:tc>
        <w:tc>
          <w:tcPr>
            <w:tcW w:w="709" w:type="dxa"/>
            <w:tcBorders>
              <w:top w:val="nil"/>
              <w:left w:val="nil"/>
              <w:bottom w:val="nil"/>
              <w:right w:val="nil"/>
            </w:tcBorders>
            <w:shd w:val="clear" w:color="000000" w:fill="FFFFFF"/>
            <w:noWrap/>
            <w:vAlign w:val="bottom"/>
            <w:hideMark/>
          </w:tcPr>
          <w:p w14:paraId="6C0F8CD5"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5,69</w:t>
            </w:r>
          </w:p>
        </w:tc>
        <w:tc>
          <w:tcPr>
            <w:tcW w:w="850" w:type="dxa"/>
            <w:tcBorders>
              <w:top w:val="nil"/>
              <w:left w:val="nil"/>
              <w:bottom w:val="nil"/>
              <w:right w:val="nil"/>
            </w:tcBorders>
            <w:shd w:val="clear" w:color="000000" w:fill="FFFFFF"/>
            <w:noWrap/>
            <w:vAlign w:val="bottom"/>
            <w:hideMark/>
          </w:tcPr>
          <w:p w14:paraId="2B9AC1D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5,63</w:t>
            </w:r>
          </w:p>
        </w:tc>
        <w:tc>
          <w:tcPr>
            <w:tcW w:w="851" w:type="dxa"/>
            <w:tcBorders>
              <w:top w:val="nil"/>
              <w:left w:val="nil"/>
              <w:bottom w:val="nil"/>
              <w:right w:val="nil"/>
            </w:tcBorders>
            <w:shd w:val="clear" w:color="000000" w:fill="FFFFFF"/>
            <w:noWrap/>
            <w:vAlign w:val="bottom"/>
            <w:hideMark/>
          </w:tcPr>
          <w:p w14:paraId="6B0A1AE8"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5,44</w:t>
            </w:r>
          </w:p>
        </w:tc>
        <w:tc>
          <w:tcPr>
            <w:tcW w:w="1984" w:type="dxa"/>
            <w:tcBorders>
              <w:top w:val="nil"/>
              <w:left w:val="nil"/>
              <w:bottom w:val="nil"/>
              <w:right w:val="nil"/>
            </w:tcBorders>
            <w:shd w:val="clear" w:color="000000" w:fill="FFFFFF"/>
            <w:noWrap/>
            <w:vAlign w:val="bottom"/>
            <w:hideMark/>
          </w:tcPr>
          <w:p w14:paraId="7DB72805"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0,00</w:t>
            </w:r>
          </w:p>
        </w:tc>
      </w:tr>
      <w:tr w:rsidR="00145F77" w:rsidRPr="00C3525A" w14:paraId="709428EC" w14:textId="77777777" w:rsidTr="00145F77">
        <w:trPr>
          <w:trHeight w:val="255"/>
        </w:trPr>
        <w:tc>
          <w:tcPr>
            <w:tcW w:w="1985" w:type="dxa"/>
            <w:tcBorders>
              <w:top w:val="nil"/>
              <w:left w:val="nil"/>
              <w:bottom w:val="nil"/>
              <w:right w:val="nil"/>
            </w:tcBorders>
            <w:shd w:val="clear" w:color="000000" w:fill="FFFFFF"/>
            <w:noWrap/>
            <w:vAlign w:val="bottom"/>
            <w:hideMark/>
          </w:tcPr>
          <w:p w14:paraId="3D5BCB27"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Rio Grande do Sul</w:t>
            </w:r>
          </w:p>
        </w:tc>
        <w:tc>
          <w:tcPr>
            <w:tcW w:w="850" w:type="dxa"/>
            <w:tcBorders>
              <w:top w:val="nil"/>
              <w:left w:val="nil"/>
              <w:bottom w:val="nil"/>
              <w:right w:val="nil"/>
            </w:tcBorders>
            <w:shd w:val="clear" w:color="000000" w:fill="FFFFFF"/>
            <w:noWrap/>
            <w:vAlign w:val="bottom"/>
            <w:hideMark/>
          </w:tcPr>
          <w:p w14:paraId="058D689E"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7,04</w:t>
            </w:r>
          </w:p>
        </w:tc>
        <w:tc>
          <w:tcPr>
            <w:tcW w:w="993" w:type="dxa"/>
            <w:tcBorders>
              <w:top w:val="nil"/>
              <w:left w:val="nil"/>
              <w:bottom w:val="nil"/>
              <w:right w:val="nil"/>
            </w:tcBorders>
            <w:shd w:val="clear" w:color="000000" w:fill="FFFFFF"/>
            <w:noWrap/>
            <w:vAlign w:val="bottom"/>
            <w:hideMark/>
          </w:tcPr>
          <w:p w14:paraId="1CF339E3"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6,06</w:t>
            </w:r>
          </w:p>
        </w:tc>
        <w:tc>
          <w:tcPr>
            <w:tcW w:w="992" w:type="dxa"/>
            <w:tcBorders>
              <w:top w:val="nil"/>
              <w:left w:val="nil"/>
              <w:bottom w:val="nil"/>
              <w:right w:val="nil"/>
            </w:tcBorders>
            <w:shd w:val="clear" w:color="000000" w:fill="FFFFFF"/>
            <w:noWrap/>
            <w:vAlign w:val="bottom"/>
            <w:hideMark/>
          </w:tcPr>
          <w:p w14:paraId="3A006DB1"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5,78</w:t>
            </w:r>
          </w:p>
        </w:tc>
        <w:tc>
          <w:tcPr>
            <w:tcW w:w="709" w:type="dxa"/>
            <w:tcBorders>
              <w:top w:val="nil"/>
              <w:left w:val="nil"/>
              <w:bottom w:val="nil"/>
              <w:right w:val="nil"/>
            </w:tcBorders>
            <w:shd w:val="clear" w:color="000000" w:fill="FFFFFF"/>
            <w:noWrap/>
            <w:vAlign w:val="bottom"/>
            <w:hideMark/>
          </w:tcPr>
          <w:p w14:paraId="3D7CE9EE"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5,99</w:t>
            </w:r>
          </w:p>
        </w:tc>
        <w:tc>
          <w:tcPr>
            <w:tcW w:w="850" w:type="dxa"/>
            <w:tcBorders>
              <w:top w:val="nil"/>
              <w:left w:val="nil"/>
              <w:bottom w:val="nil"/>
              <w:right w:val="nil"/>
            </w:tcBorders>
            <w:shd w:val="clear" w:color="000000" w:fill="FFFFFF"/>
            <w:noWrap/>
            <w:vAlign w:val="bottom"/>
            <w:hideMark/>
          </w:tcPr>
          <w:p w14:paraId="7C27260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6,23</w:t>
            </w:r>
          </w:p>
        </w:tc>
        <w:tc>
          <w:tcPr>
            <w:tcW w:w="851" w:type="dxa"/>
            <w:tcBorders>
              <w:top w:val="nil"/>
              <w:left w:val="nil"/>
              <w:bottom w:val="nil"/>
              <w:right w:val="nil"/>
            </w:tcBorders>
            <w:shd w:val="clear" w:color="000000" w:fill="FFFFFF"/>
            <w:noWrap/>
            <w:vAlign w:val="bottom"/>
            <w:hideMark/>
          </w:tcPr>
          <w:p w14:paraId="04E9C657"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5,93</w:t>
            </w:r>
          </w:p>
        </w:tc>
        <w:tc>
          <w:tcPr>
            <w:tcW w:w="1984" w:type="dxa"/>
            <w:tcBorders>
              <w:top w:val="nil"/>
              <w:left w:val="nil"/>
              <w:bottom w:val="nil"/>
              <w:right w:val="nil"/>
            </w:tcBorders>
            <w:shd w:val="clear" w:color="000000" w:fill="FFFFFF"/>
            <w:noWrap/>
            <w:vAlign w:val="bottom"/>
            <w:hideMark/>
          </w:tcPr>
          <w:p w14:paraId="176AA04B"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-0,01</w:t>
            </w:r>
          </w:p>
        </w:tc>
      </w:tr>
      <w:tr w:rsidR="00145F77" w:rsidRPr="00C3525A" w14:paraId="650F956C" w14:textId="77777777" w:rsidTr="00145F77">
        <w:trPr>
          <w:trHeight w:val="255"/>
        </w:trPr>
        <w:tc>
          <w:tcPr>
            <w:tcW w:w="1985" w:type="dxa"/>
            <w:tcBorders>
              <w:top w:val="nil"/>
              <w:left w:val="nil"/>
              <w:bottom w:val="single" w:sz="4" w:space="0" w:color="auto"/>
              <w:right w:val="nil"/>
            </w:tcBorders>
            <w:shd w:val="clear" w:color="000000" w:fill="FFFFFF"/>
            <w:noWrap/>
            <w:vAlign w:val="bottom"/>
            <w:hideMark/>
          </w:tcPr>
          <w:p w14:paraId="7EF2D11A"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Santa Catarina</w:t>
            </w:r>
          </w:p>
        </w:tc>
        <w:tc>
          <w:tcPr>
            <w:tcW w:w="850" w:type="dxa"/>
            <w:tcBorders>
              <w:top w:val="nil"/>
              <w:left w:val="nil"/>
              <w:bottom w:val="single" w:sz="4" w:space="0" w:color="auto"/>
              <w:right w:val="nil"/>
            </w:tcBorders>
            <w:shd w:val="clear" w:color="000000" w:fill="FFFFFF"/>
            <w:noWrap/>
            <w:vAlign w:val="bottom"/>
            <w:hideMark/>
          </w:tcPr>
          <w:p w14:paraId="444CDDE3"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2,76</w:t>
            </w:r>
          </w:p>
        </w:tc>
        <w:tc>
          <w:tcPr>
            <w:tcW w:w="993" w:type="dxa"/>
            <w:tcBorders>
              <w:top w:val="nil"/>
              <w:left w:val="nil"/>
              <w:bottom w:val="single" w:sz="4" w:space="0" w:color="auto"/>
              <w:right w:val="nil"/>
            </w:tcBorders>
            <w:shd w:val="clear" w:color="000000" w:fill="FFFFFF"/>
            <w:noWrap/>
            <w:vAlign w:val="bottom"/>
            <w:hideMark/>
          </w:tcPr>
          <w:p w14:paraId="53E928A7"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3,43</w:t>
            </w:r>
          </w:p>
        </w:tc>
        <w:tc>
          <w:tcPr>
            <w:tcW w:w="992" w:type="dxa"/>
            <w:tcBorders>
              <w:top w:val="nil"/>
              <w:left w:val="nil"/>
              <w:bottom w:val="single" w:sz="4" w:space="0" w:color="auto"/>
              <w:right w:val="nil"/>
            </w:tcBorders>
            <w:shd w:val="clear" w:color="000000" w:fill="FFFFFF"/>
            <w:noWrap/>
            <w:vAlign w:val="bottom"/>
            <w:hideMark/>
          </w:tcPr>
          <w:p w14:paraId="32C96AAE"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3,40</w:t>
            </w:r>
          </w:p>
        </w:tc>
        <w:tc>
          <w:tcPr>
            <w:tcW w:w="709" w:type="dxa"/>
            <w:tcBorders>
              <w:top w:val="nil"/>
              <w:left w:val="nil"/>
              <w:bottom w:val="single" w:sz="4" w:space="0" w:color="auto"/>
              <w:right w:val="nil"/>
            </w:tcBorders>
            <w:shd w:val="clear" w:color="000000" w:fill="FFFFFF"/>
            <w:noWrap/>
            <w:vAlign w:val="bottom"/>
            <w:hideMark/>
          </w:tcPr>
          <w:p w14:paraId="740E7125"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3,56</w:t>
            </w:r>
          </w:p>
        </w:tc>
        <w:tc>
          <w:tcPr>
            <w:tcW w:w="850" w:type="dxa"/>
            <w:tcBorders>
              <w:top w:val="nil"/>
              <w:left w:val="nil"/>
              <w:bottom w:val="single" w:sz="4" w:space="0" w:color="auto"/>
              <w:right w:val="nil"/>
            </w:tcBorders>
            <w:shd w:val="clear" w:color="000000" w:fill="FFFFFF"/>
            <w:noWrap/>
            <w:vAlign w:val="bottom"/>
            <w:hideMark/>
          </w:tcPr>
          <w:p w14:paraId="691793C5"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3,80</w:t>
            </w:r>
          </w:p>
        </w:tc>
        <w:tc>
          <w:tcPr>
            <w:tcW w:w="851" w:type="dxa"/>
            <w:tcBorders>
              <w:top w:val="nil"/>
              <w:left w:val="nil"/>
              <w:bottom w:val="single" w:sz="4" w:space="0" w:color="auto"/>
              <w:right w:val="nil"/>
            </w:tcBorders>
            <w:shd w:val="clear" w:color="000000" w:fill="FFFFFF"/>
            <w:noWrap/>
            <w:vAlign w:val="bottom"/>
            <w:hideMark/>
          </w:tcPr>
          <w:p w14:paraId="488CEC2B"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4,02</w:t>
            </w:r>
          </w:p>
        </w:tc>
        <w:tc>
          <w:tcPr>
            <w:tcW w:w="1984" w:type="dxa"/>
            <w:tcBorders>
              <w:top w:val="nil"/>
              <w:left w:val="nil"/>
              <w:bottom w:val="single" w:sz="4" w:space="0" w:color="auto"/>
              <w:right w:val="nil"/>
            </w:tcBorders>
            <w:shd w:val="clear" w:color="000000" w:fill="FFFFFF"/>
            <w:noWrap/>
            <w:vAlign w:val="bottom"/>
            <w:hideMark/>
          </w:tcPr>
          <w:p w14:paraId="614D1445"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0,02</w:t>
            </w:r>
          </w:p>
        </w:tc>
      </w:tr>
      <w:tr w:rsidR="00145F77" w:rsidRPr="00C3525A" w14:paraId="5AACD049" w14:textId="77777777" w:rsidTr="00145F77">
        <w:trPr>
          <w:trHeight w:val="270"/>
        </w:trPr>
        <w:tc>
          <w:tcPr>
            <w:tcW w:w="1985" w:type="dxa"/>
            <w:tcBorders>
              <w:top w:val="nil"/>
              <w:left w:val="nil"/>
              <w:bottom w:val="double" w:sz="6" w:space="0" w:color="auto"/>
              <w:right w:val="nil"/>
            </w:tcBorders>
            <w:shd w:val="clear" w:color="000000" w:fill="FFFFFF"/>
            <w:noWrap/>
            <w:vAlign w:val="bottom"/>
            <w:hideMark/>
          </w:tcPr>
          <w:p w14:paraId="21E441D4" w14:textId="77777777" w:rsidR="00C3525A" w:rsidRPr="00C3525A" w:rsidRDefault="00C3525A" w:rsidP="00C3525A">
            <w:pPr>
              <w:spacing w:after="0" w:line="240" w:lineRule="auto"/>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Sul / Brasil</w:t>
            </w:r>
          </w:p>
        </w:tc>
        <w:tc>
          <w:tcPr>
            <w:tcW w:w="850" w:type="dxa"/>
            <w:tcBorders>
              <w:top w:val="nil"/>
              <w:left w:val="nil"/>
              <w:bottom w:val="double" w:sz="6" w:space="0" w:color="auto"/>
              <w:right w:val="nil"/>
            </w:tcBorders>
            <w:shd w:val="clear" w:color="000000" w:fill="FFFFFF"/>
            <w:noWrap/>
            <w:vAlign w:val="bottom"/>
            <w:hideMark/>
          </w:tcPr>
          <w:p w14:paraId="4CBE2394"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14,96</w:t>
            </w:r>
          </w:p>
        </w:tc>
        <w:tc>
          <w:tcPr>
            <w:tcW w:w="993" w:type="dxa"/>
            <w:tcBorders>
              <w:top w:val="nil"/>
              <w:left w:val="nil"/>
              <w:bottom w:val="double" w:sz="6" w:space="0" w:color="auto"/>
              <w:right w:val="nil"/>
            </w:tcBorders>
            <w:shd w:val="clear" w:color="000000" w:fill="FFFFFF"/>
            <w:noWrap/>
            <w:vAlign w:val="bottom"/>
            <w:hideMark/>
          </w:tcPr>
          <w:p w14:paraId="3567BC22"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14,90</w:t>
            </w:r>
          </w:p>
        </w:tc>
        <w:tc>
          <w:tcPr>
            <w:tcW w:w="992" w:type="dxa"/>
            <w:tcBorders>
              <w:top w:val="nil"/>
              <w:left w:val="nil"/>
              <w:bottom w:val="double" w:sz="6" w:space="0" w:color="auto"/>
              <w:right w:val="nil"/>
            </w:tcBorders>
            <w:shd w:val="clear" w:color="000000" w:fill="FFFFFF"/>
            <w:noWrap/>
            <w:vAlign w:val="bottom"/>
            <w:hideMark/>
          </w:tcPr>
          <w:p w14:paraId="67A9363F"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14,51</w:t>
            </w:r>
          </w:p>
        </w:tc>
        <w:tc>
          <w:tcPr>
            <w:tcW w:w="709" w:type="dxa"/>
            <w:tcBorders>
              <w:top w:val="nil"/>
              <w:left w:val="nil"/>
              <w:bottom w:val="double" w:sz="6" w:space="0" w:color="auto"/>
              <w:right w:val="nil"/>
            </w:tcBorders>
            <w:shd w:val="clear" w:color="000000" w:fill="FFFFFF"/>
            <w:noWrap/>
            <w:vAlign w:val="bottom"/>
            <w:hideMark/>
          </w:tcPr>
          <w:p w14:paraId="6192FD2E"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15,24</w:t>
            </w:r>
          </w:p>
        </w:tc>
        <w:tc>
          <w:tcPr>
            <w:tcW w:w="850" w:type="dxa"/>
            <w:tcBorders>
              <w:top w:val="nil"/>
              <w:left w:val="nil"/>
              <w:bottom w:val="double" w:sz="6" w:space="0" w:color="auto"/>
              <w:right w:val="nil"/>
            </w:tcBorders>
            <w:shd w:val="clear" w:color="000000" w:fill="FFFFFF"/>
            <w:noWrap/>
            <w:vAlign w:val="bottom"/>
            <w:hideMark/>
          </w:tcPr>
          <w:p w14:paraId="5F07B5EF"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15,65</w:t>
            </w:r>
          </w:p>
        </w:tc>
        <w:tc>
          <w:tcPr>
            <w:tcW w:w="851" w:type="dxa"/>
            <w:tcBorders>
              <w:top w:val="nil"/>
              <w:left w:val="nil"/>
              <w:bottom w:val="double" w:sz="6" w:space="0" w:color="auto"/>
              <w:right w:val="nil"/>
            </w:tcBorders>
            <w:shd w:val="clear" w:color="000000" w:fill="FFFFFF"/>
            <w:noWrap/>
            <w:vAlign w:val="bottom"/>
            <w:hideMark/>
          </w:tcPr>
          <w:p w14:paraId="45DB8510"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15,39</w:t>
            </w:r>
          </w:p>
        </w:tc>
        <w:tc>
          <w:tcPr>
            <w:tcW w:w="1984" w:type="dxa"/>
            <w:tcBorders>
              <w:top w:val="nil"/>
              <w:left w:val="nil"/>
              <w:bottom w:val="double" w:sz="6" w:space="0" w:color="auto"/>
              <w:right w:val="nil"/>
            </w:tcBorders>
            <w:shd w:val="clear" w:color="000000" w:fill="FFFFFF"/>
            <w:noWrap/>
            <w:vAlign w:val="bottom"/>
            <w:hideMark/>
          </w:tcPr>
          <w:p w14:paraId="118C9E97" w14:textId="77777777" w:rsidR="00C3525A" w:rsidRPr="00C3525A" w:rsidRDefault="00C3525A" w:rsidP="00C3525A">
            <w:pPr>
              <w:spacing w:after="0" w:line="240" w:lineRule="auto"/>
              <w:jc w:val="center"/>
              <w:rPr>
                <w:rFonts w:ascii="Times New Roman" w:eastAsia="Times New Roman" w:hAnsi="Times New Roman" w:cs="Times New Roman"/>
                <w:color w:val="000000"/>
                <w:sz w:val="20"/>
                <w:szCs w:val="20"/>
                <w:lang w:eastAsia="pt-BR"/>
              </w:rPr>
            </w:pPr>
            <w:r w:rsidRPr="00C3525A">
              <w:rPr>
                <w:rFonts w:ascii="Times New Roman" w:eastAsia="Times New Roman" w:hAnsi="Times New Roman" w:cs="Times New Roman"/>
                <w:color w:val="000000"/>
                <w:sz w:val="20"/>
                <w:szCs w:val="20"/>
                <w:lang w:eastAsia="pt-BR"/>
              </w:rPr>
              <w:t>0,00</w:t>
            </w:r>
          </w:p>
        </w:tc>
      </w:tr>
    </w:tbl>
    <w:p w14:paraId="35397D1A" w14:textId="5CCEC6AD" w:rsidR="007D1BDF" w:rsidRPr="00451E44" w:rsidRDefault="007D1BDF" w:rsidP="007D1BDF">
      <w:pPr>
        <w:rPr>
          <w:rFonts w:ascii="Times New Roman" w:hAnsi="Times New Roman" w:cs="Times New Roman"/>
          <w:b/>
          <w:sz w:val="20"/>
          <w:szCs w:val="20"/>
        </w:rPr>
      </w:pPr>
      <w:r w:rsidRPr="00451E44">
        <w:rPr>
          <w:rFonts w:ascii="Times New Roman" w:hAnsi="Times New Roman" w:cs="Times New Roman"/>
          <w:b/>
          <w:sz w:val="20"/>
          <w:szCs w:val="20"/>
        </w:rPr>
        <w:t>Fonte: IPEADATA/IBGE</w:t>
      </w:r>
      <w:r w:rsidR="00451E44">
        <w:rPr>
          <w:rFonts w:ascii="Times New Roman" w:hAnsi="Times New Roman" w:cs="Times New Roman"/>
          <w:b/>
          <w:sz w:val="20"/>
          <w:szCs w:val="20"/>
        </w:rPr>
        <w:t>.</w:t>
      </w:r>
    </w:p>
    <w:p w14:paraId="47185F68" w14:textId="77777777" w:rsidR="00002236" w:rsidRDefault="00002236"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comportamento positivo do PIB total pode ser explicado pelo desempenho da indústria de transformação e do setor de comércio e serviços. No caso da indústria, Santa Catarina apresentou crescimento médio anual de 0,01%, perdendo apenas para o estado do Paraná. A evolução do PIB industrial sugere que a indústria catarinense tem sido resiliente diante do processo de desindustrialização que o Brasil vem sofrendo nas últimas décadas. </w:t>
      </w:r>
    </w:p>
    <w:p w14:paraId="6C91A9A1" w14:textId="3D730E24" w:rsidR="007D1BDF" w:rsidRDefault="00FE33F3"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que</w:t>
      </w:r>
      <w:r w:rsidR="0039477A">
        <w:rPr>
          <w:rFonts w:ascii="Times New Roman" w:hAnsi="Times New Roman" w:cs="Times New Roman"/>
          <w:sz w:val="24"/>
          <w:szCs w:val="24"/>
        </w:rPr>
        <w:t xml:space="preserve"> tange à Agropec</w:t>
      </w:r>
      <w:r w:rsidR="009C5B8D">
        <w:rPr>
          <w:rFonts w:ascii="Times New Roman" w:hAnsi="Times New Roman" w:cs="Times New Roman"/>
          <w:sz w:val="24"/>
          <w:szCs w:val="24"/>
        </w:rPr>
        <w:t>uária, nota-se</w:t>
      </w:r>
      <w:r w:rsidR="0039477A">
        <w:rPr>
          <w:rFonts w:ascii="Times New Roman" w:hAnsi="Times New Roman" w:cs="Times New Roman"/>
          <w:sz w:val="24"/>
          <w:szCs w:val="24"/>
        </w:rPr>
        <w:t xml:space="preserve"> partici</w:t>
      </w:r>
      <w:r>
        <w:rPr>
          <w:rFonts w:ascii="Times New Roman" w:hAnsi="Times New Roman" w:cs="Times New Roman"/>
          <w:sz w:val="24"/>
          <w:szCs w:val="24"/>
        </w:rPr>
        <w:t>pação relativa</w:t>
      </w:r>
      <w:r w:rsidR="009C5B8D">
        <w:rPr>
          <w:rFonts w:ascii="Times New Roman" w:hAnsi="Times New Roman" w:cs="Times New Roman"/>
          <w:sz w:val="24"/>
          <w:szCs w:val="24"/>
        </w:rPr>
        <w:t>mente</w:t>
      </w:r>
      <w:r>
        <w:rPr>
          <w:rFonts w:ascii="Times New Roman" w:hAnsi="Times New Roman" w:cs="Times New Roman"/>
          <w:sz w:val="24"/>
          <w:szCs w:val="24"/>
        </w:rPr>
        <w:t xml:space="preserve"> baixa </w:t>
      </w:r>
      <w:r w:rsidR="009C5B8D">
        <w:rPr>
          <w:rFonts w:ascii="Times New Roman" w:hAnsi="Times New Roman" w:cs="Times New Roman"/>
          <w:sz w:val="24"/>
          <w:szCs w:val="24"/>
        </w:rPr>
        <w:t xml:space="preserve">desta atividade </w:t>
      </w:r>
      <w:r>
        <w:rPr>
          <w:rFonts w:ascii="Times New Roman" w:hAnsi="Times New Roman" w:cs="Times New Roman"/>
          <w:sz w:val="24"/>
          <w:szCs w:val="24"/>
        </w:rPr>
        <w:t>na economia catarinense</w:t>
      </w:r>
      <w:r w:rsidR="009C5B8D">
        <w:rPr>
          <w:rFonts w:ascii="Times New Roman" w:hAnsi="Times New Roman" w:cs="Times New Roman"/>
          <w:sz w:val="24"/>
          <w:szCs w:val="24"/>
        </w:rPr>
        <w:t>. Constata-se que o</w:t>
      </w:r>
      <w:r w:rsidR="0039477A">
        <w:rPr>
          <w:rFonts w:ascii="Times New Roman" w:hAnsi="Times New Roman" w:cs="Times New Roman"/>
          <w:sz w:val="24"/>
          <w:szCs w:val="24"/>
        </w:rPr>
        <w:t xml:space="preserve"> crescimento médio anual foi negativo</w:t>
      </w:r>
      <w:r>
        <w:rPr>
          <w:rFonts w:ascii="Times New Roman" w:hAnsi="Times New Roman" w:cs="Times New Roman"/>
          <w:sz w:val="24"/>
          <w:szCs w:val="24"/>
        </w:rPr>
        <w:t xml:space="preserve"> (-0,02%)</w:t>
      </w:r>
      <w:r w:rsidR="0039477A">
        <w:rPr>
          <w:rFonts w:ascii="Times New Roman" w:hAnsi="Times New Roman" w:cs="Times New Roman"/>
          <w:sz w:val="24"/>
          <w:szCs w:val="24"/>
        </w:rPr>
        <w:t xml:space="preserve">. Esse comportamento contrasta com o restante dos estados que apresentaram resultado positivo, embora bastante reduzido. </w:t>
      </w:r>
      <w:r>
        <w:rPr>
          <w:rFonts w:ascii="Times New Roman" w:hAnsi="Times New Roman" w:cs="Times New Roman"/>
          <w:sz w:val="24"/>
          <w:szCs w:val="24"/>
        </w:rPr>
        <w:t>De modo geral, a dinâmica econômica deste setor apresentou-se de forma modesta no período analisado.</w:t>
      </w:r>
    </w:p>
    <w:p w14:paraId="1FB6DA28" w14:textId="620E4EF1" w:rsidR="00B52FAF" w:rsidRDefault="00FE33F3"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o setor de comércio e serviços</w:t>
      </w:r>
      <w:r w:rsidR="00B66CC5">
        <w:rPr>
          <w:rFonts w:ascii="Times New Roman" w:hAnsi="Times New Roman" w:cs="Times New Roman"/>
          <w:sz w:val="24"/>
          <w:szCs w:val="24"/>
        </w:rPr>
        <w:t xml:space="preserve"> de Santa Catarina</w:t>
      </w:r>
      <w:r>
        <w:rPr>
          <w:rFonts w:ascii="Times New Roman" w:hAnsi="Times New Roman" w:cs="Times New Roman"/>
          <w:sz w:val="24"/>
          <w:szCs w:val="24"/>
        </w:rPr>
        <w:t xml:space="preserve"> apresentou saldo positi</w:t>
      </w:r>
      <w:r w:rsidR="00B66CC5">
        <w:rPr>
          <w:rFonts w:ascii="Times New Roman" w:hAnsi="Times New Roman" w:cs="Times New Roman"/>
          <w:sz w:val="24"/>
          <w:szCs w:val="24"/>
        </w:rPr>
        <w:t xml:space="preserve">vo durante o período analisado, sendo </w:t>
      </w:r>
      <w:r w:rsidR="009C5B8D">
        <w:rPr>
          <w:rFonts w:ascii="Times New Roman" w:hAnsi="Times New Roman" w:cs="Times New Roman"/>
          <w:sz w:val="24"/>
          <w:szCs w:val="24"/>
        </w:rPr>
        <w:t xml:space="preserve">este </w:t>
      </w:r>
      <w:r w:rsidR="00B66CC5">
        <w:rPr>
          <w:rFonts w:ascii="Times New Roman" w:hAnsi="Times New Roman" w:cs="Times New Roman"/>
          <w:sz w:val="24"/>
          <w:szCs w:val="24"/>
        </w:rPr>
        <w:t xml:space="preserve">o que mais cresceu entre os estados da região Sul (0,02%). Por outro lado, este setor no Rio Grande do Sul apresentou retração. A evolução dos PIBs estaduais mostra que o estado de Santa Catarina tem conseguido manter a dinâmica </w:t>
      </w:r>
      <w:r w:rsidR="00B66CC5">
        <w:rPr>
          <w:rFonts w:ascii="Times New Roman" w:hAnsi="Times New Roman" w:cs="Times New Roman"/>
          <w:sz w:val="24"/>
          <w:szCs w:val="24"/>
        </w:rPr>
        <w:lastRenderedPageBreak/>
        <w:t>industrial nos últimos vi</w:t>
      </w:r>
      <w:r w:rsidR="00B52FAF">
        <w:rPr>
          <w:rFonts w:ascii="Times New Roman" w:hAnsi="Times New Roman" w:cs="Times New Roman"/>
          <w:sz w:val="24"/>
          <w:szCs w:val="24"/>
        </w:rPr>
        <w:t xml:space="preserve">nte anos. Isso sugere que a indústria catarinense se manteve competitiva e </w:t>
      </w:r>
      <w:r w:rsidR="009C5B8D">
        <w:rPr>
          <w:rFonts w:ascii="Times New Roman" w:hAnsi="Times New Roman" w:cs="Times New Roman"/>
          <w:sz w:val="24"/>
          <w:szCs w:val="24"/>
        </w:rPr>
        <w:t>o estado apresenta um ambiente favorável à expansão industrial.</w:t>
      </w:r>
    </w:p>
    <w:p w14:paraId="63132756" w14:textId="6FA525E2" w:rsidR="009826B5" w:rsidRDefault="00B52FAF"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gráfico </w:t>
      </w:r>
      <w:r w:rsidR="00C67BD8">
        <w:rPr>
          <w:rFonts w:ascii="Times New Roman" w:hAnsi="Times New Roman" w:cs="Times New Roman"/>
          <w:sz w:val="24"/>
          <w:szCs w:val="24"/>
        </w:rPr>
        <w:t>1</w:t>
      </w:r>
      <w:r w:rsidR="00627A94">
        <w:rPr>
          <w:rFonts w:ascii="Times New Roman" w:hAnsi="Times New Roman" w:cs="Times New Roman"/>
          <w:sz w:val="24"/>
          <w:szCs w:val="24"/>
        </w:rPr>
        <w:t xml:space="preserve"> evidencia</w:t>
      </w:r>
      <w:r>
        <w:rPr>
          <w:rFonts w:ascii="Times New Roman" w:hAnsi="Times New Roman" w:cs="Times New Roman"/>
          <w:sz w:val="24"/>
          <w:szCs w:val="24"/>
        </w:rPr>
        <w:t xml:space="preserve"> a evolução do número de estabelecimento no estado de Santa Catarina por intensidade tecnológica. As atividades de média alta e média baixa intensidade tecnológica apresentaram maior expansão </w:t>
      </w:r>
      <w:r w:rsidR="00BE1CEF">
        <w:rPr>
          <w:rFonts w:ascii="Times New Roman" w:hAnsi="Times New Roman" w:cs="Times New Roman"/>
          <w:sz w:val="24"/>
          <w:szCs w:val="24"/>
        </w:rPr>
        <w:t xml:space="preserve">entre os anos de 2000 e 2020. </w:t>
      </w:r>
      <w:r w:rsidR="00DB426E">
        <w:rPr>
          <w:rFonts w:ascii="Times New Roman" w:hAnsi="Times New Roman" w:cs="Times New Roman"/>
          <w:sz w:val="24"/>
          <w:szCs w:val="24"/>
        </w:rPr>
        <w:t>Particularmente, a partir do ano de 2013 os setores de alta e baixa intensidade tecnológica apresentaram tendência de evolução estável. Assim, os resultados do gráfico sugerem que a indústria catarinense tem avançado lentamente em setores de maior conteúdo tecnológico, embora a geração de empregos não tenha crescido na mesma proporção</w:t>
      </w:r>
      <w:r w:rsidR="00CE6A57">
        <w:rPr>
          <w:rFonts w:ascii="Times New Roman" w:hAnsi="Times New Roman" w:cs="Times New Roman"/>
          <w:sz w:val="24"/>
          <w:szCs w:val="24"/>
        </w:rPr>
        <w:t>,</w:t>
      </w:r>
      <w:r w:rsidR="009172FE">
        <w:rPr>
          <w:rFonts w:ascii="Times New Roman" w:hAnsi="Times New Roman" w:cs="Times New Roman"/>
          <w:sz w:val="24"/>
          <w:szCs w:val="24"/>
        </w:rPr>
        <w:t xml:space="preserve"> como pode ser observado por meio do gráf</w:t>
      </w:r>
      <w:r w:rsidR="00781769">
        <w:rPr>
          <w:rFonts w:ascii="Times New Roman" w:hAnsi="Times New Roman" w:cs="Times New Roman"/>
          <w:sz w:val="24"/>
          <w:szCs w:val="24"/>
        </w:rPr>
        <w:t>ico 2</w:t>
      </w:r>
      <w:r w:rsidR="00DB426E">
        <w:rPr>
          <w:rFonts w:ascii="Times New Roman" w:hAnsi="Times New Roman" w:cs="Times New Roman"/>
          <w:sz w:val="24"/>
          <w:szCs w:val="24"/>
        </w:rPr>
        <w:t xml:space="preserve">. </w:t>
      </w:r>
    </w:p>
    <w:p w14:paraId="7357B055" w14:textId="51E26B8E" w:rsidR="007D1BDF" w:rsidRPr="00663C0E" w:rsidRDefault="00C67BD8" w:rsidP="00663C0E">
      <w:pPr>
        <w:spacing w:after="0" w:line="240" w:lineRule="auto"/>
        <w:rPr>
          <w:rFonts w:ascii="Times New Roman" w:hAnsi="Times New Roman" w:cs="Times New Roman"/>
          <w:b/>
          <w:sz w:val="24"/>
          <w:szCs w:val="24"/>
        </w:rPr>
      </w:pPr>
      <w:r>
        <w:rPr>
          <w:rFonts w:ascii="Times New Roman" w:hAnsi="Times New Roman" w:cs="Times New Roman"/>
          <w:b/>
          <w:sz w:val="24"/>
          <w:szCs w:val="24"/>
        </w:rPr>
        <w:t>Gráfico 1</w:t>
      </w:r>
      <w:r w:rsidR="007D1BDF" w:rsidRPr="00663C0E">
        <w:rPr>
          <w:rFonts w:ascii="Times New Roman" w:hAnsi="Times New Roman" w:cs="Times New Roman"/>
          <w:b/>
          <w:sz w:val="24"/>
          <w:szCs w:val="24"/>
        </w:rPr>
        <w:t>: Evolução do número de estabelecimentos no estado de Santa Catarina por intensidade tecnológica, 2000 a 2020</w:t>
      </w:r>
      <w:r w:rsidR="00663C0E" w:rsidRPr="00663C0E">
        <w:rPr>
          <w:rFonts w:ascii="Times New Roman" w:hAnsi="Times New Roman" w:cs="Times New Roman"/>
          <w:b/>
          <w:sz w:val="24"/>
          <w:szCs w:val="24"/>
        </w:rPr>
        <w:t xml:space="preserve"> – ano base 2000 = 100.</w:t>
      </w:r>
    </w:p>
    <w:p w14:paraId="59220D7F" w14:textId="66A11F9D" w:rsidR="007D1BDF" w:rsidRDefault="007D1BDF" w:rsidP="00663C0E">
      <w:pPr>
        <w:spacing w:after="0" w:line="240" w:lineRule="auto"/>
        <w:rPr>
          <w:rFonts w:ascii="Times New Roman" w:hAnsi="Times New Roman" w:cs="Times New Roman"/>
          <w:sz w:val="24"/>
          <w:szCs w:val="24"/>
        </w:rPr>
      </w:pPr>
      <w:r>
        <w:rPr>
          <w:noProof/>
          <w:lang w:eastAsia="pt-BR"/>
        </w:rPr>
        <w:drawing>
          <wp:inline distT="0" distB="0" distL="0" distR="0" wp14:anchorId="4E46C5D1" wp14:editId="1AD8880B">
            <wp:extent cx="5476875" cy="260985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ADCF65" w14:textId="544AA94E" w:rsidR="009826B5" w:rsidRDefault="007D1BDF" w:rsidP="009826B5">
      <w:pPr>
        <w:spacing w:after="0" w:line="240" w:lineRule="auto"/>
        <w:rPr>
          <w:rFonts w:ascii="Times New Roman" w:hAnsi="Times New Roman" w:cs="Times New Roman"/>
          <w:b/>
          <w:sz w:val="20"/>
          <w:szCs w:val="20"/>
        </w:rPr>
      </w:pPr>
      <w:r w:rsidRPr="00BE1CEF">
        <w:rPr>
          <w:rFonts w:ascii="Times New Roman" w:hAnsi="Times New Roman" w:cs="Times New Roman"/>
          <w:b/>
          <w:sz w:val="20"/>
          <w:szCs w:val="20"/>
        </w:rPr>
        <w:t>Fonte: PIA/IBGE</w:t>
      </w:r>
    </w:p>
    <w:p w14:paraId="4F4DF17F" w14:textId="77777777" w:rsidR="009826B5" w:rsidRPr="009826B5" w:rsidRDefault="009826B5" w:rsidP="009826B5">
      <w:pPr>
        <w:spacing w:after="0" w:line="240" w:lineRule="auto"/>
        <w:rPr>
          <w:rFonts w:ascii="Times New Roman" w:hAnsi="Times New Roman" w:cs="Times New Roman"/>
          <w:b/>
          <w:sz w:val="20"/>
          <w:szCs w:val="20"/>
        </w:rPr>
      </w:pPr>
    </w:p>
    <w:p w14:paraId="151E5B42" w14:textId="1AC3EC6D" w:rsidR="008637C4" w:rsidRDefault="00C67BD8"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gráfico </w:t>
      </w:r>
      <w:r w:rsidR="00627A94">
        <w:rPr>
          <w:rFonts w:ascii="Times New Roman" w:hAnsi="Times New Roman" w:cs="Times New Roman"/>
          <w:sz w:val="24"/>
          <w:szCs w:val="24"/>
        </w:rPr>
        <w:t>2 apresenta a</w:t>
      </w:r>
      <w:r w:rsidR="00DB426E">
        <w:rPr>
          <w:rFonts w:ascii="Times New Roman" w:hAnsi="Times New Roman" w:cs="Times New Roman"/>
          <w:sz w:val="24"/>
          <w:szCs w:val="24"/>
        </w:rPr>
        <w:t xml:space="preserve"> evolução dos empregos por intensidade tecnológica</w:t>
      </w:r>
      <w:r w:rsidR="00DC3E21">
        <w:rPr>
          <w:rFonts w:ascii="Times New Roman" w:hAnsi="Times New Roman" w:cs="Times New Roman"/>
          <w:sz w:val="24"/>
          <w:szCs w:val="24"/>
        </w:rPr>
        <w:t xml:space="preserve"> em Santa Catarina</w:t>
      </w:r>
      <w:r w:rsidR="00DB426E">
        <w:rPr>
          <w:rFonts w:ascii="Times New Roman" w:hAnsi="Times New Roman" w:cs="Times New Roman"/>
          <w:sz w:val="24"/>
          <w:szCs w:val="24"/>
        </w:rPr>
        <w:t xml:space="preserve">. </w:t>
      </w:r>
      <w:r w:rsidR="00DC3E21" w:rsidRPr="009E7B6D">
        <w:rPr>
          <w:rFonts w:ascii="Times New Roman" w:hAnsi="Times New Roman" w:cs="Times New Roman"/>
          <w:sz w:val="24"/>
          <w:szCs w:val="24"/>
        </w:rPr>
        <w:t>O</w:t>
      </w:r>
      <w:r w:rsidR="008637C4" w:rsidRPr="009E7B6D">
        <w:rPr>
          <w:rFonts w:ascii="Times New Roman" w:hAnsi="Times New Roman" w:cs="Times New Roman"/>
          <w:sz w:val="24"/>
          <w:szCs w:val="24"/>
        </w:rPr>
        <w:t>s setores por intensidade tecnológica</w:t>
      </w:r>
      <w:r w:rsidR="00DC3E21" w:rsidRPr="009E7B6D">
        <w:rPr>
          <w:rFonts w:ascii="Times New Roman" w:hAnsi="Times New Roman" w:cs="Times New Roman"/>
          <w:sz w:val="24"/>
          <w:szCs w:val="24"/>
        </w:rPr>
        <w:t>, com exceção dos de alta intensidade tecnológica,</w:t>
      </w:r>
      <w:r w:rsidR="008637C4" w:rsidRPr="009E7B6D">
        <w:rPr>
          <w:rFonts w:ascii="Times New Roman" w:hAnsi="Times New Roman" w:cs="Times New Roman"/>
          <w:sz w:val="24"/>
          <w:szCs w:val="24"/>
        </w:rPr>
        <w:t xml:space="preserve"> apresentaram evolução positiva até o ano de 2014, quando a partir de então a trajetória foi de reversão. Entre 2014 e 2016, a economia brasileira entrou em um período de estagnação da atividade produtiva, sendo que</w:t>
      </w:r>
      <w:r w:rsidR="00D05BB6" w:rsidRPr="009E7B6D">
        <w:rPr>
          <w:rFonts w:ascii="Times New Roman" w:hAnsi="Times New Roman" w:cs="Times New Roman"/>
          <w:sz w:val="24"/>
          <w:szCs w:val="24"/>
        </w:rPr>
        <w:t>,</w:t>
      </w:r>
      <w:r w:rsidR="008637C4" w:rsidRPr="009E7B6D">
        <w:rPr>
          <w:rFonts w:ascii="Times New Roman" w:hAnsi="Times New Roman" w:cs="Times New Roman"/>
          <w:sz w:val="24"/>
          <w:szCs w:val="24"/>
        </w:rPr>
        <w:t xml:space="preserve"> a partir de 2016 as taxas de crescimento da economia brasileira se mantiveram reduzidas.</w:t>
      </w:r>
      <w:r w:rsidR="00DC3E21" w:rsidRPr="009E7B6D">
        <w:rPr>
          <w:rFonts w:ascii="Times New Roman" w:hAnsi="Times New Roman" w:cs="Times New Roman"/>
          <w:sz w:val="24"/>
          <w:szCs w:val="24"/>
        </w:rPr>
        <w:t xml:space="preserve"> Santa Catarina seguiu a tendência nacional com reflexo na atividade econômica e por consequência no emprego industrial. </w:t>
      </w:r>
      <w:r w:rsidR="00B658CE" w:rsidRPr="009E7B6D">
        <w:rPr>
          <w:rFonts w:ascii="Times New Roman" w:hAnsi="Times New Roman" w:cs="Times New Roman"/>
          <w:sz w:val="24"/>
          <w:szCs w:val="24"/>
        </w:rPr>
        <w:t>Nessa linha, o</w:t>
      </w:r>
      <w:r w:rsidR="00C0341E" w:rsidRPr="009E7B6D">
        <w:rPr>
          <w:rFonts w:ascii="Times New Roman" w:hAnsi="Times New Roman" w:cs="Times New Roman"/>
          <w:sz w:val="24"/>
          <w:szCs w:val="24"/>
        </w:rPr>
        <w:t xml:space="preserve"> comportamento da economia nacion</w:t>
      </w:r>
      <w:r w:rsidR="00B658CE" w:rsidRPr="009E7B6D">
        <w:rPr>
          <w:rFonts w:ascii="Times New Roman" w:hAnsi="Times New Roman" w:cs="Times New Roman"/>
          <w:sz w:val="24"/>
          <w:szCs w:val="24"/>
        </w:rPr>
        <w:t xml:space="preserve">al nos últimos anos, pós 2014 foi </w:t>
      </w:r>
      <w:r w:rsidR="00C0341E" w:rsidRPr="009E7B6D">
        <w:rPr>
          <w:rFonts w:ascii="Times New Roman" w:hAnsi="Times New Roman" w:cs="Times New Roman"/>
          <w:sz w:val="24"/>
          <w:szCs w:val="24"/>
        </w:rPr>
        <w:t>de crise</w:t>
      </w:r>
      <w:r w:rsidR="00B658CE" w:rsidRPr="009E7B6D">
        <w:rPr>
          <w:rFonts w:ascii="Times New Roman" w:hAnsi="Times New Roman" w:cs="Times New Roman"/>
          <w:sz w:val="24"/>
          <w:szCs w:val="24"/>
        </w:rPr>
        <w:t xml:space="preserve">, conforme demonstra os números do IBGE acerca </w:t>
      </w:r>
      <w:r w:rsidR="00A85978" w:rsidRPr="009E7B6D">
        <w:rPr>
          <w:rFonts w:ascii="Times New Roman" w:hAnsi="Times New Roman" w:cs="Times New Roman"/>
          <w:sz w:val="24"/>
          <w:szCs w:val="24"/>
        </w:rPr>
        <w:t>variação de crescimento do PIB brasileiro: 2014, 0,15%; 2015, -3,5%; 2016, -3,3%; 2017, 1,3%; 2019, 1,1; e 2020, -4,1%.</w:t>
      </w:r>
    </w:p>
    <w:p w14:paraId="19830649" w14:textId="63C00CF0" w:rsidR="00002236" w:rsidRDefault="00D17BB3"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setor de alta intensidade tecnológica sofreu forte recuo na evolução do número de empregos a partir de 2011, vindo a reverter essa trajetória somente a partir de 2016. Para os </w:t>
      </w:r>
      <w:r>
        <w:rPr>
          <w:rFonts w:ascii="Times New Roman" w:hAnsi="Times New Roman" w:cs="Times New Roman"/>
          <w:sz w:val="24"/>
          <w:szCs w:val="24"/>
        </w:rPr>
        <w:lastRenderedPageBreak/>
        <w:t xml:space="preserve">demais setores, pequena melhora no desempenho é observado a partir do ano de 2017 e 2018, mostrando que a economia catarinense voltou a contratar após a estagnação econômica, mas a um ritmo bem mais lento. Logo, o desempenho dos indicadores de criação de novos empreendimentos e de emprego nos primeiros vinte anos do século XXI </w:t>
      </w:r>
      <w:r w:rsidRPr="009E7B6D">
        <w:rPr>
          <w:rFonts w:ascii="Times New Roman" w:hAnsi="Times New Roman" w:cs="Times New Roman"/>
          <w:sz w:val="24"/>
          <w:szCs w:val="24"/>
        </w:rPr>
        <w:t>foram positivos na maioria dos anos, mas não sustentável nos últimos anos da série estudada, em muito de decorrente do reflexo do comportamento da economia brasileira como um todo.</w:t>
      </w:r>
    </w:p>
    <w:p w14:paraId="6FAFD638" w14:textId="3729600F" w:rsidR="00663C0E" w:rsidRPr="00663C0E" w:rsidRDefault="00C67BD8" w:rsidP="00D81435">
      <w:pPr>
        <w:spacing w:after="0" w:line="240" w:lineRule="auto"/>
        <w:rPr>
          <w:rFonts w:ascii="Times New Roman" w:hAnsi="Times New Roman" w:cs="Times New Roman"/>
          <w:b/>
          <w:sz w:val="24"/>
          <w:szCs w:val="24"/>
        </w:rPr>
      </w:pPr>
      <w:r>
        <w:rPr>
          <w:rFonts w:ascii="Times New Roman" w:hAnsi="Times New Roman" w:cs="Times New Roman"/>
          <w:b/>
          <w:sz w:val="24"/>
          <w:szCs w:val="24"/>
        </w:rPr>
        <w:t>Gráfico 2</w:t>
      </w:r>
      <w:r w:rsidR="00663C0E" w:rsidRPr="00663C0E">
        <w:rPr>
          <w:rFonts w:ascii="Times New Roman" w:hAnsi="Times New Roman" w:cs="Times New Roman"/>
          <w:b/>
          <w:sz w:val="24"/>
          <w:szCs w:val="24"/>
        </w:rPr>
        <w:t xml:space="preserve">: Evolução do </w:t>
      </w:r>
      <w:r w:rsidR="00663C0E">
        <w:rPr>
          <w:rFonts w:ascii="Times New Roman" w:hAnsi="Times New Roman" w:cs="Times New Roman"/>
          <w:b/>
          <w:sz w:val="24"/>
          <w:szCs w:val="24"/>
        </w:rPr>
        <w:t>emprego</w:t>
      </w:r>
      <w:r w:rsidR="00663C0E" w:rsidRPr="00663C0E">
        <w:rPr>
          <w:rFonts w:ascii="Times New Roman" w:hAnsi="Times New Roman" w:cs="Times New Roman"/>
          <w:b/>
          <w:sz w:val="24"/>
          <w:szCs w:val="24"/>
        </w:rPr>
        <w:t xml:space="preserve"> no estado de Santa Catarina por intensidade tecnológica, 2000 a 2020 – ano base 2000 = 100.</w:t>
      </w:r>
    </w:p>
    <w:p w14:paraId="623D73E9" w14:textId="4C697EBC" w:rsidR="00663C0E" w:rsidRDefault="00663C0E" w:rsidP="007D1BDF">
      <w:pPr>
        <w:rPr>
          <w:rFonts w:ascii="Times New Roman" w:hAnsi="Times New Roman" w:cs="Times New Roman"/>
          <w:sz w:val="24"/>
          <w:szCs w:val="24"/>
        </w:rPr>
      </w:pPr>
      <w:r>
        <w:rPr>
          <w:noProof/>
          <w:lang w:eastAsia="pt-BR"/>
        </w:rPr>
        <w:drawing>
          <wp:inline distT="0" distB="0" distL="0" distR="0" wp14:anchorId="062FD475" wp14:editId="13AD391A">
            <wp:extent cx="5591175" cy="279082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9E50B7" w14:textId="4C8C1584" w:rsidR="00D05BB6" w:rsidRDefault="000B53FE" w:rsidP="000B53FE">
      <w:pPr>
        <w:spacing w:after="0" w:line="240" w:lineRule="auto"/>
        <w:rPr>
          <w:rFonts w:ascii="Times New Roman" w:hAnsi="Times New Roman" w:cs="Times New Roman"/>
          <w:b/>
          <w:sz w:val="20"/>
          <w:szCs w:val="20"/>
        </w:rPr>
      </w:pPr>
      <w:r>
        <w:rPr>
          <w:rFonts w:ascii="Times New Roman" w:hAnsi="Times New Roman" w:cs="Times New Roman"/>
          <w:b/>
          <w:sz w:val="20"/>
          <w:szCs w:val="20"/>
        </w:rPr>
        <w:t>Fonte: PIA/IBGE</w:t>
      </w:r>
    </w:p>
    <w:p w14:paraId="6DEDE15E" w14:textId="59BD4B4C" w:rsidR="009172FE" w:rsidRPr="009E7B6D" w:rsidRDefault="009172FE" w:rsidP="00781769">
      <w:pPr>
        <w:spacing w:after="0" w:line="240" w:lineRule="auto"/>
        <w:jc w:val="both"/>
        <w:rPr>
          <w:rFonts w:ascii="Times New Roman" w:hAnsi="Times New Roman" w:cs="Times New Roman"/>
          <w:sz w:val="24"/>
          <w:szCs w:val="24"/>
        </w:rPr>
      </w:pPr>
    </w:p>
    <w:p w14:paraId="0C0C97E0" w14:textId="73A7254D" w:rsidR="00EC2285" w:rsidRPr="009E7B6D" w:rsidRDefault="00CD1365" w:rsidP="00781769">
      <w:pPr>
        <w:spacing w:after="0" w:line="360" w:lineRule="auto"/>
        <w:ind w:firstLine="709"/>
        <w:jc w:val="both"/>
        <w:rPr>
          <w:rFonts w:ascii="Times New Roman" w:hAnsi="Times New Roman" w:cs="Times New Roman"/>
          <w:sz w:val="24"/>
          <w:szCs w:val="24"/>
        </w:rPr>
      </w:pPr>
      <w:r w:rsidRPr="009E7B6D">
        <w:rPr>
          <w:rFonts w:ascii="Times New Roman" w:hAnsi="Times New Roman" w:cs="Times New Roman"/>
          <w:sz w:val="24"/>
          <w:szCs w:val="24"/>
        </w:rPr>
        <w:t xml:space="preserve">Esse comportamento demanda a necessidade de avaliar o comportamento da densidade produtiva da indústria catarinense. </w:t>
      </w:r>
      <w:r w:rsidR="009172FE" w:rsidRPr="009E7B6D">
        <w:rPr>
          <w:rFonts w:ascii="Times New Roman" w:hAnsi="Times New Roman" w:cs="Times New Roman"/>
          <w:sz w:val="24"/>
          <w:szCs w:val="24"/>
        </w:rPr>
        <w:t>A</w:t>
      </w:r>
      <w:r w:rsidR="00EC2285" w:rsidRPr="009E7B6D">
        <w:rPr>
          <w:rFonts w:ascii="Times New Roman" w:hAnsi="Times New Roman" w:cs="Times New Roman"/>
          <w:sz w:val="24"/>
          <w:szCs w:val="24"/>
        </w:rPr>
        <w:t xml:space="preserve"> partir do ano de 2015, o indicador de densidade produtiva representado pela razão VTI-VBPI mostra ligeiro processo de desindustrialização no est</w:t>
      </w:r>
      <w:r w:rsidR="00C67BD8">
        <w:rPr>
          <w:rFonts w:ascii="Times New Roman" w:hAnsi="Times New Roman" w:cs="Times New Roman"/>
          <w:sz w:val="24"/>
          <w:szCs w:val="24"/>
        </w:rPr>
        <w:t>ado de Santa Catarina, conforme gráfico 3</w:t>
      </w:r>
      <w:r w:rsidR="00EC2285" w:rsidRPr="009E7B6D">
        <w:rPr>
          <w:rFonts w:ascii="Times New Roman" w:hAnsi="Times New Roman" w:cs="Times New Roman"/>
          <w:sz w:val="24"/>
          <w:szCs w:val="24"/>
        </w:rPr>
        <w:t xml:space="preserve">. A evolução deste indicador pode ser dividida em três períodos. </w:t>
      </w:r>
      <w:r w:rsidR="009E5DB2" w:rsidRPr="009E7B6D">
        <w:rPr>
          <w:rFonts w:ascii="Times New Roman" w:hAnsi="Times New Roman" w:cs="Times New Roman"/>
          <w:sz w:val="24"/>
          <w:szCs w:val="24"/>
        </w:rPr>
        <w:t xml:space="preserve">Do de 2000 até 2005; </w:t>
      </w:r>
      <w:r w:rsidR="00EA2340" w:rsidRPr="009E7B6D">
        <w:rPr>
          <w:rFonts w:ascii="Times New Roman" w:hAnsi="Times New Roman" w:cs="Times New Roman"/>
          <w:sz w:val="24"/>
          <w:szCs w:val="24"/>
        </w:rPr>
        <w:t xml:space="preserve">de 2006 </w:t>
      </w:r>
      <w:r w:rsidR="009E5DB2" w:rsidRPr="009E7B6D">
        <w:rPr>
          <w:rFonts w:ascii="Times New Roman" w:hAnsi="Times New Roman" w:cs="Times New Roman"/>
          <w:sz w:val="24"/>
          <w:szCs w:val="24"/>
        </w:rPr>
        <w:t xml:space="preserve">a 2013; e por fim, </w:t>
      </w:r>
      <w:r w:rsidR="00EA2340" w:rsidRPr="009E7B6D">
        <w:rPr>
          <w:rFonts w:ascii="Times New Roman" w:hAnsi="Times New Roman" w:cs="Times New Roman"/>
          <w:sz w:val="24"/>
          <w:szCs w:val="24"/>
        </w:rPr>
        <w:t>de 2014 a 2020.</w:t>
      </w:r>
    </w:p>
    <w:p w14:paraId="5118912F" w14:textId="1F624124" w:rsidR="00EA2340" w:rsidRDefault="00EA2340"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 2000 e 2005 o estado de Santa Catarina apresentou trajetória de queda da razão VTI-VBPI, indicando que o tecido industrial catarinense sofreu deterioração para todas as atividades por intensidade tecnológica, excetuando o grupo de baixa intensidade. Estas atividades apresentaram pequena evolução positiva durante o período. </w:t>
      </w:r>
      <w:r w:rsidR="00EB506C">
        <w:rPr>
          <w:rFonts w:ascii="Times New Roman" w:hAnsi="Times New Roman" w:cs="Times New Roman"/>
          <w:sz w:val="24"/>
          <w:szCs w:val="24"/>
        </w:rPr>
        <w:t>O comportamento do seto</w:t>
      </w:r>
      <w:r w:rsidR="0028085C">
        <w:rPr>
          <w:rFonts w:ascii="Times New Roman" w:hAnsi="Times New Roman" w:cs="Times New Roman"/>
          <w:sz w:val="24"/>
          <w:szCs w:val="24"/>
        </w:rPr>
        <w:t>r industrial nesse período reflete a ausência do efeito de políticas de estímulo à economia, mas que viriam a serem detectadas nos anos posteriores</w:t>
      </w:r>
      <w:r w:rsidR="00EB506C">
        <w:rPr>
          <w:rFonts w:ascii="Times New Roman" w:hAnsi="Times New Roman" w:cs="Times New Roman"/>
          <w:sz w:val="24"/>
          <w:szCs w:val="24"/>
        </w:rPr>
        <w:t>.</w:t>
      </w:r>
    </w:p>
    <w:p w14:paraId="7EB8A133" w14:textId="59445C54" w:rsidR="00D72936" w:rsidRDefault="00B5504C"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 2006 e 2013 a indústria nacional foi estimulada por uma sequência de planos de desenvolvimento econômico de viés industrializante. O PDE, o Programa de Aceleração do Crescimento e o Plano Brasil Maior são exemplos desse esforço de adensamento dos elos da </w:t>
      </w:r>
      <w:r>
        <w:rPr>
          <w:rFonts w:ascii="Times New Roman" w:hAnsi="Times New Roman" w:cs="Times New Roman"/>
          <w:sz w:val="24"/>
          <w:szCs w:val="24"/>
        </w:rPr>
        <w:lastRenderedPageBreak/>
        <w:t>cadeia produtiva nacional e regional. Nesse período</w:t>
      </w:r>
      <w:r w:rsidR="009E5DB2">
        <w:rPr>
          <w:rFonts w:ascii="Times New Roman" w:hAnsi="Times New Roman" w:cs="Times New Roman"/>
          <w:sz w:val="24"/>
          <w:szCs w:val="24"/>
        </w:rPr>
        <w:t>,</w:t>
      </w:r>
      <w:r>
        <w:rPr>
          <w:rFonts w:ascii="Times New Roman" w:hAnsi="Times New Roman" w:cs="Times New Roman"/>
          <w:sz w:val="24"/>
          <w:szCs w:val="24"/>
        </w:rPr>
        <w:t xml:space="preserve"> observa-se uma trajetória de ligeiro fortalecimento das estruturas industriais para todas as atividades por intensidade tecnológica sem, contudo, que esse m</w:t>
      </w:r>
      <w:r w:rsidR="009E5DB2">
        <w:rPr>
          <w:rFonts w:ascii="Times New Roman" w:hAnsi="Times New Roman" w:cs="Times New Roman"/>
          <w:sz w:val="24"/>
          <w:szCs w:val="24"/>
        </w:rPr>
        <w:t>ovimento fosse</w:t>
      </w:r>
      <w:r w:rsidR="00781769">
        <w:rPr>
          <w:rFonts w:ascii="Times New Roman" w:hAnsi="Times New Roman" w:cs="Times New Roman"/>
          <w:sz w:val="24"/>
          <w:szCs w:val="24"/>
        </w:rPr>
        <w:t xml:space="preserve"> sustentado no médio prazo.</w:t>
      </w:r>
    </w:p>
    <w:p w14:paraId="33E848C4" w14:textId="6612F349" w:rsidR="00D72936" w:rsidRPr="00D72936" w:rsidRDefault="00C67BD8" w:rsidP="00D729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Gráfico 3</w:t>
      </w:r>
      <w:r w:rsidR="00D72936" w:rsidRPr="00D72936">
        <w:rPr>
          <w:rFonts w:ascii="Times New Roman" w:hAnsi="Times New Roman" w:cs="Times New Roman"/>
          <w:b/>
          <w:sz w:val="24"/>
          <w:szCs w:val="24"/>
        </w:rPr>
        <w:t>: Razão entre Valor da Transformação Industrial (VTI) e Valor Bruto da Produção Industrial (VBPI) por intensidade tecnológica – Santa Catarina, 2000 – 2020 (%)</w:t>
      </w:r>
    </w:p>
    <w:p w14:paraId="5B3BD430" w14:textId="0CA74F87" w:rsidR="00D51F4B" w:rsidRDefault="00D966EB" w:rsidP="00D72936">
      <w:pPr>
        <w:spacing w:after="0" w:line="240" w:lineRule="auto"/>
        <w:jc w:val="both"/>
        <w:rPr>
          <w:rFonts w:ascii="Times New Roman" w:hAnsi="Times New Roman" w:cs="Times New Roman"/>
          <w:sz w:val="24"/>
          <w:szCs w:val="24"/>
        </w:rPr>
      </w:pPr>
      <w:r>
        <w:rPr>
          <w:noProof/>
          <w:lang w:eastAsia="pt-BR"/>
        </w:rPr>
        <w:drawing>
          <wp:inline distT="0" distB="0" distL="0" distR="0" wp14:anchorId="09A29AA1" wp14:editId="063BE20F">
            <wp:extent cx="5760085" cy="3019425"/>
            <wp:effectExtent l="0" t="0" r="1206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DEE9FB" w14:textId="0BF70E86" w:rsidR="00D51F4B" w:rsidRPr="000B53FE" w:rsidRDefault="00C0341E" w:rsidP="00D05BB6">
      <w:pPr>
        <w:jc w:val="both"/>
        <w:rPr>
          <w:rFonts w:ascii="Times New Roman" w:hAnsi="Times New Roman" w:cs="Times New Roman"/>
          <w:b/>
          <w:sz w:val="20"/>
          <w:szCs w:val="20"/>
        </w:rPr>
      </w:pPr>
      <w:r>
        <w:rPr>
          <w:rFonts w:ascii="Times New Roman" w:hAnsi="Times New Roman" w:cs="Times New Roman"/>
          <w:b/>
          <w:sz w:val="20"/>
          <w:szCs w:val="20"/>
        </w:rPr>
        <w:t xml:space="preserve">Fonte: PIA/IBGE. Nota: A = </w:t>
      </w:r>
      <w:r w:rsidR="00D51F4B" w:rsidRPr="000B53FE">
        <w:rPr>
          <w:rFonts w:ascii="Times New Roman" w:hAnsi="Times New Roman" w:cs="Times New Roman"/>
          <w:b/>
          <w:sz w:val="20"/>
          <w:szCs w:val="20"/>
        </w:rPr>
        <w:t xml:space="preserve">Alta intensidade tecnológica; </w:t>
      </w:r>
      <w:r w:rsidR="000B53FE" w:rsidRPr="000B53FE">
        <w:rPr>
          <w:rFonts w:ascii="Times New Roman" w:hAnsi="Times New Roman" w:cs="Times New Roman"/>
          <w:b/>
          <w:sz w:val="20"/>
          <w:szCs w:val="20"/>
        </w:rPr>
        <w:t xml:space="preserve">MA = Média Alta intensidade tecnológica; </w:t>
      </w:r>
      <w:r w:rsidR="00D51F4B" w:rsidRPr="000B53FE">
        <w:rPr>
          <w:rFonts w:ascii="Times New Roman" w:hAnsi="Times New Roman" w:cs="Times New Roman"/>
          <w:b/>
          <w:sz w:val="20"/>
          <w:szCs w:val="20"/>
        </w:rPr>
        <w:t xml:space="preserve">MB = Média Baixa intensidade tecnológica; </w:t>
      </w:r>
      <w:r w:rsidR="000B53FE" w:rsidRPr="000B53FE">
        <w:rPr>
          <w:rFonts w:ascii="Times New Roman" w:hAnsi="Times New Roman" w:cs="Times New Roman"/>
          <w:b/>
          <w:sz w:val="20"/>
          <w:szCs w:val="20"/>
        </w:rPr>
        <w:t>B = Baixa intensidade tecnológica</w:t>
      </w:r>
    </w:p>
    <w:p w14:paraId="6C6071E7" w14:textId="35C93993" w:rsidR="0029329D" w:rsidRDefault="008C538C"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a</w:t>
      </w:r>
      <w:r w:rsidR="00EB79F1">
        <w:rPr>
          <w:rFonts w:ascii="Times New Roman" w:hAnsi="Times New Roman" w:cs="Times New Roman"/>
          <w:sz w:val="24"/>
          <w:szCs w:val="24"/>
        </w:rPr>
        <w:t xml:space="preserve"> partir do ano de 2014, observa-se reversão da trajetória anteriormente positiva. A partir de então, as atividades industriais apresentam deterioração da estrutura produtiva para todos os grupos por intensidade tecnológica. Importa destacar que para as manufaturas de alta intensidade tecnológica</w:t>
      </w:r>
      <w:r>
        <w:rPr>
          <w:rFonts w:ascii="Times New Roman" w:hAnsi="Times New Roman" w:cs="Times New Roman"/>
          <w:sz w:val="24"/>
          <w:szCs w:val="24"/>
        </w:rPr>
        <w:t>,</w:t>
      </w:r>
      <w:r w:rsidR="00EB79F1">
        <w:rPr>
          <w:rFonts w:ascii="Times New Roman" w:hAnsi="Times New Roman" w:cs="Times New Roman"/>
          <w:sz w:val="24"/>
          <w:szCs w:val="24"/>
        </w:rPr>
        <w:t xml:space="preserve"> a deterioração de seu tecido produtivo foi mais acentuada, inc</w:t>
      </w:r>
      <w:r w:rsidR="0029329D">
        <w:rPr>
          <w:rFonts w:ascii="Times New Roman" w:hAnsi="Times New Roman" w:cs="Times New Roman"/>
          <w:sz w:val="24"/>
          <w:szCs w:val="24"/>
        </w:rPr>
        <w:t>lusive a partir do ano de 2018.</w:t>
      </w:r>
    </w:p>
    <w:p w14:paraId="73185E1D" w14:textId="4A67CCA9" w:rsidR="00D05BB6" w:rsidRDefault="00EB79F1"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w:t>
      </w:r>
      <w:r w:rsidR="00D05BB6">
        <w:rPr>
          <w:rFonts w:ascii="Times New Roman" w:hAnsi="Times New Roman" w:cs="Times New Roman"/>
          <w:sz w:val="24"/>
          <w:szCs w:val="24"/>
        </w:rPr>
        <w:t xml:space="preserve">, </w:t>
      </w:r>
      <w:r>
        <w:rPr>
          <w:rFonts w:ascii="Times New Roman" w:hAnsi="Times New Roman" w:cs="Times New Roman"/>
          <w:sz w:val="24"/>
          <w:szCs w:val="24"/>
        </w:rPr>
        <w:t xml:space="preserve">nesta seção </w:t>
      </w:r>
      <w:r w:rsidR="00D05BB6">
        <w:rPr>
          <w:rFonts w:ascii="Times New Roman" w:hAnsi="Times New Roman" w:cs="Times New Roman"/>
          <w:sz w:val="24"/>
          <w:szCs w:val="24"/>
        </w:rPr>
        <w:t xml:space="preserve">pode-se depreender que parte do enxugamento dos postos de trabalho, e posterior contratação em ritmo abaixo do esperado, </w:t>
      </w:r>
      <w:r w:rsidR="008C538C">
        <w:rPr>
          <w:rFonts w:ascii="Times New Roman" w:hAnsi="Times New Roman" w:cs="Times New Roman"/>
          <w:sz w:val="24"/>
          <w:szCs w:val="24"/>
        </w:rPr>
        <w:t>foi consequência</w:t>
      </w:r>
      <w:r w:rsidR="00D05BB6">
        <w:rPr>
          <w:rFonts w:ascii="Times New Roman" w:hAnsi="Times New Roman" w:cs="Times New Roman"/>
          <w:sz w:val="24"/>
          <w:szCs w:val="24"/>
        </w:rPr>
        <w:t xml:space="preserve"> </w:t>
      </w:r>
      <w:r w:rsidR="008C538C">
        <w:rPr>
          <w:rFonts w:ascii="Times New Roman" w:hAnsi="Times New Roman" w:cs="Times New Roman"/>
          <w:sz w:val="24"/>
          <w:szCs w:val="24"/>
        </w:rPr>
        <w:t xml:space="preserve">dos </w:t>
      </w:r>
      <w:r w:rsidR="00D05BB6">
        <w:rPr>
          <w:rFonts w:ascii="Times New Roman" w:hAnsi="Times New Roman" w:cs="Times New Roman"/>
          <w:sz w:val="24"/>
          <w:szCs w:val="24"/>
        </w:rPr>
        <w:t>ajustes na estrutura produtiva</w:t>
      </w:r>
      <w:r w:rsidR="0071102C">
        <w:rPr>
          <w:rFonts w:ascii="Times New Roman" w:hAnsi="Times New Roman" w:cs="Times New Roman"/>
          <w:sz w:val="24"/>
          <w:szCs w:val="24"/>
        </w:rPr>
        <w:t xml:space="preserve"> justificada por muitos anos de baixo crescimento e até negativo. Soma-se a isso o acirramento da </w:t>
      </w:r>
      <w:r w:rsidR="001D48AE">
        <w:rPr>
          <w:rFonts w:ascii="Times New Roman" w:hAnsi="Times New Roman" w:cs="Times New Roman"/>
          <w:sz w:val="24"/>
          <w:szCs w:val="24"/>
        </w:rPr>
        <w:t>competição internacional</w:t>
      </w:r>
      <w:r w:rsidR="0071102C">
        <w:rPr>
          <w:rFonts w:ascii="Times New Roman" w:hAnsi="Times New Roman" w:cs="Times New Roman"/>
          <w:sz w:val="24"/>
          <w:szCs w:val="24"/>
        </w:rPr>
        <w:t xml:space="preserve"> com reposicionamento de grande economia no mercado externo e a descontinuidade das </w:t>
      </w:r>
      <w:r w:rsidR="001D48AE">
        <w:rPr>
          <w:rFonts w:ascii="Times New Roman" w:hAnsi="Times New Roman" w:cs="Times New Roman"/>
          <w:sz w:val="24"/>
          <w:szCs w:val="24"/>
        </w:rPr>
        <w:t>políticas de desenvolvimento produtivo</w:t>
      </w:r>
      <w:r w:rsidR="00D05BB6">
        <w:rPr>
          <w:rFonts w:ascii="Times New Roman" w:hAnsi="Times New Roman" w:cs="Times New Roman"/>
          <w:sz w:val="24"/>
          <w:szCs w:val="24"/>
        </w:rPr>
        <w:t xml:space="preserve">. </w:t>
      </w:r>
      <w:r w:rsidR="001D48AE">
        <w:rPr>
          <w:rFonts w:ascii="Times New Roman" w:hAnsi="Times New Roman" w:cs="Times New Roman"/>
          <w:sz w:val="24"/>
          <w:szCs w:val="24"/>
        </w:rPr>
        <w:t>E</w:t>
      </w:r>
      <w:r>
        <w:rPr>
          <w:rFonts w:ascii="Times New Roman" w:hAnsi="Times New Roman" w:cs="Times New Roman"/>
          <w:sz w:val="24"/>
          <w:szCs w:val="24"/>
        </w:rPr>
        <w:t xml:space="preserve">m termos de densidade produtiva, observa-se que a indústria catarinense apresentou ligeira retração de robustez manufatureira. Logo, os fatores supracitados têm implicações na inserção internacional do estado. </w:t>
      </w:r>
      <w:r w:rsidR="00D05BB6">
        <w:rPr>
          <w:rFonts w:ascii="Times New Roman" w:hAnsi="Times New Roman" w:cs="Times New Roman"/>
          <w:sz w:val="24"/>
          <w:szCs w:val="24"/>
        </w:rPr>
        <w:t xml:space="preserve">Esta última dimensão é melhor discutida na próxima seção. </w:t>
      </w:r>
    </w:p>
    <w:p w14:paraId="0B233BC0" w14:textId="61B7EBBF" w:rsidR="00781769" w:rsidRDefault="00781769" w:rsidP="00781769">
      <w:pPr>
        <w:spacing w:after="0" w:line="360" w:lineRule="auto"/>
        <w:ind w:firstLine="709"/>
        <w:jc w:val="both"/>
        <w:rPr>
          <w:rFonts w:ascii="Times New Roman" w:hAnsi="Times New Roman" w:cs="Times New Roman"/>
          <w:sz w:val="24"/>
          <w:szCs w:val="24"/>
        </w:rPr>
      </w:pPr>
    </w:p>
    <w:p w14:paraId="67DBE4A9" w14:textId="77777777" w:rsidR="00781769" w:rsidRDefault="00781769" w:rsidP="00781769">
      <w:pPr>
        <w:spacing w:after="0" w:line="360" w:lineRule="auto"/>
        <w:ind w:firstLine="709"/>
        <w:jc w:val="both"/>
        <w:rPr>
          <w:rFonts w:ascii="Times New Roman" w:hAnsi="Times New Roman" w:cs="Times New Roman"/>
          <w:sz w:val="24"/>
          <w:szCs w:val="24"/>
        </w:rPr>
      </w:pPr>
    </w:p>
    <w:p w14:paraId="47211D85" w14:textId="77777777" w:rsidR="009826B5" w:rsidRPr="00765274" w:rsidRDefault="009826B5" w:rsidP="009826B5">
      <w:pPr>
        <w:spacing w:after="0" w:line="240" w:lineRule="auto"/>
        <w:ind w:firstLine="709"/>
        <w:jc w:val="both"/>
        <w:rPr>
          <w:rFonts w:ascii="Times New Roman" w:hAnsi="Times New Roman" w:cs="Times New Roman"/>
          <w:sz w:val="24"/>
          <w:szCs w:val="24"/>
        </w:rPr>
      </w:pPr>
    </w:p>
    <w:p w14:paraId="210E0E4E" w14:textId="79E02545" w:rsidR="001B68C3" w:rsidRDefault="00765274" w:rsidP="001B68C3">
      <w:pPr>
        <w:pStyle w:val="PargrafodaLista"/>
        <w:numPr>
          <w:ilvl w:val="0"/>
          <w:numId w:val="1"/>
        </w:numPr>
        <w:ind w:left="0" w:firstLine="0"/>
        <w:rPr>
          <w:rFonts w:ascii="Times New Roman" w:hAnsi="Times New Roman" w:cs="Times New Roman"/>
          <w:b/>
          <w:bCs/>
          <w:sz w:val="24"/>
          <w:szCs w:val="24"/>
        </w:rPr>
      </w:pPr>
      <w:r w:rsidRPr="00B95A0A">
        <w:rPr>
          <w:rFonts w:ascii="Times New Roman" w:hAnsi="Times New Roman" w:cs="Times New Roman"/>
          <w:b/>
          <w:bCs/>
          <w:sz w:val="24"/>
          <w:szCs w:val="24"/>
        </w:rPr>
        <w:lastRenderedPageBreak/>
        <w:t>O comércio exterior do setor industrial em Santa Catarina</w:t>
      </w:r>
    </w:p>
    <w:p w14:paraId="3F5DB32C" w14:textId="08AF8710" w:rsidR="00781769" w:rsidRPr="001B68C3" w:rsidRDefault="00781769" w:rsidP="00781769">
      <w:pPr>
        <w:pStyle w:val="PargrafodaLista"/>
        <w:ind w:left="0"/>
        <w:rPr>
          <w:rFonts w:ascii="Times New Roman" w:hAnsi="Times New Roman" w:cs="Times New Roman"/>
          <w:b/>
          <w:bCs/>
          <w:sz w:val="24"/>
          <w:szCs w:val="24"/>
        </w:rPr>
      </w:pPr>
    </w:p>
    <w:p w14:paraId="28BC15B0" w14:textId="464E8CBD" w:rsidR="001B68C3" w:rsidRDefault="001B68C3"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Nesta seção analise-se a participação da indústria catarinense no comércio exterior do Brasil e do próprio estado de Santa Catarina. Nestes termos, é importante analisar como se dá a participação do estado nos fluxos de comércio exterior do Brasil, tanto re</w:t>
      </w:r>
      <w:r w:rsidR="00C67BD8">
        <w:rPr>
          <w:rFonts w:ascii="Times New Roman" w:hAnsi="Times New Roman" w:cs="Times New Roman"/>
          <w:sz w:val="24"/>
          <w:szCs w:val="24"/>
        </w:rPr>
        <w:t>lativo às exportações (gráfico 4</w:t>
      </w:r>
      <w:r>
        <w:rPr>
          <w:rFonts w:ascii="Times New Roman" w:hAnsi="Times New Roman" w:cs="Times New Roman"/>
          <w:sz w:val="24"/>
          <w:szCs w:val="24"/>
        </w:rPr>
        <w:t xml:space="preserve">) </w:t>
      </w:r>
      <w:r w:rsidR="00C67BD8">
        <w:rPr>
          <w:rFonts w:ascii="Times New Roman" w:hAnsi="Times New Roman" w:cs="Times New Roman"/>
          <w:sz w:val="24"/>
          <w:szCs w:val="24"/>
        </w:rPr>
        <w:t>quanto às importações (gráfico 5</w:t>
      </w:r>
      <w:r>
        <w:rPr>
          <w:rFonts w:ascii="Times New Roman" w:hAnsi="Times New Roman" w:cs="Times New Roman"/>
          <w:sz w:val="24"/>
          <w:szCs w:val="24"/>
        </w:rPr>
        <w:t xml:space="preserve">). No total de exportações, o cenário pouco se alterou nas últimas duas décadas. O estado de Santa Catarina oscilou em cerca de 6% no total das exportações do setor industrial brasileiro. </w:t>
      </w:r>
    </w:p>
    <w:p w14:paraId="5298B72F" w14:textId="38208BCF" w:rsidR="001B68C3" w:rsidRDefault="00FF196F"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Quando se analisa</w:t>
      </w:r>
      <w:r w:rsidR="001B68C3">
        <w:rPr>
          <w:rFonts w:ascii="Times New Roman" w:hAnsi="Times New Roman" w:cs="Times New Roman"/>
          <w:sz w:val="24"/>
          <w:szCs w:val="24"/>
        </w:rPr>
        <w:t xml:space="preserve"> por intensidade tecnológica, alguns aspectos se mostram relevantes. Santa Catarina destaca-se nas atividades de baixa intensidade tecnológica, em particular, nos setores de vestuário, madeira e móveis (setores que tem significativa participação na pauta exportadora do estado, conforme discutido anteriormente). As atividades de alta intensidade tecnológica apresentam a menor participação. Contudo, estas atividades de maior valor agregado</w:t>
      </w:r>
      <w:r w:rsidR="009E3527">
        <w:rPr>
          <w:rFonts w:ascii="Times New Roman" w:hAnsi="Times New Roman" w:cs="Times New Roman"/>
          <w:sz w:val="24"/>
          <w:szCs w:val="24"/>
        </w:rPr>
        <w:t xml:space="preserve"> de Santa Catarina</w:t>
      </w:r>
      <w:r w:rsidR="001B68C3">
        <w:rPr>
          <w:rFonts w:ascii="Times New Roman" w:hAnsi="Times New Roman" w:cs="Times New Roman"/>
          <w:sz w:val="24"/>
          <w:szCs w:val="24"/>
        </w:rPr>
        <w:t xml:space="preserve"> vêm conquistando espaço nos fluxos de exportações brasileiras, chegando a responder por cerca de 1,5% das exportações. Em particular, destacam-se os produtos de informática e eletrônicos.</w:t>
      </w:r>
    </w:p>
    <w:p w14:paraId="41F6EAD4" w14:textId="77777777" w:rsidR="009826B5" w:rsidRDefault="009826B5" w:rsidP="009826B5">
      <w:pPr>
        <w:spacing w:after="0" w:line="240" w:lineRule="auto"/>
        <w:ind w:firstLine="709"/>
        <w:jc w:val="both"/>
        <w:rPr>
          <w:rFonts w:ascii="Times New Roman" w:hAnsi="Times New Roman" w:cs="Times New Roman"/>
          <w:sz w:val="24"/>
          <w:szCs w:val="24"/>
        </w:rPr>
      </w:pPr>
    </w:p>
    <w:p w14:paraId="47B87365" w14:textId="78697359" w:rsidR="001B68C3" w:rsidRPr="005A4E32" w:rsidRDefault="00C67BD8" w:rsidP="001B68C3">
      <w:pPr>
        <w:spacing w:after="0" w:line="240" w:lineRule="auto"/>
        <w:rPr>
          <w:rFonts w:ascii="Times New Roman" w:hAnsi="Times New Roman" w:cs="Times New Roman"/>
          <w:b/>
          <w:sz w:val="24"/>
          <w:szCs w:val="24"/>
        </w:rPr>
      </w:pPr>
      <w:r>
        <w:rPr>
          <w:rFonts w:ascii="Times New Roman" w:hAnsi="Times New Roman" w:cs="Times New Roman"/>
          <w:b/>
          <w:sz w:val="24"/>
          <w:szCs w:val="24"/>
        </w:rPr>
        <w:t>Gráfico 4</w:t>
      </w:r>
      <w:r w:rsidR="001B68C3" w:rsidRPr="005A4E32">
        <w:rPr>
          <w:rFonts w:ascii="Times New Roman" w:hAnsi="Times New Roman" w:cs="Times New Roman"/>
          <w:b/>
          <w:sz w:val="24"/>
          <w:szCs w:val="24"/>
        </w:rPr>
        <w:t xml:space="preserve">: Participação de Santa Catarina nas exportações por intensidade tecnológica </w:t>
      </w:r>
      <w:r>
        <w:rPr>
          <w:rFonts w:ascii="Times New Roman" w:hAnsi="Times New Roman" w:cs="Times New Roman"/>
          <w:b/>
          <w:sz w:val="24"/>
          <w:szCs w:val="24"/>
        </w:rPr>
        <w:t xml:space="preserve">do Brasil </w:t>
      </w:r>
      <w:r w:rsidR="001B68C3" w:rsidRPr="005A4E32">
        <w:rPr>
          <w:rFonts w:ascii="Times New Roman" w:hAnsi="Times New Roman" w:cs="Times New Roman"/>
          <w:b/>
          <w:sz w:val="24"/>
          <w:szCs w:val="24"/>
        </w:rPr>
        <w:t>(%) – 2000-2021</w:t>
      </w:r>
    </w:p>
    <w:p w14:paraId="0A2FC40F" w14:textId="77777777" w:rsidR="001B68C3" w:rsidRDefault="001B68C3" w:rsidP="001B68C3">
      <w:pPr>
        <w:spacing w:after="0" w:line="240" w:lineRule="auto"/>
        <w:rPr>
          <w:rFonts w:ascii="Times New Roman" w:hAnsi="Times New Roman" w:cs="Times New Roman"/>
          <w:sz w:val="24"/>
          <w:szCs w:val="24"/>
        </w:rPr>
      </w:pPr>
      <w:r>
        <w:rPr>
          <w:noProof/>
          <w:lang w:eastAsia="pt-BR"/>
        </w:rPr>
        <w:drawing>
          <wp:inline distT="0" distB="0" distL="0" distR="0" wp14:anchorId="467A65F2" wp14:editId="4CD9A5B5">
            <wp:extent cx="5760085" cy="2990850"/>
            <wp:effectExtent l="0" t="0" r="12065"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81292C" w14:textId="77777777" w:rsidR="001B68C3" w:rsidRPr="00B21A88" w:rsidRDefault="001B68C3" w:rsidP="001B68C3">
      <w:pPr>
        <w:spacing w:after="0" w:line="240" w:lineRule="auto"/>
        <w:rPr>
          <w:rFonts w:ascii="Times New Roman" w:hAnsi="Times New Roman" w:cs="Times New Roman"/>
          <w:b/>
          <w:sz w:val="20"/>
          <w:szCs w:val="20"/>
        </w:rPr>
      </w:pPr>
      <w:r w:rsidRPr="00B21A88">
        <w:rPr>
          <w:rFonts w:ascii="Times New Roman" w:hAnsi="Times New Roman" w:cs="Times New Roman"/>
          <w:b/>
          <w:sz w:val="20"/>
          <w:szCs w:val="20"/>
        </w:rPr>
        <w:t>Fonte: Comex Stat (2022).</w:t>
      </w:r>
    </w:p>
    <w:p w14:paraId="27155FE4" w14:textId="77777777" w:rsidR="001B68C3" w:rsidRPr="0029329D" w:rsidRDefault="001B68C3" w:rsidP="001B68C3">
      <w:pPr>
        <w:spacing w:after="0" w:line="240" w:lineRule="auto"/>
        <w:rPr>
          <w:rFonts w:ascii="Times New Roman" w:hAnsi="Times New Roman" w:cs="Times New Roman"/>
          <w:sz w:val="20"/>
          <w:szCs w:val="20"/>
        </w:rPr>
      </w:pPr>
    </w:p>
    <w:p w14:paraId="4C648C50" w14:textId="0DB4FDE6" w:rsidR="001B68C3" w:rsidRDefault="001B68C3"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relação à participação do estado nas importações industriais brasileiras (grá</w:t>
      </w:r>
      <w:r w:rsidR="00C67BD8">
        <w:rPr>
          <w:rFonts w:ascii="Times New Roman" w:hAnsi="Times New Roman" w:cs="Times New Roman"/>
          <w:sz w:val="24"/>
          <w:szCs w:val="24"/>
        </w:rPr>
        <w:t>fico 5</w:t>
      </w:r>
      <w:r>
        <w:rPr>
          <w:rFonts w:ascii="Times New Roman" w:hAnsi="Times New Roman" w:cs="Times New Roman"/>
          <w:sz w:val="24"/>
          <w:szCs w:val="24"/>
        </w:rPr>
        <w:t xml:space="preserve">), observa-se que o cenário se alterou acentuadamente nas duas primeiras décadas do século XXI. As importações totais </w:t>
      </w:r>
      <w:r w:rsidR="00064852">
        <w:rPr>
          <w:rFonts w:ascii="Times New Roman" w:hAnsi="Times New Roman" w:cs="Times New Roman"/>
          <w:sz w:val="24"/>
          <w:szCs w:val="24"/>
        </w:rPr>
        <w:t>correspondiam a</w:t>
      </w:r>
      <w:r>
        <w:rPr>
          <w:rFonts w:ascii="Times New Roman" w:hAnsi="Times New Roman" w:cs="Times New Roman"/>
          <w:sz w:val="24"/>
          <w:szCs w:val="24"/>
        </w:rPr>
        <w:t xml:space="preserve"> menos de 2% no ano de 2000</w:t>
      </w:r>
      <w:r w:rsidR="00064852">
        <w:rPr>
          <w:rFonts w:ascii="Times New Roman" w:hAnsi="Times New Roman" w:cs="Times New Roman"/>
          <w:sz w:val="24"/>
          <w:szCs w:val="24"/>
        </w:rPr>
        <w:t>, e passaram</w:t>
      </w:r>
      <w:r>
        <w:rPr>
          <w:rFonts w:ascii="Times New Roman" w:hAnsi="Times New Roman" w:cs="Times New Roman"/>
          <w:sz w:val="24"/>
          <w:szCs w:val="24"/>
        </w:rPr>
        <w:t xml:space="preserve"> para mais de </w:t>
      </w:r>
      <w:r>
        <w:rPr>
          <w:rFonts w:ascii="Times New Roman" w:hAnsi="Times New Roman" w:cs="Times New Roman"/>
          <w:sz w:val="24"/>
          <w:szCs w:val="24"/>
        </w:rPr>
        <w:lastRenderedPageBreak/>
        <w:t xml:space="preserve">10% em 2020. Verifica-se, em particular, a ocorrência de crescimento mais expressivo nos setores de baixa intensidade tecnológica, </w:t>
      </w:r>
      <w:r w:rsidR="00064852">
        <w:rPr>
          <w:rFonts w:ascii="Times New Roman" w:hAnsi="Times New Roman" w:cs="Times New Roman"/>
          <w:sz w:val="24"/>
          <w:szCs w:val="24"/>
        </w:rPr>
        <w:t>fazendo a indústria catarinense</w:t>
      </w:r>
      <w:r>
        <w:rPr>
          <w:rFonts w:ascii="Times New Roman" w:hAnsi="Times New Roman" w:cs="Times New Roman"/>
          <w:sz w:val="24"/>
          <w:szCs w:val="24"/>
        </w:rPr>
        <w:t xml:space="preserve"> representar mais de 25% do total importado por essa categoria no Brasil. </w:t>
      </w:r>
    </w:p>
    <w:p w14:paraId="4867AE68" w14:textId="78FE47A1" w:rsidR="001B68C3" w:rsidRPr="005A4E32" w:rsidRDefault="00C67BD8" w:rsidP="001B68C3">
      <w:pPr>
        <w:spacing w:after="0" w:line="240" w:lineRule="auto"/>
        <w:rPr>
          <w:rFonts w:ascii="Times New Roman" w:hAnsi="Times New Roman" w:cs="Times New Roman"/>
          <w:b/>
          <w:sz w:val="24"/>
          <w:szCs w:val="24"/>
        </w:rPr>
      </w:pPr>
      <w:r>
        <w:rPr>
          <w:rFonts w:ascii="Times New Roman" w:hAnsi="Times New Roman" w:cs="Times New Roman"/>
          <w:b/>
          <w:sz w:val="24"/>
          <w:szCs w:val="24"/>
        </w:rPr>
        <w:t>Gráfico 5</w:t>
      </w:r>
      <w:r w:rsidR="001B68C3" w:rsidRPr="005A4E32">
        <w:rPr>
          <w:rFonts w:ascii="Times New Roman" w:hAnsi="Times New Roman" w:cs="Times New Roman"/>
          <w:b/>
          <w:sz w:val="24"/>
          <w:szCs w:val="24"/>
        </w:rPr>
        <w:t xml:space="preserve">: Participação de Santa Catarina nas importações por intensidade tecnológica </w:t>
      </w:r>
      <w:r>
        <w:rPr>
          <w:rFonts w:ascii="Times New Roman" w:hAnsi="Times New Roman" w:cs="Times New Roman"/>
          <w:b/>
          <w:sz w:val="24"/>
          <w:szCs w:val="24"/>
        </w:rPr>
        <w:t xml:space="preserve">do Brasil </w:t>
      </w:r>
      <w:r w:rsidR="001B68C3" w:rsidRPr="005A4E32">
        <w:rPr>
          <w:rFonts w:ascii="Times New Roman" w:hAnsi="Times New Roman" w:cs="Times New Roman"/>
          <w:b/>
          <w:sz w:val="24"/>
          <w:szCs w:val="24"/>
        </w:rPr>
        <w:t>(%) – 2000-2021</w:t>
      </w:r>
    </w:p>
    <w:p w14:paraId="4C9AA159" w14:textId="77777777" w:rsidR="001B68C3" w:rsidRDefault="001B68C3" w:rsidP="001B68C3">
      <w:pPr>
        <w:spacing w:after="0" w:line="240" w:lineRule="auto"/>
        <w:rPr>
          <w:rFonts w:ascii="Times New Roman" w:hAnsi="Times New Roman" w:cs="Times New Roman"/>
          <w:sz w:val="24"/>
          <w:szCs w:val="24"/>
        </w:rPr>
      </w:pPr>
      <w:r>
        <w:rPr>
          <w:noProof/>
          <w:lang w:eastAsia="pt-BR"/>
        </w:rPr>
        <w:drawing>
          <wp:inline distT="0" distB="0" distL="0" distR="0" wp14:anchorId="54C88A79" wp14:editId="60E6A1CC">
            <wp:extent cx="5760085" cy="2781300"/>
            <wp:effectExtent l="0" t="0" r="1206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2CBDCE" w14:textId="77777777" w:rsidR="001B68C3" w:rsidRPr="00B21A88" w:rsidRDefault="001B68C3" w:rsidP="001B68C3">
      <w:pPr>
        <w:spacing w:after="0" w:line="240" w:lineRule="auto"/>
        <w:rPr>
          <w:rFonts w:ascii="Times New Roman" w:hAnsi="Times New Roman" w:cs="Times New Roman"/>
          <w:b/>
          <w:sz w:val="20"/>
          <w:szCs w:val="20"/>
        </w:rPr>
      </w:pPr>
      <w:r w:rsidRPr="00B21A88">
        <w:rPr>
          <w:rFonts w:ascii="Times New Roman" w:hAnsi="Times New Roman" w:cs="Times New Roman"/>
          <w:b/>
          <w:sz w:val="20"/>
          <w:szCs w:val="20"/>
        </w:rPr>
        <w:t>Fonte: Comex Stat (2022).</w:t>
      </w:r>
    </w:p>
    <w:p w14:paraId="27C85CDB" w14:textId="77777777" w:rsidR="00563B0C" w:rsidRDefault="00563B0C" w:rsidP="00563B0C">
      <w:pPr>
        <w:spacing w:after="0" w:line="360" w:lineRule="auto"/>
        <w:ind w:firstLine="709"/>
        <w:jc w:val="both"/>
        <w:rPr>
          <w:rFonts w:ascii="Times New Roman" w:hAnsi="Times New Roman" w:cs="Times New Roman"/>
          <w:sz w:val="24"/>
          <w:szCs w:val="24"/>
        </w:rPr>
      </w:pPr>
    </w:p>
    <w:p w14:paraId="7313F4C3" w14:textId="6089F6A7" w:rsidR="00563B0C" w:rsidRDefault="00563B0C" w:rsidP="00563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gráfico 6, analisa-se a composição setorial por intensidade tecnológica dos fluxos de exportações (gráfico 6a) e importações (gráfico 6b) do setor de transformação industrial em relação ao próprio estado de Santa Catarina. Os dados apresentados demonstram que a pauta exportadora catarinense (gráfico 6a) é constituída de setores de menor sofisticação tecnológica. Entre 2000 e 2020, os setores de baixa intensidade representaram mais de 60% do total exportado em todos os períodos. </w:t>
      </w:r>
    </w:p>
    <w:p w14:paraId="5FA1E2E3" w14:textId="77777777" w:rsidR="00563B0C" w:rsidRDefault="00563B0C" w:rsidP="00563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Nessa categoria, destacam-se tanto setores a montante nas cadeias produtivas – e.g. madeira, na região do planalto Serrano, e têxtil, no Vale do Itajaí e no Norte do estado – quanto setores direcionados para o consumo final – e.g. alimentos, na macrorregião Oeste, móveis, no Norte do estado, vestuário, no Vale do Itajaí. Há uma participação relevante dos setores de média-alta intensidade tecnológica, especialmente nos setores de máquinas e equipamentos e equipamentos elétricos, no polo industrial do Norte do estado, em particular Joinville e Jaraguá do Sul. Por outro lado, setores de alta intensidade tecnológica apresentam participação quase nula nas exportações catarinenses, o que expressa a baixa competitividade nestes setores.</w:t>
      </w:r>
    </w:p>
    <w:p w14:paraId="6482A56B" w14:textId="7EBDE096" w:rsidR="001B68C3" w:rsidRDefault="001B68C3" w:rsidP="001B68C3">
      <w:pPr>
        <w:jc w:val="both"/>
        <w:rPr>
          <w:rFonts w:ascii="Times New Roman" w:hAnsi="Times New Roman" w:cs="Times New Roman"/>
          <w:sz w:val="24"/>
          <w:szCs w:val="24"/>
        </w:rPr>
      </w:pPr>
    </w:p>
    <w:p w14:paraId="555DE662" w14:textId="0E5C1C3D" w:rsidR="00781769" w:rsidRDefault="00781769" w:rsidP="001B68C3">
      <w:pPr>
        <w:jc w:val="both"/>
        <w:rPr>
          <w:rFonts w:ascii="Times New Roman" w:hAnsi="Times New Roman" w:cs="Times New Roman"/>
          <w:sz w:val="24"/>
          <w:szCs w:val="24"/>
        </w:rPr>
      </w:pPr>
    </w:p>
    <w:p w14:paraId="4691EFAF" w14:textId="4C9EFE85" w:rsidR="009826B5" w:rsidRDefault="009826B5" w:rsidP="009826B5">
      <w:pPr>
        <w:spacing w:after="0" w:line="240" w:lineRule="auto"/>
        <w:ind w:firstLine="709"/>
        <w:jc w:val="both"/>
        <w:rPr>
          <w:rFonts w:ascii="Times New Roman" w:hAnsi="Times New Roman" w:cs="Times New Roman"/>
          <w:sz w:val="24"/>
          <w:szCs w:val="24"/>
        </w:rPr>
      </w:pPr>
    </w:p>
    <w:p w14:paraId="7B3D1ED8" w14:textId="31F0D90F" w:rsidR="00393ABA" w:rsidRPr="005A4E32" w:rsidRDefault="00C67BD8" w:rsidP="00393AB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Gráfico 6</w:t>
      </w:r>
      <w:r w:rsidR="005A4E32" w:rsidRPr="005A4E32">
        <w:rPr>
          <w:rFonts w:ascii="Times New Roman" w:hAnsi="Times New Roman" w:cs="Times New Roman"/>
          <w:b/>
          <w:sz w:val="24"/>
          <w:szCs w:val="24"/>
        </w:rPr>
        <w:t>:</w:t>
      </w:r>
      <w:r w:rsidR="00393ABA" w:rsidRPr="005A4E32">
        <w:rPr>
          <w:rFonts w:ascii="Times New Roman" w:hAnsi="Times New Roman" w:cs="Times New Roman"/>
          <w:b/>
          <w:sz w:val="24"/>
          <w:szCs w:val="24"/>
        </w:rPr>
        <w:t xml:space="preserve"> Composição das exportações (gráfico a) e das importações (gráfico b) de Santa Catarina por intensidade tecnológica (%) – 2000-2021</w:t>
      </w:r>
    </w:p>
    <w:p w14:paraId="6223EDD3" w14:textId="4A609855" w:rsidR="001B6268" w:rsidRPr="008D5406" w:rsidRDefault="00393ABA" w:rsidP="00393ABA">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2E7E11">
        <w:rPr>
          <w:rFonts w:ascii="Times New Roman" w:hAnsi="Times New Roman" w:cs="Times New Roman"/>
          <w:b/>
          <w:bCs/>
          <w:sz w:val="24"/>
          <w:szCs w:val="24"/>
        </w:rPr>
        <w:t>(a) Exportações                                               (b) Importações</w:t>
      </w:r>
    </w:p>
    <w:p w14:paraId="7EA3B9A5" w14:textId="596210C2" w:rsidR="001B6268" w:rsidRDefault="001B6268" w:rsidP="00393ABA">
      <w:pPr>
        <w:spacing w:after="0" w:line="240" w:lineRule="auto"/>
        <w:rPr>
          <w:rFonts w:ascii="Times New Roman" w:hAnsi="Times New Roman" w:cs="Times New Roman"/>
          <w:b/>
          <w:bCs/>
          <w:noProof/>
          <w:sz w:val="24"/>
          <w:szCs w:val="24"/>
          <w:lang w:eastAsia="pt-BR"/>
        </w:rPr>
      </w:pPr>
      <w:r>
        <w:rPr>
          <w:noProof/>
          <w:lang w:eastAsia="pt-BR"/>
        </w:rPr>
        <w:drawing>
          <wp:inline distT="0" distB="0" distL="0" distR="0" wp14:anchorId="07A58DFB" wp14:editId="36DE1A00">
            <wp:extent cx="2743200" cy="1801087"/>
            <wp:effectExtent l="0" t="0" r="0" b="889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eastAsia="pt-BR"/>
        </w:rPr>
        <w:drawing>
          <wp:inline distT="0" distB="0" distL="0" distR="0" wp14:anchorId="2229C3A9" wp14:editId="2918B631">
            <wp:extent cx="2749550" cy="1801343"/>
            <wp:effectExtent l="0" t="0" r="12700" b="889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71940E" w14:textId="5C7409C6" w:rsidR="00393ABA" w:rsidRPr="008D5406" w:rsidRDefault="005A4E32" w:rsidP="005A4E32">
      <w:pPr>
        <w:spacing w:after="0" w:line="240" w:lineRule="auto"/>
        <w:rPr>
          <w:rFonts w:ascii="Times New Roman" w:hAnsi="Times New Roman" w:cs="Times New Roman"/>
          <w:b/>
          <w:sz w:val="20"/>
          <w:szCs w:val="20"/>
        </w:rPr>
      </w:pPr>
      <w:r w:rsidRPr="008D5406">
        <w:rPr>
          <w:rFonts w:ascii="Times New Roman" w:hAnsi="Times New Roman" w:cs="Times New Roman"/>
          <w:b/>
          <w:sz w:val="20"/>
          <w:szCs w:val="20"/>
        </w:rPr>
        <w:t>Fonte: Comex Stat (2022).</w:t>
      </w:r>
    </w:p>
    <w:p w14:paraId="61F285FC" w14:textId="77777777" w:rsidR="005A4E32" w:rsidRPr="005A4E32" w:rsidRDefault="005A4E32" w:rsidP="005A4E32">
      <w:pPr>
        <w:spacing w:after="0" w:line="240" w:lineRule="auto"/>
        <w:rPr>
          <w:rFonts w:ascii="Times New Roman" w:hAnsi="Times New Roman" w:cs="Times New Roman"/>
          <w:sz w:val="20"/>
          <w:szCs w:val="20"/>
        </w:rPr>
      </w:pPr>
    </w:p>
    <w:p w14:paraId="62CCE642" w14:textId="2D56FF9F" w:rsidR="00563B0C" w:rsidRDefault="002C1BA6" w:rsidP="00563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que tange às </w:t>
      </w:r>
      <w:r w:rsidR="00C67BD8">
        <w:rPr>
          <w:rFonts w:ascii="Times New Roman" w:hAnsi="Times New Roman" w:cs="Times New Roman"/>
          <w:sz w:val="24"/>
          <w:szCs w:val="24"/>
        </w:rPr>
        <w:t>importações do estado (gráfico 6</w:t>
      </w:r>
      <w:r>
        <w:rPr>
          <w:rFonts w:ascii="Times New Roman" w:hAnsi="Times New Roman" w:cs="Times New Roman"/>
          <w:sz w:val="24"/>
          <w:szCs w:val="24"/>
        </w:rPr>
        <w:t xml:space="preserve">b), observa-se que são mais diversificadas ao longo das categorias de intensidade tecnológica. Em particular, destaca-se que os setores mais relevantes nas importações são os de maior sofisticação tecnológica. Entre 2000 e 2020, as categorias de média-alta e </w:t>
      </w:r>
      <w:r w:rsidR="00073143">
        <w:rPr>
          <w:rFonts w:ascii="Times New Roman" w:hAnsi="Times New Roman" w:cs="Times New Roman"/>
          <w:sz w:val="24"/>
          <w:szCs w:val="24"/>
        </w:rPr>
        <w:t xml:space="preserve">de </w:t>
      </w:r>
      <w:r>
        <w:rPr>
          <w:rFonts w:ascii="Times New Roman" w:hAnsi="Times New Roman" w:cs="Times New Roman"/>
          <w:sz w:val="24"/>
          <w:szCs w:val="24"/>
        </w:rPr>
        <w:t>alta int</w:t>
      </w:r>
      <w:r w:rsidR="00B05F91">
        <w:rPr>
          <w:rFonts w:ascii="Times New Roman" w:hAnsi="Times New Roman" w:cs="Times New Roman"/>
          <w:sz w:val="24"/>
          <w:szCs w:val="24"/>
        </w:rPr>
        <w:t>ensidade tecnológica representaram</w:t>
      </w:r>
      <w:r>
        <w:rPr>
          <w:rFonts w:ascii="Times New Roman" w:hAnsi="Times New Roman" w:cs="Times New Roman"/>
          <w:sz w:val="24"/>
          <w:szCs w:val="24"/>
        </w:rPr>
        <w:t xml:space="preserve"> mais do que a metade do total de importações, em praticamente todos os períodos, com </w:t>
      </w:r>
      <w:r w:rsidR="001E16F8">
        <w:rPr>
          <w:rFonts w:ascii="Times New Roman" w:hAnsi="Times New Roman" w:cs="Times New Roman"/>
          <w:sz w:val="24"/>
          <w:szCs w:val="24"/>
        </w:rPr>
        <w:t>exceção dos anos entre 20</w:t>
      </w:r>
      <w:r>
        <w:rPr>
          <w:rFonts w:ascii="Times New Roman" w:hAnsi="Times New Roman" w:cs="Times New Roman"/>
          <w:sz w:val="24"/>
          <w:szCs w:val="24"/>
        </w:rPr>
        <w:t>0</w:t>
      </w:r>
      <w:r w:rsidR="001E16F8">
        <w:rPr>
          <w:rFonts w:ascii="Times New Roman" w:hAnsi="Times New Roman" w:cs="Times New Roman"/>
          <w:sz w:val="24"/>
          <w:szCs w:val="24"/>
        </w:rPr>
        <w:t>8</w:t>
      </w:r>
      <w:r>
        <w:rPr>
          <w:rFonts w:ascii="Times New Roman" w:hAnsi="Times New Roman" w:cs="Times New Roman"/>
          <w:sz w:val="24"/>
          <w:szCs w:val="24"/>
        </w:rPr>
        <w:t>-2014.</w:t>
      </w:r>
    </w:p>
    <w:p w14:paraId="7D8DB76D" w14:textId="09E5BBD9" w:rsidR="00627A94" w:rsidRDefault="00627A94" w:rsidP="00627A9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Nestas circunstâncias, destacam cinco setores para os anos selecionados de 2000, 2010 e 2020 (tabela 2). Nos fluxos de exportação, verifica-se elevada concentração no setor de produtos alimentícios que atingiu cerca de 40% de todas as exportações do estado no ano de 2020. O segundo maior setor correspondeu aos produtos de madeira, que atingiu cerca de 13%. O aumento da importância relativa do setor de alimentos na pauta de exportação de Santa Catarina também deve ser destacado: no início do século, o setor representava um quarto do total exportado, crescendo de forma dramática até atingir aproximadamente 38% em 2010, como reflexo do </w:t>
      </w:r>
      <w:r>
        <w:rPr>
          <w:rFonts w:ascii="Times New Roman" w:hAnsi="Times New Roman" w:cs="Times New Roman"/>
          <w:i/>
          <w:iCs/>
          <w:sz w:val="24"/>
          <w:szCs w:val="24"/>
        </w:rPr>
        <w:t xml:space="preserve">boom </w:t>
      </w:r>
      <w:r>
        <w:rPr>
          <w:rFonts w:ascii="Times New Roman" w:hAnsi="Times New Roman" w:cs="Times New Roman"/>
          <w:sz w:val="24"/>
          <w:szCs w:val="24"/>
        </w:rPr>
        <w:t xml:space="preserve">de </w:t>
      </w:r>
      <w:r>
        <w:rPr>
          <w:rFonts w:ascii="Times New Roman" w:hAnsi="Times New Roman" w:cs="Times New Roman"/>
          <w:i/>
          <w:iCs/>
          <w:sz w:val="24"/>
          <w:szCs w:val="24"/>
        </w:rPr>
        <w:t>commodities</w:t>
      </w:r>
      <w:r>
        <w:rPr>
          <w:rFonts w:ascii="Times New Roman" w:hAnsi="Times New Roman" w:cs="Times New Roman"/>
          <w:sz w:val="24"/>
          <w:szCs w:val="24"/>
        </w:rPr>
        <w:t xml:space="preserve"> ocorrido nesse período.</w:t>
      </w:r>
    </w:p>
    <w:p w14:paraId="4D642B21" w14:textId="5A28B27C" w:rsidR="00627A94" w:rsidRDefault="00627A94" w:rsidP="00627A9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Nos fluxos de importações, por outro lado, verifica-se que os principais setores estão relacionados com atividades de maior sofisticação tecnológica, como as atividades relacionadas à produção de </w:t>
      </w:r>
      <w:r w:rsidRPr="00CF6539">
        <w:rPr>
          <w:rFonts w:ascii="Times New Roman" w:hAnsi="Times New Roman" w:cs="Times New Roman"/>
          <w:sz w:val="24"/>
          <w:szCs w:val="24"/>
        </w:rPr>
        <w:t>Produtos químicos</w:t>
      </w:r>
      <w:r>
        <w:rPr>
          <w:rFonts w:ascii="Times New Roman" w:hAnsi="Times New Roman" w:cs="Times New Roman"/>
          <w:sz w:val="24"/>
          <w:szCs w:val="24"/>
        </w:rPr>
        <w:t xml:space="preserve"> (22,25%)</w:t>
      </w:r>
      <w:r w:rsidRPr="00CF6539">
        <w:rPr>
          <w:rFonts w:ascii="Times New Roman" w:hAnsi="Times New Roman" w:cs="Times New Roman"/>
          <w:sz w:val="24"/>
          <w:szCs w:val="24"/>
        </w:rPr>
        <w:t>, Máquinas e equi</w:t>
      </w:r>
      <w:r>
        <w:rPr>
          <w:rFonts w:ascii="Times New Roman" w:hAnsi="Times New Roman" w:cs="Times New Roman"/>
          <w:sz w:val="24"/>
          <w:szCs w:val="24"/>
        </w:rPr>
        <w:t>pamentos (9,38%) e produtos</w:t>
      </w:r>
      <w:r w:rsidRPr="00CF6539">
        <w:rPr>
          <w:rFonts w:ascii="Times New Roman" w:hAnsi="Times New Roman" w:cs="Times New Roman"/>
          <w:sz w:val="24"/>
          <w:szCs w:val="24"/>
        </w:rPr>
        <w:t xml:space="preserve"> de informática e eletrônicos</w:t>
      </w:r>
      <w:r>
        <w:rPr>
          <w:rFonts w:ascii="Times New Roman" w:hAnsi="Times New Roman" w:cs="Times New Roman"/>
          <w:sz w:val="24"/>
          <w:szCs w:val="24"/>
        </w:rPr>
        <w:t xml:space="preserve"> (8,06%). Esses dados evidenciam que o estado de Santa Catarina é, assim como o Brasil, especializado na exportação de produtos primários de menor conteúdo tecnológico. Em outras palavras, ocupa uma posição de menor complexidade no comércio internacional, ao mesmo tempo em que é dependente de importações em setores de maior conteúdo tecnológico.</w:t>
      </w:r>
    </w:p>
    <w:p w14:paraId="7FB856D6" w14:textId="77777777" w:rsidR="00627A94" w:rsidRDefault="00627A94" w:rsidP="00393ABA">
      <w:pPr>
        <w:spacing w:after="0" w:line="240" w:lineRule="auto"/>
        <w:rPr>
          <w:rFonts w:ascii="Times New Roman" w:hAnsi="Times New Roman" w:cs="Times New Roman"/>
          <w:sz w:val="24"/>
          <w:szCs w:val="24"/>
        </w:rPr>
      </w:pPr>
    </w:p>
    <w:p w14:paraId="4A7F3226" w14:textId="4303B15F" w:rsidR="00393ABA" w:rsidRDefault="00DD64CE" w:rsidP="00393ABA">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Tabela 2</w:t>
      </w:r>
      <w:r w:rsidR="00393ABA" w:rsidRPr="005A4E32">
        <w:rPr>
          <w:rFonts w:ascii="Times New Roman" w:hAnsi="Times New Roman" w:cs="Times New Roman"/>
          <w:b/>
          <w:sz w:val="24"/>
          <w:szCs w:val="24"/>
        </w:rPr>
        <w:t>: Top 5 setores de exportação (tabela a) e das importações (tabela b) de Santa Catarina (% e</w:t>
      </w:r>
      <w:r w:rsidR="00393ABA">
        <w:rPr>
          <w:rFonts w:ascii="Times New Roman" w:hAnsi="Times New Roman" w:cs="Times New Roman"/>
          <w:sz w:val="24"/>
          <w:szCs w:val="24"/>
        </w:rPr>
        <w:t xml:space="preserve"> </w:t>
      </w:r>
      <w:r w:rsidR="00393ABA" w:rsidRPr="001B6268">
        <w:rPr>
          <w:rFonts w:ascii="Times New Roman" w:hAnsi="Times New Roman" w:cs="Times New Roman"/>
          <w:b/>
          <w:color w:val="000000" w:themeColor="text1"/>
          <w:sz w:val="24"/>
          <w:szCs w:val="24"/>
        </w:rPr>
        <w:t xml:space="preserve">US$) </w:t>
      </w:r>
      <w:r w:rsidR="00393ABA" w:rsidRPr="005A4E32">
        <w:rPr>
          <w:rFonts w:ascii="Times New Roman" w:hAnsi="Times New Roman" w:cs="Times New Roman"/>
          <w:b/>
          <w:sz w:val="24"/>
          <w:szCs w:val="24"/>
        </w:rPr>
        <w:t>– 2000, 2010 e 2021</w:t>
      </w:r>
      <w:r w:rsidR="001B6268">
        <w:rPr>
          <w:rFonts w:ascii="Times New Roman" w:hAnsi="Times New Roman" w:cs="Times New Roman"/>
          <w:b/>
          <w:sz w:val="24"/>
          <w:szCs w:val="24"/>
        </w:rPr>
        <w:t>.</w:t>
      </w:r>
    </w:p>
    <w:tbl>
      <w:tblPr>
        <w:tblW w:w="0" w:type="auto"/>
        <w:tblCellMar>
          <w:left w:w="70" w:type="dxa"/>
          <w:right w:w="70" w:type="dxa"/>
        </w:tblCellMar>
        <w:tblLook w:val="04A0" w:firstRow="1" w:lastRow="0" w:firstColumn="1" w:lastColumn="0" w:noHBand="0" w:noVBand="1"/>
      </w:tblPr>
      <w:tblGrid>
        <w:gridCol w:w="220"/>
        <w:gridCol w:w="1966"/>
        <w:gridCol w:w="634"/>
        <w:gridCol w:w="1540"/>
        <w:gridCol w:w="220"/>
        <w:gridCol w:w="2158"/>
        <w:gridCol w:w="634"/>
        <w:gridCol w:w="1500"/>
      </w:tblGrid>
      <w:tr w:rsidR="001B6268" w:rsidRPr="001B6268" w14:paraId="43668377" w14:textId="77777777" w:rsidTr="001B6268">
        <w:trPr>
          <w:trHeight w:val="315"/>
        </w:trPr>
        <w:tc>
          <w:tcPr>
            <w:tcW w:w="0" w:type="auto"/>
            <w:gridSpan w:val="4"/>
            <w:tcBorders>
              <w:top w:val="double" w:sz="4" w:space="0" w:color="auto"/>
              <w:left w:val="nil"/>
              <w:bottom w:val="nil"/>
              <w:right w:val="nil"/>
            </w:tcBorders>
            <w:shd w:val="clear" w:color="000000" w:fill="FFFFFF"/>
            <w:noWrap/>
            <w:vAlign w:val="bottom"/>
            <w:hideMark/>
          </w:tcPr>
          <w:p w14:paraId="4CDF38F4"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(a) Exportações</w:t>
            </w:r>
          </w:p>
        </w:tc>
        <w:tc>
          <w:tcPr>
            <w:tcW w:w="0" w:type="auto"/>
            <w:gridSpan w:val="4"/>
            <w:tcBorders>
              <w:top w:val="double" w:sz="4" w:space="0" w:color="auto"/>
              <w:left w:val="single" w:sz="4" w:space="0" w:color="auto"/>
              <w:bottom w:val="nil"/>
              <w:right w:val="nil"/>
            </w:tcBorders>
            <w:shd w:val="clear" w:color="000000" w:fill="FFFFFF"/>
            <w:noWrap/>
            <w:vAlign w:val="bottom"/>
            <w:hideMark/>
          </w:tcPr>
          <w:p w14:paraId="2A98CFBE"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(b) Importações</w:t>
            </w:r>
          </w:p>
        </w:tc>
      </w:tr>
      <w:tr w:rsidR="001B6268" w:rsidRPr="001B6268" w14:paraId="1A01D199" w14:textId="77777777" w:rsidTr="001B6268">
        <w:trPr>
          <w:trHeight w:val="300"/>
        </w:trPr>
        <w:tc>
          <w:tcPr>
            <w:tcW w:w="0" w:type="auto"/>
            <w:tcBorders>
              <w:top w:val="single" w:sz="4" w:space="0" w:color="auto"/>
              <w:left w:val="nil"/>
              <w:bottom w:val="single" w:sz="4" w:space="0" w:color="auto"/>
              <w:right w:val="nil"/>
            </w:tcBorders>
            <w:shd w:val="clear" w:color="000000" w:fill="FFFFFF"/>
            <w:noWrap/>
            <w:vAlign w:val="bottom"/>
            <w:hideMark/>
          </w:tcPr>
          <w:p w14:paraId="4ECE4518"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w:t>
            </w:r>
          </w:p>
        </w:tc>
        <w:tc>
          <w:tcPr>
            <w:tcW w:w="0" w:type="auto"/>
            <w:gridSpan w:val="3"/>
            <w:tcBorders>
              <w:top w:val="single" w:sz="4" w:space="0" w:color="auto"/>
              <w:left w:val="nil"/>
              <w:bottom w:val="single" w:sz="4" w:space="0" w:color="auto"/>
              <w:right w:val="nil"/>
            </w:tcBorders>
            <w:shd w:val="clear" w:color="000000" w:fill="FFFFFF"/>
            <w:noWrap/>
            <w:vAlign w:val="bottom"/>
            <w:hideMark/>
          </w:tcPr>
          <w:p w14:paraId="5A3D93E4"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2000</w:t>
            </w:r>
          </w:p>
        </w:tc>
        <w:tc>
          <w:tcPr>
            <w:tcW w:w="0" w:type="auto"/>
            <w:tcBorders>
              <w:top w:val="single" w:sz="4" w:space="0" w:color="auto"/>
              <w:left w:val="single" w:sz="4" w:space="0" w:color="auto"/>
              <w:bottom w:val="single" w:sz="4" w:space="0" w:color="auto"/>
              <w:right w:val="nil"/>
            </w:tcBorders>
            <w:shd w:val="clear" w:color="000000" w:fill="FFFFFF"/>
            <w:noWrap/>
            <w:vAlign w:val="bottom"/>
            <w:hideMark/>
          </w:tcPr>
          <w:p w14:paraId="075F7A6F"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 </w:t>
            </w:r>
          </w:p>
        </w:tc>
        <w:tc>
          <w:tcPr>
            <w:tcW w:w="0" w:type="auto"/>
            <w:gridSpan w:val="3"/>
            <w:tcBorders>
              <w:top w:val="single" w:sz="4" w:space="0" w:color="auto"/>
              <w:left w:val="nil"/>
              <w:bottom w:val="single" w:sz="4" w:space="0" w:color="auto"/>
              <w:right w:val="nil"/>
            </w:tcBorders>
            <w:shd w:val="clear" w:color="000000" w:fill="FFFFFF"/>
            <w:noWrap/>
            <w:vAlign w:val="bottom"/>
            <w:hideMark/>
          </w:tcPr>
          <w:p w14:paraId="74E89750"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2000</w:t>
            </w:r>
          </w:p>
        </w:tc>
      </w:tr>
      <w:tr w:rsidR="001B6268" w:rsidRPr="001B6268" w14:paraId="23B2FD50" w14:textId="77777777" w:rsidTr="001B6268">
        <w:trPr>
          <w:trHeight w:val="300"/>
        </w:trPr>
        <w:tc>
          <w:tcPr>
            <w:tcW w:w="0" w:type="auto"/>
            <w:tcBorders>
              <w:top w:val="nil"/>
              <w:left w:val="nil"/>
              <w:bottom w:val="nil"/>
              <w:right w:val="nil"/>
            </w:tcBorders>
            <w:shd w:val="clear" w:color="000000" w:fill="FFFFFF"/>
            <w:noWrap/>
            <w:vAlign w:val="bottom"/>
            <w:hideMark/>
          </w:tcPr>
          <w:p w14:paraId="52D2A609"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w:t>
            </w:r>
          </w:p>
        </w:tc>
        <w:tc>
          <w:tcPr>
            <w:tcW w:w="0" w:type="auto"/>
            <w:tcBorders>
              <w:top w:val="nil"/>
              <w:left w:val="nil"/>
              <w:bottom w:val="nil"/>
              <w:right w:val="nil"/>
            </w:tcBorders>
            <w:shd w:val="clear" w:color="000000" w:fill="FFFFFF"/>
            <w:noWrap/>
            <w:vAlign w:val="bottom"/>
            <w:hideMark/>
          </w:tcPr>
          <w:p w14:paraId="76387DBC" w14:textId="77777777" w:rsidR="001B6268" w:rsidRPr="001B6268" w:rsidRDefault="001B6268" w:rsidP="001B6268">
            <w:pPr>
              <w:spacing w:after="0" w:line="240" w:lineRule="auto"/>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Setor</w:t>
            </w:r>
          </w:p>
        </w:tc>
        <w:tc>
          <w:tcPr>
            <w:tcW w:w="0" w:type="auto"/>
            <w:tcBorders>
              <w:top w:val="nil"/>
              <w:left w:val="nil"/>
              <w:bottom w:val="nil"/>
              <w:right w:val="nil"/>
            </w:tcBorders>
            <w:shd w:val="clear" w:color="000000" w:fill="FFFFFF"/>
            <w:noWrap/>
            <w:vAlign w:val="bottom"/>
            <w:hideMark/>
          </w:tcPr>
          <w:p w14:paraId="703C86A9"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w:t>
            </w:r>
          </w:p>
        </w:tc>
        <w:tc>
          <w:tcPr>
            <w:tcW w:w="0" w:type="auto"/>
            <w:tcBorders>
              <w:top w:val="nil"/>
              <w:left w:val="nil"/>
              <w:bottom w:val="nil"/>
              <w:right w:val="nil"/>
            </w:tcBorders>
            <w:shd w:val="clear" w:color="000000" w:fill="FFFFFF"/>
            <w:noWrap/>
            <w:vAlign w:val="bottom"/>
            <w:hideMark/>
          </w:tcPr>
          <w:p w14:paraId="5D06FADA"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(US$)</w:t>
            </w:r>
          </w:p>
        </w:tc>
        <w:tc>
          <w:tcPr>
            <w:tcW w:w="0" w:type="auto"/>
            <w:tcBorders>
              <w:top w:val="nil"/>
              <w:left w:val="single" w:sz="4" w:space="0" w:color="auto"/>
              <w:bottom w:val="nil"/>
              <w:right w:val="nil"/>
            </w:tcBorders>
            <w:shd w:val="clear" w:color="000000" w:fill="FFFFFF"/>
            <w:noWrap/>
            <w:vAlign w:val="bottom"/>
            <w:hideMark/>
          </w:tcPr>
          <w:p w14:paraId="6FD267F7"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 </w:t>
            </w:r>
          </w:p>
        </w:tc>
        <w:tc>
          <w:tcPr>
            <w:tcW w:w="0" w:type="auto"/>
            <w:tcBorders>
              <w:top w:val="nil"/>
              <w:left w:val="nil"/>
              <w:bottom w:val="nil"/>
              <w:right w:val="nil"/>
            </w:tcBorders>
            <w:shd w:val="clear" w:color="000000" w:fill="FFFFFF"/>
            <w:noWrap/>
            <w:vAlign w:val="bottom"/>
            <w:hideMark/>
          </w:tcPr>
          <w:p w14:paraId="75EB68B6" w14:textId="77777777" w:rsidR="001B6268" w:rsidRPr="001B6268" w:rsidRDefault="001B6268" w:rsidP="001B6268">
            <w:pPr>
              <w:spacing w:after="0" w:line="240" w:lineRule="auto"/>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Setor</w:t>
            </w:r>
          </w:p>
        </w:tc>
        <w:tc>
          <w:tcPr>
            <w:tcW w:w="0" w:type="auto"/>
            <w:tcBorders>
              <w:top w:val="nil"/>
              <w:left w:val="nil"/>
              <w:bottom w:val="nil"/>
              <w:right w:val="nil"/>
            </w:tcBorders>
            <w:shd w:val="clear" w:color="000000" w:fill="FFFFFF"/>
            <w:noWrap/>
            <w:vAlign w:val="bottom"/>
            <w:hideMark/>
          </w:tcPr>
          <w:p w14:paraId="631D033A"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w:t>
            </w:r>
          </w:p>
        </w:tc>
        <w:tc>
          <w:tcPr>
            <w:tcW w:w="0" w:type="auto"/>
            <w:tcBorders>
              <w:top w:val="nil"/>
              <w:left w:val="nil"/>
              <w:bottom w:val="nil"/>
              <w:right w:val="nil"/>
            </w:tcBorders>
            <w:shd w:val="clear" w:color="000000" w:fill="FFFFFF"/>
            <w:noWrap/>
            <w:vAlign w:val="bottom"/>
            <w:hideMark/>
          </w:tcPr>
          <w:p w14:paraId="6B11C4AC"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(US$)</w:t>
            </w:r>
          </w:p>
        </w:tc>
      </w:tr>
      <w:tr w:rsidR="001B6268" w:rsidRPr="001B6268" w14:paraId="72B4DCB7" w14:textId="77777777" w:rsidTr="001B6268">
        <w:trPr>
          <w:trHeight w:val="300"/>
        </w:trPr>
        <w:tc>
          <w:tcPr>
            <w:tcW w:w="0" w:type="auto"/>
            <w:tcBorders>
              <w:top w:val="nil"/>
              <w:left w:val="nil"/>
              <w:bottom w:val="nil"/>
              <w:right w:val="nil"/>
            </w:tcBorders>
            <w:shd w:val="clear" w:color="000000" w:fill="FFFFFF"/>
            <w:noWrap/>
            <w:vAlign w:val="bottom"/>
            <w:hideMark/>
          </w:tcPr>
          <w:p w14:paraId="24AC9F3C"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w:t>
            </w:r>
          </w:p>
        </w:tc>
        <w:tc>
          <w:tcPr>
            <w:tcW w:w="0" w:type="auto"/>
            <w:tcBorders>
              <w:top w:val="nil"/>
              <w:left w:val="nil"/>
              <w:bottom w:val="nil"/>
              <w:right w:val="nil"/>
            </w:tcBorders>
            <w:shd w:val="clear" w:color="000000" w:fill="FFFFFF"/>
            <w:noWrap/>
            <w:vAlign w:val="bottom"/>
            <w:hideMark/>
          </w:tcPr>
          <w:p w14:paraId="0D658AFB"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Alimentos (baixa)</w:t>
            </w:r>
          </w:p>
        </w:tc>
        <w:tc>
          <w:tcPr>
            <w:tcW w:w="0" w:type="auto"/>
            <w:tcBorders>
              <w:top w:val="nil"/>
              <w:left w:val="nil"/>
              <w:bottom w:val="nil"/>
              <w:right w:val="nil"/>
            </w:tcBorders>
            <w:shd w:val="clear" w:color="000000" w:fill="FFFFFF"/>
            <w:noWrap/>
            <w:vAlign w:val="bottom"/>
            <w:hideMark/>
          </w:tcPr>
          <w:p w14:paraId="0B916BEB"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25,05%</w:t>
            </w:r>
          </w:p>
        </w:tc>
        <w:tc>
          <w:tcPr>
            <w:tcW w:w="0" w:type="auto"/>
            <w:tcBorders>
              <w:top w:val="nil"/>
              <w:left w:val="nil"/>
              <w:bottom w:val="nil"/>
              <w:right w:val="nil"/>
            </w:tcBorders>
            <w:shd w:val="clear" w:color="000000" w:fill="FFFFFF"/>
            <w:noWrap/>
            <w:vAlign w:val="bottom"/>
            <w:hideMark/>
          </w:tcPr>
          <w:p w14:paraId="64E5DAB4"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1.081.941.432,91 </w:t>
            </w:r>
          </w:p>
        </w:tc>
        <w:tc>
          <w:tcPr>
            <w:tcW w:w="0" w:type="auto"/>
            <w:tcBorders>
              <w:top w:val="nil"/>
              <w:left w:val="single" w:sz="4" w:space="0" w:color="auto"/>
              <w:bottom w:val="nil"/>
              <w:right w:val="nil"/>
            </w:tcBorders>
            <w:shd w:val="clear" w:color="000000" w:fill="FFFFFF"/>
            <w:noWrap/>
            <w:vAlign w:val="bottom"/>
            <w:hideMark/>
          </w:tcPr>
          <w:p w14:paraId="61041E67"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w:t>
            </w:r>
          </w:p>
        </w:tc>
        <w:tc>
          <w:tcPr>
            <w:tcW w:w="0" w:type="auto"/>
            <w:tcBorders>
              <w:top w:val="nil"/>
              <w:left w:val="nil"/>
              <w:bottom w:val="nil"/>
              <w:right w:val="nil"/>
            </w:tcBorders>
            <w:shd w:val="clear" w:color="000000" w:fill="FFFFFF"/>
            <w:noWrap/>
            <w:vAlign w:val="bottom"/>
            <w:hideMark/>
          </w:tcPr>
          <w:p w14:paraId="760F4EA6"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M&amp;E (média-alta)</w:t>
            </w:r>
          </w:p>
        </w:tc>
        <w:tc>
          <w:tcPr>
            <w:tcW w:w="0" w:type="auto"/>
            <w:tcBorders>
              <w:top w:val="nil"/>
              <w:left w:val="nil"/>
              <w:bottom w:val="nil"/>
              <w:right w:val="nil"/>
            </w:tcBorders>
            <w:shd w:val="clear" w:color="000000" w:fill="FFFFFF"/>
            <w:noWrap/>
            <w:vAlign w:val="bottom"/>
            <w:hideMark/>
          </w:tcPr>
          <w:p w14:paraId="44493276"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26,04%</w:t>
            </w:r>
          </w:p>
        </w:tc>
        <w:tc>
          <w:tcPr>
            <w:tcW w:w="0" w:type="auto"/>
            <w:tcBorders>
              <w:top w:val="nil"/>
              <w:left w:val="nil"/>
              <w:bottom w:val="nil"/>
              <w:right w:val="nil"/>
            </w:tcBorders>
            <w:shd w:val="clear" w:color="000000" w:fill="FFFFFF"/>
            <w:noWrap/>
            <w:vAlign w:val="bottom"/>
            <w:hideMark/>
          </w:tcPr>
          <w:p w14:paraId="4721B1F5"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354.122.407,26 </w:t>
            </w:r>
          </w:p>
        </w:tc>
      </w:tr>
      <w:tr w:rsidR="001B6268" w:rsidRPr="001B6268" w14:paraId="479D9903" w14:textId="77777777" w:rsidTr="001B6268">
        <w:trPr>
          <w:trHeight w:val="300"/>
        </w:trPr>
        <w:tc>
          <w:tcPr>
            <w:tcW w:w="0" w:type="auto"/>
            <w:tcBorders>
              <w:top w:val="nil"/>
              <w:left w:val="nil"/>
              <w:bottom w:val="nil"/>
              <w:right w:val="nil"/>
            </w:tcBorders>
            <w:shd w:val="clear" w:color="000000" w:fill="FFFFFF"/>
            <w:noWrap/>
            <w:vAlign w:val="bottom"/>
            <w:hideMark/>
          </w:tcPr>
          <w:p w14:paraId="1F845B15"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w:t>
            </w:r>
          </w:p>
        </w:tc>
        <w:tc>
          <w:tcPr>
            <w:tcW w:w="0" w:type="auto"/>
            <w:tcBorders>
              <w:top w:val="nil"/>
              <w:left w:val="nil"/>
              <w:bottom w:val="nil"/>
              <w:right w:val="nil"/>
            </w:tcBorders>
            <w:shd w:val="clear" w:color="000000" w:fill="FFFFFF"/>
            <w:noWrap/>
            <w:vAlign w:val="bottom"/>
            <w:hideMark/>
          </w:tcPr>
          <w:p w14:paraId="33A6FF2F"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M&amp;E (média-alta)</w:t>
            </w:r>
          </w:p>
        </w:tc>
        <w:tc>
          <w:tcPr>
            <w:tcW w:w="0" w:type="auto"/>
            <w:tcBorders>
              <w:top w:val="nil"/>
              <w:left w:val="nil"/>
              <w:bottom w:val="nil"/>
              <w:right w:val="nil"/>
            </w:tcBorders>
            <w:shd w:val="clear" w:color="000000" w:fill="FFFFFF"/>
            <w:noWrap/>
            <w:vAlign w:val="bottom"/>
            <w:hideMark/>
          </w:tcPr>
          <w:p w14:paraId="28987DA6"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12,40%</w:t>
            </w:r>
          </w:p>
        </w:tc>
        <w:tc>
          <w:tcPr>
            <w:tcW w:w="0" w:type="auto"/>
            <w:tcBorders>
              <w:top w:val="nil"/>
              <w:left w:val="nil"/>
              <w:bottom w:val="nil"/>
              <w:right w:val="nil"/>
            </w:tcBorders>
            <w:shd w:val="clear" w:color="000000" w:fill="FFFFFF"/>
            <w:noWrap/>
            <w:vAlign w:val="bottom"/>
            <w:hideMark/>
          </w:tcPr>
          <w:p w14:paraId="7D191F65"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535.447.637,24 </w:t>
            </w:r>
          </w:p>
        </w:tc>
        <w:tc>
          <w:tcPr>
            <w:tcW w:w="0" w:type="auto"/>
            <w:tcBorders>
              <w:top w:val="nil"/>
              <w:left w:val="single" w:sz="4" w:space="0" w:color="auto"/>
              <w:bottom w:val="nil"/>
              <w:right w:val="nil"/>
            </w:tcBorders>
            <w:shd w:val="clear" w:color="000000" w:fill="FFFFFF"/>
            <w:noWrap/>
            <w:vAlign w:val="bottom"/>
            <w:hideMark/>
          </w:tcPr>
          <w:p w14:paraId="47D65A94"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w:t>
            </w:r>
          </w:p>
        </w:tc>
        <w:tc>
          <w:tcPr>
            <w:tcW w:w="0" w:type="auto"/>
            <w:tcBorders>
              <w:top w:val="nil"/>
              <w:left w:val="nil"/>
              <w:bottom w:val="nil"/>
              <w:right w:val="nil"/>
            </w:tcBorders>
            <w:shd w:val="clear" w:color="000000" w:fill="FFFFFF"/>
            <w:noWrap/>
            <w:vAlign w:val="bottom"/>
            <w:hideMark/>
          </w:tcPr>
          <w:p w14:paraId="055DC765"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Produtos químicos (média-alta)</w:t>
            </w:r>
          </w:p>
        </w:tc>
        <w:tc>
          <w:tcPr>
            <w:tcW w:w="0" w:type="auto"/>
            <w:tcBorders>
              <w:top w:val="nil"/>
              <w:left w:val="nil"/>
              <w:bottom w:val="nil"/>
              <w:right w:val="nil"/>
            </w:tcBorders>
            <w:shd w:val="clear" w:color="000000" w:fill="FFFFFF"/>
            <w:noWrap/>
            <w:vAlign w:val="bottom"/>
            <w:hideMark/>
          </w:tcPr>
          <w:p w14:paraId="79B7292E"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24,29%</w:t>
            </w:r>
          </w:p>
        </w:tc>
        <w:tc>
          <w:tcPr>
            <w:tcW w:w="0" w:type="auto"/>
            <w:tcBorders>
              <w:top w:val="nil"/>
              <w:left w:val="nil"/>
              <w:bottom w:val="nil"/>
              <w:right w:val="nil"/>
            </w:tcBorders>
            <w:shd w:val="clear" w:color="000000" w:fill="FFFFFF"/>
            <w:noWrap/>
            <w:vAlign w:val="bottom"/>
            <w:hideMark/>
          </w:tcPr>
          <w:p w14:paraId="02B3D276"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330.353.493,92 </w:t>
            </w:r>
          </w:p>
        </w:tc>
      </w:tr>
      <w:tr w:rsidR="001B6268" w:rsidRPr="001B6268" w14:paraId="430CDC2A" w14:textId="77777777" w:rsidTr="001B6268">
        <w:trPr>
          <w:trHeight w:val="300"/>
        </w:trPr>
        <w:tc>
          <w:tcPr>
            <w:tcW w:w="0" w:type="auto"/>
            <w:tcBorders>
              <w:top w:val="nil"/>
              <w:left w:val="nil"/>
              <w:bottom w:val="nil"/>
              <w:right w:val="nil"/>
            </w:tcBorders>
            <w:shd w:val="clear" w:color="000000" w:fill="FFFFFF"/>
            <w:noWrap/>
            <w:vAlign w:val="bottom"/>
            <w:hideMark/>
          </w:tcPr>
          <w:p w14:paraId="0403DF03"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3</w:t>
            </w:r>
          </w:p>
        </w:tc>
        <w:tc>
          <w:tcPr>
            <w:tcW w:w="0" w:type="auto"/>
            <w:tcBorders>
              <w:top w:val="nil"/>
              <w:left w:val="nil"/>
              <w:bottom w:val="nil"/>
              <w:right w:val="nil"/>
            </w:tcBorders>
            <w:shd w:val="clear" w:color="000000" w:fill="FFFFFF"/>
            <w:noWrap/>
            <w:vAlign w:val="bottom"/>
            <w:hideMark/>
          </w:tcPr>
          <w:p w14:paraId="238F352E"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Madeira (baixa)</w:t>
            </w:r>
          </w:p>
        </w:tc>
        <w:tc>
          <w:tcPr>
            <w:tcW w:w="0" w:type="auto"/>
            <w:tcBorders>
              <w:top w:val="nil"/>
              <w:left w:val="nil"/>
              <w:bottom w:val="nil"/>
              <w:right w:val="nil"/>
            </w:tcBorders>
            <w:shd w:val="clear" w:color="000000" w:fill="FFFFFF"/>
            <w:noWrap/>
            <w:vAlign w:val="bottom"/>
            <w:hideMark/>
          </w:tcPr>
          <w:p w14:paraId="47F7FD4D"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11,15%</w:t>
            </w:r>
          </w:p>
        </w:tc>
        <w:tc>
          <w:tcPr>
            <w:tcW w:w="0" w:type="auto"/>
            <w:tcBorders>
              <w:top w:val="nil"/>
              <w:left w:val="nil"/>
              <w:bottom w:val="nil"/>
              <w:right w:val="nil"/>
            </w:tcBorders>
            <w:shd w:val="clear" w:color="000000" w:fill="FFFFFF"/>
            <w:noWrap/>
            <w:vAlign w:val="bottom"/>
            <w:hideMark/>
          </w:tcPr>
          <w:p w14:paraId="0FBD59C7"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481.623.306,42 </w:t>
            </w:r>
          </w:p>
        </w:tc>
        <w:tc>
          <w:tcPr>
            <w:tcW w:w="0" w:type="auto"/>
            <w:tcBorders>
              <w:top w:val="nil"/>
              <w:left w:val="single" w:sz="4" w:space="0" w:color="auto"/>
              <w:bottom w:val="nil"/>
              <w:right w:val="nil"/>
            </w:tcBorders>
            <w:shd w:val="clear" w:color="000000" w:fill="FFFFFF"/>
            <w:noWrap/>
            <w:vAlign w:val="bottom"/>
            <w:hideMark/>
          </w:tcPr>
          <w:p w14:paraId="6E29E2DC"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3</w:t>
            </w:r>
          </w:p>
        </w:tc>
        <w:tc>
          <w:tcPr>
            <w:tcW w:w="0" w:type="auto"/>
            <w:tcBorders>
              <w:top w:val="nil"/>
              <w:left w:val="nil"/>
              <w:bottom w:val="nil"/>
              <w:right w:val="nil"/>
            </w:tcBorders>
            <w:shd w:val="clear" w:color="000000" w:fill="FFFFFF"/>
            <w:noWrap/>
            <w:vAlign w:val="bottom"/>
            <w:hideMark/>
          </w:tcPr>
          <w:p w14:paraId="57F0FB45"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Alimentos (baixa)</w:t>
            </w:r>
          </w:p>
        </w:tc>
        <w:tc>
          <w:tcPr>
            <w:tcW w:w="0" w:type="auto"/>
            <w:tcBorders>
              <w:top w:val="nil"/>
              <w:left w:val="nil"/>
              <w:bottom w:val="nil"/>
              <w:right w:val="nil"/>
            </w:tcBorders>
            <w:shd w:val="clear" w:color="000000" w:fill="FFFFFF"/>
            <w:noWrap/>
            <w:vAlign w:val="bottom"/>
            <w:hideMark/>
          </w:tcPr>
          <w:p w14:paraId="52E46EE4"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8,68%</w:t>
            </w:r>
          </w:p>
        </w:tc>
        <w:tc>
          <w:tcPr>
            <w:tcW w:w="0" w:type="auto"/>
            <w:tcBorders>
              <w:top w:val="nil"/>
              <w:left w:val="nil"/>
              <w:bottom w:val="nil"/>
              <w:right w:val="nil"/>
            </w:tcBorders>
            <w:shd w:val="clear" w:color="000000" w:fill="FFFFFF"/>
            <w:noWrap/>
            <w:vAlign w:val="bottom"/>
            <w:hideMark/>
          </w:tcPr>
          <w:p w14:paraId="207EFF17"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118.130.133,35 </w:t>
            </w:r>
          </w:p>
        </w:tc>
      </w:tr>
      <w:tr w:rsidR="001B6268" w:rsidRPr="001B6268" w14:paraId="5AA6C6B4" w14:textId="77777777" w:rsidTr="001B6268">
        <w:trPr>
          <w:trHeight w:val="300"/>
        </w:trPr>
        <w:tc>
          <w:tcPr>
            <w:tcW w:w="0" w:type="auto"/>
            <w:tcBorders>
              <w:top w:val="nil"/>
              <w:left w:val="nil"/>
              <w:bottom w:val="nil"/>
              <w:right w:val="nil"/>
            </w:tcBorders>
            <w:shd w:val="clear" w:color="000000" w:fill="FFFFFF"/>
            <w:noWrap/>
            <w:vAlign w:val="bottom"/>
            <w:hideMark/>
          </w:tcPr>
          <w:p w14:paraId="5F6703AF"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4</w:t>
            </w:r>
          </w:p>
        </w:tc>
        <w:tc>
          <w:tcPr>
            <w:tcW w:w="0" w:type="auto"/>
            <w:tcBorders>
              <w:top w:val="nil"/>
              <w:left w:val="nil"/>
              <w:bottom w:val="nil"/>
              <w:right w:val="nil"/>
            </w:tcBorders>
            <w:shd w:val="clear" w:color="000000" w:fill="FFFFFF"/>
            <w:noWrap/>
            <w:vAlign w:val="bottom"/>
            <w:hideMark/>
          </w:tcPr>
          <w:p w14:paraId="0E0534E8"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Móveis (baixa)</w:t>
            </w:r>
          </w:p>
        </w:tc>
        <w:tc>
          <w:tcPr>
            <w:tcW w:w="0" w:type="auto"/>
            <w:tcBorders>
              <w:top w:val="nil"/>
              <w:left w:val="nil"/>
              <w:bottom w:val="nil"/>
              <w:right w:val="nil"/>
            </w:tcBorders>
            <w:shd w:val="clear" w:color="000000" w:fill="FFFFFF"/>
            <w:noWrap/>
            <w:vAlign w:val="bottom"/>
            <w:hideMark/>
          </w:tcPr>
          <w:p w14:paraId="78CB6412"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8,37%</w:t>
            </w:r>
          </w:p>
        </w:tc>
        <w:tc>
          <w:tcPr>
            <w:tcW w:w="0" w:type="auto"/>
            <w:tcBorders>
              <w:top w:val="nil"/>
              <w:left w:val="nil"/>
              <w:bottom w:val="nil"/>
              <w:right w:val="nil"/>
            </w:tcBorders>
            <w:shd w:val="clear" w:color="000000" w:fill="FFFFFF"/>
            <w:noWrap/>
            <w:vAlign w:val="bottom"/>
            <w:hideMark/>
          </w:tcPr>
          <w:p w14:paraId="2DCB04CB"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361.400.994,10 </w:t>
            </w:r>
          </w:p>
        </w:tc>
        <w:tc>
          <w:tcPr>
            <w:tcW w:w="0" w:type="auto"/>
            <w:tcBorders>
              <w:top w:val="nil"/>
              <w:left w:val="single" w:sz="4" w:space="0" w:color="auto"/>
              <w:bottom w:val="nil"/>
              <w:right w:val="nil"/>
            </w:tcBorders>
            <w:shd w:val="clear" w:color="000000" w:fill="FFFFFF"/>
            <w:noWrap/>
            <w:vAlign w:val="bottom"/>
            <w:hideMark/>
          </w:tcPr>
          <w:p w14:paraId="6083BC22"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4</w:t>
            </w:r>
          </w:p>
        </w:tc>
        <w:tc>
          <w:tcPr>
            <w:tcW w:w="0" w:type="auto"/>
            <w:tcBorders>
              <w:top w:val="nil"/>
              <w:left w:val="nil"/>
              <w:bottom w:val="nil"/>
              <w:right w:val="nil"/>
            </w:tcBorders>
            <w:shd w:val="clear" w:color="000000" w:fill="FFFFFF"/>
            <w:noWrap/>
            <w:vAlign w:val="bottom"/>
            <w:hideMark/>
          </w:tcPr>
          <w:p w14:paraId="38D53CC5"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Informática e eletrônicos (alta)</w:t>
            </w:r>
          </w:p>
        </w:tc>
        <w:tc>
          <w:tcPr>
            <w:tcW w:w="0" w:type="auto"/>
            <w:tcBorders>
              <w:top w:val="nil"/>
              <w:left w:val="nil"/>
              <w:bottom w:val="nil"/>
              <w:right w:val="nil"/>
            </w:tcBorders>
            <w:shd w:val="clear" w:color="000000" w:fill="FFFFFF"/>
            <w:noWrap/>
            <w:vAlign w:val="bottom"/>
            <w:hideMark/>
          </w:tcPr>
          <w:p w14:paraId="678911ED"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7,25%</w:t>
            </w:r>
          </w:p>
        </w:tc>
        <w:tc>
          <w:tcPr>
            <w:tcW w:w="0" w:type="auto"/>
            <w:tcBorders>
              <w:top w:val="nil"/>
              <w:left w:val="nil"/>
              <w:bottom w:val="nil"/>
              <w:right w:val="nil"/>
            </w:tcBorders>
            <w:shd w:val="clear" w:color="000000" w:fill="FFFFFF"/>
            <w:noWrap/>
            <w:vAlign w:val="bottom"/>
            <w:hideMark/>
          </w:tcPr>
          <w:p w14:paraId="1081B26D"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98.598.752,25 </w:t>
            </w:r>
          </w:p>
        </w:tc>
      </w:tr>
      <w:tr w:rsidR="001B6268" w:rsidRPr="001B6268" w14:paraId="6AA7D752" w14:textId="77777777" w:rsidTr="001B6268">
        <w:trPr>
          <w:trHeight w:val="300"/>
        </w:trPr>
        <w:tc>
          <w:tcPr>
            <w:tcW w:w="0" w:type="auto"/>
            <w:tcBorders>
              <w:top w:val="nil"/>
              <w:left w:val="nil"/>
              <w:bottom w:val="nil"/>
              <w:right w:val="nil"/>
            </w:tcBorders>
            <w:shd w:val="clear" w:color="000000" w:fill="FFFFFF"/>
            <w:noWrap/>
            <w:vAlign w:val="bottom"/>
            <w:hideMark/>
          </w:tcPr>
          <w:p w14:paraId="4B21CFB1"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5</w:t>
            </w:r>
          </w:p>
        </w:tc>
        <w:tc>
          <w:tcPr>
            <w:tcW w:w="0" w:type="auto"/>
            <w:tcBorders>
              <w:top w:val="nil"/>
              <w:left w:val="nil"/>
              <w:bottom w:val="nil"/>
              <w:right w:val="nil"/>
            </w:tcBorders>
            <w:shd w:val="clear" w:color="000000" w:fill="FFFFFF"/>
            <w:noWrap/>
            <w:vAlign w:val="bottom"/>
            <w:hideMark/>
          </w:tcPr>
          <w:p w14:paraId="6B298D25"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Equip. elétricos (média-alta)</w:t>
            </w:r>
          </w:p>
        </w:tc>
        <w:tc>
          <w:tcPr>
            <w:tcW w:w="0" w:type="auto"/>
            <w:tcBorders>
              <w:top w:val="nil"/>
              <w:left w:val="nil"/>
              <w:bottom w:val="nil"/>
              <w:right w:val="nil"/>
            </w:tcBorders>
            <w:shd w:val="clear" w:color="000000" w:fill="FFFFFF"/>
            <w:noWrap/>
            <w:vAlign w:val="bottom"/>
            <w:hideMark/>
          </w:tcPr>
          <w:p w14:paraId="3418A819"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7,09%</w:t>
            </w:r>
          </w:p>
        </w:tc>
        <w:tc>
          <w:tcPr>
            <w:tcW w:w="0" w:type="auto"/>
            <w:tcBorders>
              <w:top w:val="nil"/>
              <w:left w:val="nil"/>
              <w:bottom w:val="nil"/>
              <w:right w:val="nil"/>
            </w:tcBorders>
            <w:shd w:val="clear" w:color="000000" w:fill="FFFFFF"/>
            <w:noWrap/>
            <w:vAlign w:val="bottom"/>
            <w:hideMark/>
          </w:tcPr>
          <w:p w14:paraId="30F5910A"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306.158.170,03 </w:t>
            </w:r>
          </w:p>
        </w:tc>
        <w:tc>
          <w:tcPr>
            <w:tcW w:w="0" w:type="auto"/>
            <w:tcBorders>
              <w:top w:val="nil"/>
              <w:left w:val="single" w:sz="4" w:space="0" w:color="auto"/>
              <w:bottom w:val="nil"/>
              <w:right w:val="nil"/>
            </w:tcBorders>
            <w:shd w:val="clear" w:color="000000" w:fill="FFFFFF"/>
            <w:noWrap/>
            <w:vAlign w:val="bottom"/>
            <w:hideMark/>
          </w:tcPr>
          <w:p w14:paraId="57C9EAD2"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5</w:t>
            </w:r>
          </w:p>
        </w:tc>
        <w:tc>
          <w:tcPr>
            <w:tcW w:w="0" w:type="auto"/>
            <w:tcBorders>
              <w:top w:val="nil"/>
              <w:left w:val="nil"/>
              <w:bottom w:val="nil"/>
              <w:right w:val="nil"/>
            </w:tcBorders>
            <w:shd w:val="clear" w:color="000000" w:fill="FFFFFF"/>
            <w:noWrap/>
            <w:vAlign w:val="bottom"/>
            <w:hideMark/>
          </w:tcPr>
          <w:p w14:paraId="78427159"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Automóveis (média-alta)</w:t>
            </w:r>
          </w:p>
        </w:tc>
        <w:tc>
          <w:tcPr>
            <w:tcW w:w="0" w:type="auto"/>
            <w:tcBorders>
              <w:top w:val="nil"/>
              <w:left w:val="nil"/>
              <w:bottom w:val="nil"/>
              <w:right w:val="nil"/>
            </w:tcBorders>
            <w:shd w:val="clear" w:color="000000" w:fill="FFFFFF"/>
            <w:noWrap/>
            <w:vAlign w:val="bottom"/>
            <w:hideMark/>
          </w:tcPr>
          <w:p w14:paraId="2803553A"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6,70%</w:t>
            </w:r>
          </w:p>
        </w:tc>
        <w:tc>
          <w:tcPr>
            <w:tcW w:w="0" w:type="auto"/>
            <w:tcBorders>
              <w:top w:val="nil"/>
              <w:left w:val="nil"/>
              <w:bottom w:val="nil"/>
              <w:right w:val="nil"/>
            </w:tcBorders>
            <w:shd w:val="clear" w:color="000000" w:fill="FFFFFF"/>
            <w:noWrap/>
            <w:vAlign w:val="bottom"/>
            <w:hideMark/>
          </w:tcPr>
          <w:p w14:paraId="22E94925"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91.072.477,66 </w:t>
            </w:r>
          </w:p>
        </w:tc>
      </w:tr>
      <w:tr w:rsidR="001B6268" w:rsidRPr="001B6268" w14:paraId="62BC9A54" w14:textId="77777777" w:rsidTr="001B6268">
        <w:trPr>
          <w:trHeight w:val="300"/>
        </w:trPr>
        <w:tc>
          <w:tcPr>
            <w:tcW w:w="0" w:type="auto"/>
            <w:tcBorders>
              <w:top w:val="nil"/>
              <w:left w:val="nil"/>
              <w:bottom w:val="nil"/>
              <w:right w:val="nil"/>
            </w:tcBorders>
            <w:shd w:val="clear" w:color="000000" w:fill="FFFFFF"/>
            <w:noWrap/>
            <w:vAlign w:val="bottom"/>
            <w:hideMark/>
          </w:tcPr>
          <w:p w14:paraId="43FC5E8C"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w:t>
            </w:r>
          </w:p>
        </w:tc>
        <w:tc>
          <w:tcPr>
            <w:tcW w:w="0" w:type="auto"/>
            <w:gridSpan w:val="3"/>
            <w:tcBorders>
              <w:top w:val="nil"/>
              <w:left w:val="nil"/>
              <w:bottom w:val="nil"/>
              <w:right w:val="nil"/>
            </w:tcBorders>
            <w:shd w:val="clear" w:color="000000" w:fill="FFFFFF"/>
            <w:noWrap/>
            <w:vAlign w:val="bottom"/>
            <w:hideMark/>
          </w:tcPr>
          <w:p w14:paraId="43C40111"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2010</w:t>
            </w:r>
          </w:p>
        </w:tc>
        <w:tc>
          <w:tcPr>
            <w:tcW w:w="0" w:type="auto"/>
            <w:tcBorders>
              <w:top w:val="nil"/>
              <w:left w:val="single" w:sz="4" w:space="0" w:color="auto"/>
              <w:bottom w:val="nil"/>
              <w:right w:val="nil"/>
            </w:tcBorders>
            <w:shd w:val="clear" w:color="000000" w:fill="FFFFFF"/>
            <w:noWrap/>
            <w:vAlign w:val="bottom"/>
            <w:hideMark/>
          </w:tcPr>
          <w:p w14:paraId="5169CBB5"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 </w:t>
            </w:r>
          </w:p>
        </w:tc>
        <w:tc>
          <w:tcPr>
            <w:tcW w:w="0" w:type="auto"/>
            <w:gridSpan w:val="3"/>
            <w:tcBorders>
              <w:top w:val="nil"/>
              <w:left w:val="nil"/>
              <w:bottom w:val="nil"/>
              <w:right w:val="nil"/>
            </w:tcBorders>
            <w:shd w:val="clear" w:color="000000" w:fill="FFFFFF"/>
            <w:noWrap/>
            <w:vAlign w:val="bottom"/>
            <w:hideMark/>
          </w:tcPr>
          <w:p w14:paraId="62B8B31F"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2010</w:t>
            </w:r>
          </w:p>
        </w:tc>
      </w:tr>
      <w:tr w:rsidR="001B6268" w:rsidRPr="001B6268" w14:paraId="414FA7E3" w14:textId="77777777" w:rsidTr="001B6268">
        <w:trPr>
          <w:trHeight w:val="300"/>
        </w:trPr>
        <w:tc>
          <w:tcPr>
            <w:tcW w:w="0" w:type="auto"/>
            <w:tcBorders>
              <w:top w:val="nil"/>
              <w:left w:val="nil"/>
              <w:bottom w:val="nil"/>
              <w:right w:val="nil"/>
            </w:tcBorders>
            <w:shd w:val="clear" w:color="000000" w:fill="FFFFFF"/>
            <w:noWrap/>
            <w:vAlign w:val="bottom"/>
            <w:hideMark/>
          </w:tcPr>
          <w:p w14:paraId="78798232"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w:t>
            </w:r>
          </w:p>
        </w:tc>
        <w:tc>
          <w:tcPr>
            <w:tcW w:w="0" w:type="auto"/>
            <w:tcBorders>
              <w:top w:val="nil"/>
              <w:left w:val="nil"/>
              <w:bottom w:val="nil"/>
              <w:right w:val="nil"/>
            </w:tcBorders>
            <w:shd w:val="clear" w:color="000000" w:fill="FFFFFF"/>
            <w:noWrap/>
            <w:vAlign w:val="bottom"/>
            <w:hideMark/>
          </w:tcPr>
          <w:p w14:paraId="6884B7C4" w14:textId="77777777" w:rsidR="001B6268" w:rsidRPr="001B6268" w:rsidRDefault="001B6268" w:rsidP="001B6268">
            <w:pPr>
              <w:spacing w:after="0" w:line="240" w:lineRule="auto"/>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Setor</w:t>
            </w:r>
          </w:p>
        </w:tc>
        <w:tc>
          <w:tcPr>
            <w:tcW w:w="0" w:type="auto"/>
            <w:tcBorders>
              <w:top w:val="nil"/>
              <w:left w:val="nil"/>
              <w:bottom w:val="nil"/>
              <w:right w:val="nil"/>
            </w:tcBorders>
            <w:shd w:val="clear" w:color="000000" w:fill="FFFFFF"/>
            <w:noWrap/>
            <w:vAlign w:val="bottom"/>
            <w:hideMark/>
          </w:tcPr>
          <w:p w14:paraId="468AC0EE"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w:t>
            </w:r>
          </w:p>
        </w:tc>
        <w:tc>
          <w:tcPr>
            <w:tcW w:w="0" w:type="auto"/>
            <w:tcBorders>
              <w:top w:val="nil"/>
              <w:left w:val="nil"/>
              <w:bottom w:val="nil"/>
              <w:right w:val="nil"/>
            </w:tcBorders>
            <w:shd w:val="clear" w:color="000000" w:fill="FFFFFF"/>
            <w:noWrap/>
            <w:vAlign w:val="bottom"/>
            <w:hideMark/>
          </w:tcPr>
          <w:p w14:paraId="5418456C"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(US$)</w:t>
            </w:r>
          </w:p>
        </w:tc>
        <w:tc>
          <w:tcPr>
            <w:tcW w:w="0" w:type="auto"/>
            <w:tcBorders>
              <w:top w:val="nil"/>
              <w:left w:val="single" w:sz="4" w:space="0" w:color="auto"/>
              <w:bottom w:val="nil"/>
              <w:right w:val="nil"/>
            </w:tcBorders>
            <w:shd w:val="clear" w:color="000000" w:fill="FFFFFF"/>
            <w:noWrap/>
            <w:vAlign w:val="bottom"/>
            <w:hideMark/>
          </w:tcPr>
          <w:p w14:paraId="422C2DB4"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 </w:t>
            </w:r>
          </w:p>
        </w:tc>
        <w:tc>
          <w:tcPr>
            <w:tcW w:w="0" w:type="auto"/>
            <w:tcBorders>
              <w:top w:val="nil"/>
              <w:left w:val="nil"/>
              <w:bottom w:val="nil"/>
              <w:right w:val="nil"/>
            </w:tcBorders>
            <w:shd w:val="clear" w:color="000000" w:fill="FFFFFF"/>
            <w:noWrap/>
            <w:vAlign w:val="bottom"/>
            <w:hideMark/>
          </w:tcPr>
          <w:p w14:paraId="33E23AB1" w14:textId="77777777" w:rsidR="001B6268" w:rsidRPr="001B6268" w:rsidRDefault="001B6268" w:rsidP="001B6268">
            <w:pPr>
              <w:spacing w:after="0" w:line="240" w:lineRule="auto"/>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Setor</w:t>
            </w:r>
          </w:p>
        </w:tc>
        <w:tc>
          <w:tcPr>
            <w:tcW w:w="0" w:type="auto"/>
            <w:tcBorders>
              <w:top w:val="nil"/>
              <w:left w:val="nil"/>
              <w:bottom w:val="nil"/>
              <w:right w:val="nil"/>
            </w:tcBorders>
            <w:shd w:val="clear" w:color="000000" w:fill="FFFFFF"/>
            <w:noWrap/>
            <w:vAlign w:val="bottom"/>
            <w:hideMark/>
          </w:tcPr>
          <w:p w14:paraId="08F26C26"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w:t>
            </w:r>
          </w:p>
        </w:tc>
        <w:tc>
          <w:tcPr>
            <w:tcW w:w="0" w:type="auto"/>
            <w:tcBorders>
              <w:top w:val="nil"/>
              <w:left w:val="nil"/>
              <w:bottom w:val="nil"/>
              <w:right w:val="nil"/>
            </w:tcBorders>
            <w:shd w:val="clear" w:color="000000" w:fill="FFFFFF"/>
            <w:noWrap/>
            <w:vAlign w:val="bottom"/>
            <w:hideMark/>
          </w:tcPr>
          <w:p w14:paraId="572BAB18"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(US$)</w:t>
            </w:r>
          </w:p>
        </w:tc>
      </w:tr>
      <w:tr w:rsidR="001B6268" w:rsidRPr="001B6268" w14:paraId="51A6552C" w14:textId="77777777" w:rsidTr="001B6268">
        <w:trPr>
          <w:trHeight w:val="300"/>
        </w:trPr>
        <w:tc>
          <w:tcPr>
            <w:tcW w:w="0" w:type="auto"/>
            <w:tcBorders>
              <w:top w:val="nil"/>
              <w:left w:val="nil"/>
              <w:bottom w:val="nil"/>
              <w:right w:val="nil"/>
            </w:tcBorders>
            <w:shd w:val="clear" w:color="000000" w:fill="FFFFFF"/>
            <w:noWrap/>
            <w:vAlign w:val="bottom"/>
            <w:hideMark/>
          </w:tcPr>
          <w:p w14:paraId="27E88615"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w:t>
            </w:r>
          </w:p>
        </w:tc>
        <w:tc>
          <w:tcPr>
            <w:tcW w:w="0" w:type="auto"/>
            <w:tcBorders>
              <w:top w:val="nil"/>
              <w:left w:val="nil"/>
              <w:bottom w:val="nil"/>
              <w:right w:val="nil"/>
            </w:tcBorders>
            <w:shd w:val="clear" w:color="000000" w:fill="FFFFFF"/>
            <w:noWrap/>
            <w:vAlign w:val="bottom"/>
            <w:hideMark/>
          </w:tcPr>
          <w:p w14:paraId="1E6CAC92"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Alimentos (baixa)</w:t>
            </w:r>
          </w:p>
        </w:tc>
        <w:tc>
          <w:tcPr>
            <w:tcW w:w="0" w:type="auto"/>
            <w:tcBorders>
              <w:top w:val="nil"/>
              <w:left w:val="nil"/>
              <w:bottom w:val="nil"/>
              <w:right w:val="nil"/>
            </w:tcBorders>
            <w:shd w:val="clear" w:color="000000" w:fill="FFFFFF"/>
            <w:noWrap/>
            <w:vAlign w:val="bottom"/>
            <w:hideMark/>
          </w:tcPr>
          <w:p w14:paraId="4A2527D1"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38,34%</w:t>
            </w:r>
          </w:p>
        </w:tc>
        <w:tc>
          <w:tcPr>
            <w:tcW w:w="0" w:type="auto"/>
            <w:tcBorders>
              <w:top w:val="nil"/>
              <w:left w:val="nil"/>
              <w:bottom w:val="nil"/>
              <w:right w:val="nil"/>
            </w:tcBorders>
            <w:shd w:val="clear" w:color="000000" w:fill="FFFFFF"/>
            <w:noWrap/>
            <w:vAlign w:val="bottom"/>
            <w:hideMark/>
          </w:tcPr>
          <w:p w14:paraId="0E756168"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3.251.448.256,61 </w:t>
            </w:r>
          </w:p>
        </w:tc>
        <w:tc>
          <w:tcPr>
            <w:tcW w:w="0" w:type="auto"/>
            <w:tcBorders>
              <w:top w:val="nil"/>
              <w:left w:val="single" w:sz="4" w:space="0" w:color="auto"/>
              <w:bottom w:val="nil"/>
              <w:right w:val="nil"/>
            </w:tcBorders>
            <w:shd w:val="clear" w:color="000000" w:fill="FFFFFF"/>
            <w:noWrap/>
            <w:vAlign w:val="bottom"/>
            <w:hideMark/>
          </w:tcPr>
          <w:p w14:paraId="48269C83"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w:t>
            </w:r>
          </w:p>
        </w:tc>
        <w:tc>
          <w:tcPr>
            <w:tcW w:w="0" w:type="auto"/>
            <w:tcBorders>
              <w:top w:val="nil"/>
              <w:left w:val="nil"/>
              <w:bottom w:val="nil"/>
              <w:right w:val="nil"/>
            </w:tcBorders>
            <w:shd w:val="clear" w:color="000000" w:fill="FFFFFF"/>
            <w:noWrap/>
            <w:vAlign w:val="bottom"/>
            <w:hideMark/>
          </w:tcPr>
          <w:p w14:paraId="0C4F1D3E"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Metais básicos (média-baixa)</w:t>
            </w:r>
          </w:p>
        </w:tc>
        <w:tc>
          <w:tcPr>
            <w:tcW w:w="0" w:type="auto"/>
            <w:tcBorders>
              <w:top w:val="nil"/>
              <w:left w:val="nil"/>
              <w:bottom w:val="nil"/>
              <w:right w:val="nil"/>
            </w:tcBorders>
            <w:shd w:val="clear" w:color="000000" w:fill="FFFFFF"/>
            <w:noWrap/>
            <w:vAlign w:val="bottom"/>
            <w:hideMark/>
          </w:tcPr>
          <w:p w14:paraId="52218A38"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25,46%</w:t>
            </w:r>
          </w:p>
        </w:tc>
        <w:tc>
          <w:tcPr>
            <w:tcW w:w="0" w:type="auto"/>
            <w:tcBorders>
              <w:top w:val="nil"/>
              <w:left w:val="nil"/>
              <w:bottom w:val="nil"/>
              <w:right w:val="nil"/>
            </w:tcBorders>
            <w:shd w:val="clear" w:color="000000" w:fill="FFFFFF"/>
            <w:noWrap/>
            <w:vAlign w:val="bottom"/>
            <w:hideMark/>
          </w:tcPr>
          <w:p w14:paraId="6BC0771C"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3.324.590.549,91 </w:t>
            </w:r>
          </w:p>
        </w:tc>
      </w:tr>
      <w:tr w:rsidR="001B6268" w:rsidRPr="001B6268" w14:paraId="3D8DCDE9" w14:textId="77777777" w:rsidTr="001B6268">
        <w:trPr>
          <w:trHeight w:val="300"/>
        </w:trPr>
        <w:tc>
          <w:tcPr>
            <w:tcW w:w="0" w:type="auto"/>
            <w:tcBorders>
              <w:top w:val="nil"/>
              <w:left w:val="nil"/>
              <w:bottom w:val="nil"/>
              <w:right w:val="nil"/>
            </w:tcBorders>
            <w:shd w:val="clear" w:color="000000" w:fill="FFFFFF"/>
            <w:noWrap/>
            <w:vAlign w:val="bottom"/>
            <w:hideMark/>
          </w:tcPr>
          <w:p w14:paraId="751E5751"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w:t>
            </w:r>
          </w:p>
        </w:tc>
        <w:tc>
          <w:tcPr>
            <w:tcW w:w="0" w:type="auto"/>
            <w:tcBorders>
              <w:top w:val="nil"/>
              <w:left w:val="nil"/>
              <w:bottom w:val="nil"/>
              <w:right w:val="nil"/>
            </w:tcBorders>
            <w:shd w:val="clear" w:color="000000" w:fill="FFFFFF"/>
            <w:noWrap/>
            <w:vAlign w:val="bottom"/>
            <w:hideMark/>
          </w:tcPr>
          <w:p w14:paraId="2808B291"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Tabaco (baixa)</w:t>
            </w:r>
          </w:p>
        </w:tc>
        <w:tc>
          <w:tcPr>
            <w:tcW w:w="0" w:type="auto"/>
            <w:tcBorders>
              <w:top w:val="nil"/>
              <w:left w:val="nil"/>
              <w:bottom w:val="nil"/>
              <w:right w:val="nil"/>
            </w:tcBorders>
            <w:shd w:val="clear" w:color="000000" w:fill="FFFFFF"/>
            <w:noWrap/>
            <w:vAlign w:val="bottom"/>
            <w:hideMark/>
          </w:tcPr>
          <w:p w14:paraId="70B72D21"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11,77%</w:t>
            </w:r>
          </w:p>
        </w:tc>
        <w:tc>
          <w:tcPr>
            <w:tcW w:w="0" w:type="auto"/>
            <w:tcBorders>
              <w:top w:val="nil"/>
              <w:left w:val="nil"/>
              <w:bottom w:val="nil"/>
              <w:right w:val="nil"/>
            </w:tcBorders>
            <w:shd w:val="clear" w:color="000000" w:fill="FFFFFF"/>
            <w:noWrap/>
            <w:vAlign w:val="bottom"/>
            <w:hideMark/>
          </w:tcPr>
          <w:p w14:paraId="3E4B3DA1"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998.487.223,68 </w:t>
            </w:r>
          </w:p>
        </w:tc>
        <w:tc>
          <w:tcPr>
            <w:tcW w:w="0" w:type="auto"/>
            <w:tcBorders>
              <w:top w:val="nil"/>
              <w:left w:val="single" w:sz="4" w:space="0" w:color="auto"/>
              <w:bottom w:val="nil"/>
              <w:right w:val="nil"/>
            </w:tcBorders>
            <w:shd w:val="clear" w:color="000000" w:fill="FFFFFF"/>
            <w:noWrap/>
            <w:vAlign w:val="bottom"/>
            <w:hideMark/>
          </w:tcPr>
          <w:p w14:paraId="67882007"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w:t>
            </w:r>
          </w:p>
        </w:tc>
        <w:tc>
          <w:tcPr>
            <w:tcW w:w="0" w:type="auto"/>
            <w:tcBorders>
              <w:top w:val="nil"/>
              <w:left w:val="nil"/>
              <w:bottom w:val="nil"/>
              <w:right w:val="nil"/>
            </w:tcBorders>
            <w:shd w:val="clear" w:color="000000" w:fill="FFFFFF"/>
            <w:noWrap/>
            <w:vAlign w:val="bottom"/>
            <w:hideMark/>
          </w:tcPr>
          <w:p w14:paraId="6C41A4E0"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Produtos químicos (média-alta)</w:t>
            </w:r>
          </w:p>
        </w:tc>
        <w:tc>
          <w:tcPr>
            <w:tcW w:w="0" w:type="auto"/>
            <w:tcBorders>
              <w:top w:val="nil"/>
              <w:left w:val="nil"/>
              <w:bottom w:val="nil"/>
              <w:right w:val="nil"/>
            </w:tcBorders>
            <w:shd w:val="clear" w:color="000000" w:fill="FFFFFF"/>
            <w:noWrap/>
            <w:vAlign w:val="bottom"/>
            <w:hideMark/>
          </w:tcPr>
          <w:p w14:paraId="2D5F1AA4"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19,53%</w:t>
            </w:r>
          </w:p>
        </w:tc>
        <w:tc>
          <w:tcPr>
            <w:tcW w:w="0" w:type="auto"/>
            <w:tcBorders>
              <w:top w:val="nil"/>
              <w:left w:val="nil"/>
              <w:bottom w:val="nil"/>
              <w:right w:val="nil"/>
            </w:tcBorders>
            <w:shd w:val="clear" w:color="000000" w:fill="FFFFFF"/>
            <w:noWrap/>
            <w:vAlign w:val="bottom"/>
            <w:hideMark/>
          </w:tcPr>
          <w:p w14:paraId="348DC365"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2.549.374.834,62 </w:t>
            </w:r>
          </w:p>
        </w:tc>
      </w:tr>
      <w:tr w:rsidR="001B6268" w:rsidRPr="001B6268" w14:paraId="78B6C6A0" w14:textId="77777777" w:rsidTr="001B6268">
        <w:trPr>
          <w:trHeight w:val="300"/>
        </w:trPr>
        <w:tc>
          <w:tcPr>
            <w:tcW w:w="0" w:type="auto"/>
            <w:tcBorders>
              <w:top w:val="nil"/>
              <w:left w:val="nil"/>
              <w:bottom w:val="nil"/>
              <w:right w:val="nil"/>
            </w:tcBorders>
            <w:shd w:val="clear" w:color="000000" w:fill="FFFFFF"/>
            <w:noWrap/>
            <w:vAlign w:val="bottom"/>
            <w:hideMark/>
          </w:tcPr>
          <w:p w14:paraId="042143C8"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3</w:t>
            </w:r>
          </w:p>
        </w:tc>
        <w:tc>
          <w:tcPr>
            <w:tcW w:w="0" w:type="auto"/>
            <w:tcBorders>
              <w:top w:val="nil"/>
              <w:left w:val="nil"/>
              <w:bottom w:val="nil"/>
              <w:right w:val="nil"/>
            </w:tcBorders>
            <w:shd w:val="clear" w:color="000000" w:fill="FFFFFF"/>
            <w:noWrap/>
            <w:vAlign w:val="bottom"/>
            <w:hideMark/>
          </w:tcPr>
          <w:p w14:paraId="0B3204DC"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M&amp;E (média-alta)</w:t>
            </w:r>
          </w:p>
        </w:tc>
        <w:tc>
          <w:tcPr>
            <w:tcW w:w="0" w:type="auto"/>
            <w:tcBorders>
              <w:top w:val="nil"/>
              <w:left w:val="nil"/>
              <w:bottom w:val="nil"/>
              <w:right w:val="nil"/>
            </w:tcBorders>
            <w:shd w:val="clear" w:color="000000" w:fill="FFFFFF"/>
            <w:noWrap/>
            <w:vAlign w:val="bottom"/>
            <w:hideMark/>
          </w:tcPr>
          <w:p w14:paraId="18F11E0D"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11,34%</w:t>
            </w:r>
          </w:p>
        </w:tc>
        <w:tc>
          <w:tcPr>
            <w:tcW w:w="0" w:type="auto"/>
            <w:tcBorders>
              <w:top w:val="nil"/>
              <w:left w:val="nil"/>
              <w:bottom w:val="nil"/>
              <w:right w:val="nil"/>
            </w:tcBorders>
            <w:shd w:val="clear" w:color="000000" w:fill="FFFFFF"/>
            <w:noWrap/>
            <w:vAlign w:val="bottom"/>
            <w:hideMark/>
          </w:tcPr>
          <w:p w14:paraId="751AA00D"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961.856.123,91 </w:t>
            </w:r>
          </w:p>
        </w:tc>
        <w:tc>
          <w:tcPr>
            <w:tcW w:w="0" w:type="auto"/>
            <w:tcBorders>
              <w:top w:val="nil"/>
              <w:left w:val="single" w:sz="4" w:space="0" w:color="auto"/>
              <w:bottom w:val="nil"/>
              <w:right w:val="nil"/>
            </w:tcBorders>
            <w:shd w:val="clear" w:color="000000" w:fill="FFFFFF"/>
            <w:noWrap/>
            <w:vAlign w:val="bottom"/>
            <w:hideMark/>
          </w:tcPr>
          <w:p w14:paraId="197B0FEE"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3</w:t>
            </w:r>
          </w:p>
        </w:tc>
        <w:tc>
          <w:tcPr>
            <w:tcW w:w="0" w:type="auto"/>
            <w:tcBorders>
              <w:top w:val="nil"/>
              <w:left w:val="nil"/>
              <w:bottom w:val="nil"/>
              <w:right w:val="nil"/>
            </w:tcBorders>
            <w:shd w:val="clear" w:color="000000" w:fill="FFFFFF"/>
            <w:noWrap/>
            <w:vAlign w:val="bottom"/>
            <w:hideMark/>
          </w:tcPr>
          <w:p w14:paraId="211EE505"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M&amp;E (média-alta)</w:t>
            </w:r>
          </w:p>
        </w:tc>
        <w:tc>
          <w:tcPr>
            <w:tcW w:w="0" w:type="auto"/>
            <w:tcBorders>
              <w:top w:val="nil"/>
              <w:left w:val="nil"/>
              <w:bottom w:val="nil"/>
              <w:right w:val="nil"/>
            </w:tcBorders>
            <w:shd w:val="clear" w:color="000000" w:fill="FFFFFF"/>
            <w:noWrap/>
            <w:vAlign w:val="bottom"/>
            <w:hideMark/>
          </w:tcPr>
          <w:p w14:paraId="3944B633"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10,47%</w:t>
            </w:r>
          </w:p>
        </w:tc>
        <w:tc>
          <w:tcPr>
            <w:tcW w:w="0" w:type="auto"/>
            <w:tcBorders>
              <w:top w:val="nil"/>
              <w:left w:val="nil"/>
              <w:bottom w:val="nil"/>
              <w:right w:val="nil"/>
            </w:tcBorders>
            <w:shd w:val="clear" w:color="000000" w:fill="FFFFFF"/>
            <w:noWrap/>
            <w:vAlign w:val="bottom"/>
            <w:hideMark/>
          </w:tcPr>
          <w:p w14:paraId="1C0EA403"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1.366.903.778,58 </w:t>
            </w:r>
          </w:p>
        </w:tc>
      </w:tr>
      <w:tr w:rsidR="001B6268" w:rsidRPr="001B6268" w14:paraId="1EAA34D5" w14:textId="77777777" w:rsidTr="001B6268">
        <w:trPr>
          <w:trHeight w:val="300"/>
        </w:trPr>
        <w:tc>
          <w:tcPr>
            <w:tcW w:w="0" w:type="auto"/>
            <w:tcBorders>
              <w:top w:val="nil"/>
              <w:left w:val="nil"/>
              <w:bottom w:val="nil"/>
              <w:right w:val="nil"/>
            </w:tcBorders>
            <w:shd w:val="clear" w:color="000000" w:fill="FFFFFF"/>
            <w:noWrap/>
            <w:vAlign w:val="bottom"/>
            <w:hideMark/>
          </w:tcPr>
          <w:p w14:paraId="16EEE987"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4</w:t>
            </w:r>
          </w:p>
        </w:tc>
        <w:tc>
          <w:tcPr>
            <w:tcW w:w="0" w:type="auto"/>
            <w:tcBorders>
              <w:top w:val="nil"/>
              <w:left w:val="nil"/>
              <w:bottom w:val="nil"/>
              <w:right w:val="nil"/>
            </w:tcBorders>
            <w:shd w:val="clear" w:color="000000" w:fill="FFFFFF"/>
            <w:noWrap/>
            <w:vAlign w:val="bottom"/>
            <w:hideMark/>
          </w:tcPr>
          <w:p w14:paraId="6681AE31"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Equip. elétricos (média-alta)</w:t>
            </w:r>
          </w:p>
        </w:tc>
        <w:tc>
          <w:tcPr>
            <w:tcW w:w="0" w:type="auto"/>
            <w:tcBorders>
              <w:top w:val="nil"/>
              <w:left w:val="nil"/>
              <w:bottom w:val="nil"/>
              <w:right w:val="nil"/>
            </w:tcBorders>
            <w:shd w:val="clear" w:color="000000" w:fill="FFFFFF"/>
            <w:noWrap/>
            <w:vAlign w:val="bottom"/>
            <w:hideMark/>
          </w:tcPr>
          <w:p w14:paraId="180478F3"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9,22%</w:t>
            </w:r>
          </w:p>
        </w:tc>
        <w:tc>
          <w:tcPr>
            <w:tcW w:w="0" w:type="auto"/>
            <w:tcBorders>
              <w:top w:val="nil"/>
              <w:left w:val="nil"/>
              <w:bottom w:val="nil"/>
              <w:right w:val="nil"/>
            </w:tcBorders>
            <w:shd w:val="clear" w:color="000000" w:fill="FFFFFF"/>
            <w:noWrap/>
            <w:vAlign w:val="bottom"/>
            <w:hideMark/>
          </w:tcPr>
          <w:p w14:paraId="7EA0D25F"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782.125.772,90 </w:t>
            </w:r>
          </w:p>
        </w:tc>
        <w:tc>
          <w:tcPr>
            <w:tcW w:w="0" w:type="auto"/>
            <w:tcBorders>
              <w:top w:val="nil"/>
              <w:left w:val="single" w:sz="4" w:space="0" w:color="auto"/>
              <w:bottom w:val="nil"/>
              <w:right w:val="nil"/>
            </w:tcBorders>
            <w:shd w:val="clear" w:color="000000" w:fill="FFFFFF"/>
            <w:noWrap/>
            <w:vAlign w:val="bottom"/>
            <w:hideMark/>
          </w:tcPr>
          <w:p w14:paraId="7AB38D61"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4</w:t>
            </w:r>
          </w:p>
        </w:tc>
        <w:tc>
          <w:tcPr>
            <w:tcW w:w="0" w:type="auto"/>
            <w:tcBorders>
              <w:top w:val="nil"/>
              <w:left w:val="nil"/>
              <w:bottom w:val="nil"/>
              <w:right w:val="nil"/>
            </w:tcBorders>
            <w:shd w:val="clear" w:color="000000" w:fill="FFFFFF"/>
            <w:noWrap/>
            <w:vAlign w:val="bottom"/>
            <w:hideMark/>
          </w:tcPr>
          <w:p w14:paraId="5543C0A4"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Informática e eletrônicos (alta)</w:t>
            </w:r>
          </w:p>
        </w:tc>
        <w:tc>
          <w:tcPr>
            <w:tcW w:w="0" w:type="auto"/>
            <w:tcBorders>
              <w:top w:val="nil"/>
              <w:left w:val="nil"/>
              <w:bottom w:val="nil"/>
              <w:right w:val="nil"/>
            </w:tcBorders>
            <w:shd w:val="clear" w:color="000000" w:fill="FFFFFF"/>
            <w:noWrap/>
            <w:vAlign w:val="bottom"/>
            <w:hideMark/>
          </w:tcPr>
          <w:p w14:paraId="23423DE7"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8,83%</w:t>
            </w:r>
          </w:p>
        </w:tc>
        <w:tc>
          <w:tcPr>
            <w:tcW w:w="0" w:type="auto"/>
            <w:tcBorders>
              <w:top w:val="nil"/>
              <w:left w:val="nil"/>
              <w:bottom w:val="nil"/>
              <w:right w:val="nil"/>
            </w:tcBorders>
            <w:shd w:val="clear" w:color="000000" w:fill="FFFFFF"/>
            <w:noWrap/>
            <w:vAlign w:val="bottom"/>
            <w:hideMark/>
          </w:tcPr>
          <w:p w14:paraId="3F4D9717"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1.153.383.512,94 </w:t>
            </w:r>
          </w:p>
        </w:tc>
      </w:tr>
      <w:tr w:rsidR="001B6268" w:rsidRPr="001B6268" w14:paraId="3604C2E5" w14:textId="77777777" w:rsidTr="001B6268">
        <w:trPr>
          <w:trHeight w:val="300"/>
        </w:trPr>
        <w:tc>
          <w:tcPr>
            <w:tcW w:w="0" w:type="auto"/>
            <w:tcBorders>
              <w:top w:val="nil"/>
              <w:left w:val="nil"/>
              <w:bottom w:val="nil"/>
              <w:right w:val="nil"/>
            </w:tcBorders>
            <w:shd w:val="clear" w:color="000000" w:fill="FFFFFF"/>
            <w:noWrap/>
            <w:vAlign w:val="bottom"/>
            <w:hideMark/>
          </w:tcPr>
          <w:p w14:paraId="02B9A34D"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5</w:t>
            </w:r>
          </w:p>
        </w:tc>
        <w:tc>
          <w:tcPr>
            <w:tcW w:w="0" w:type="auto"/>
            <w:tcBorders>
              <w:top w:val="nil"/>
              <w:left w:val="nil"/>
              <w:bottom w:val="nil"/>
              <w:right w:val="nil"/>
            </w:tcBorders>
            <w:shd w:val="clear" w:color="000000" w:fill="FFFFFF"/>
            <w:noWrap/>
            <w:vAlign w:val="bottom"/>
            <w:hideMark/>
          </w:tcPr>
          <w:p w14:paraId="26BA853C"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Madeira (baixa)</w:t>
            </w:r>
          </w:p>
        </w:tc>
        <w:tc>
          <w:tcPr>
            <w:tcW w:w="0" w:type="auto"/>
            <w:tcBorders>
              <w:top w:val="nil"/>
              <w:left w:val="nil"/>
              <w:bottom w:val="nil"/>
              <w:right w:val="nil"/>
            </w:tcBorders>
            <w:shd w:val="clear" w:color="000000" w:fill="FFFFFF"/>
            <w:noWrap/>
            <w:vAlign w:val="bottom"/>
            <w:hideMark/>
          </w:tcPr>
          <w:p w14:paraId="5C96147B"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5,62%</w:t>
            </w:r>
          </w:p>
        </w:tc>
        <w:tc>
          <w:tcPr>
            <w:tcW w:w="0" w:type="auto"/>
            <w:tcBorders>
              <w:top w:val="nil"/>
              <w:left w:val="nil"/>
              <w:bottom w:val="nil"/>
              <w:right w:val="nil"/>
            </w:tcBorders>
            <w:shd w:val="clear" w:color="000000" w:fill="FFFFFF"/>
            <w:noWrap/>
            <w:vAlign w:val="bottom"/>
            <w:hideMark/>
          </w:tcPr>
          <w:p w14:paraId="049CA0AF"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476.171.823,11 </w:t>
            </w:r>
          </w:p>
        </w:tc>
        <w:tc>
          <w:tcPr>
            <w:tcW w:w="0" w:type="auto"/>
            <w:tcBorders>
              <w:top w:val="nil"/>
              <w:left w:val="single" w:sz="4" w:space="0" w:color="auto"/>
              <w:bottom w:val="nil"/>
              <w:right w:val="nil"/>
            </w:tcBorders>
            <w:shd w:val="clear" w:color="000000" w:fill="FFFFFF"/>
            <w:noWrap/>
            <w:vAlign w:val="bottom"/>
            <w:hideMark/>
          </w:tcPr>
          <w:p w14:paraId="07CCFF91"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5</w:t>
            </w:r>
          </w:p>
        </w:tc>
        <w:tc>
          <w:tcPr>
            <w:tcW w:w="0" w:type="auto"/>
            <w:tcBorders>
              <w:top w:val="nil"/>
              <w:left w:val="nil"/>
              <w:bottom w:val="nil"/>
              <w:right w:val="nil"/>
            </w:tcBorders>
            <w:shd w:val="clear" w:color="000000" w:fill="FFFFFF"/>
            <w:noWrap/>
            <w:vAlign w:val="bottom"/>
            <w:hideMark/>
          </w:tcPr>
          <w:p w14:paraId="5E7514AC"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Têxteis (baixa)</w:t>
            </w:r>
          </w:p>
        </w:tc>
        <w:tc>
          <w:tcPr>
            <w:tcW w:w="0" w:type="auto"/>
            <w:tcBorders>
              <w:top w:val="nil"/>
              <w:left w:val="nil"/>
              <w:bottom w:val="nil"/>
              <w:right w:val="nil"/>
            </w:tcBorders>
            <w:shd w:val="clear" w:color="000000" w:fill="FFFFFF"/>
            <w:noWrap/>
            <w:vAlign w:val="bottom"/>
            <w:hideMark/>
          </w:tcPr>
          <w:p w14:paraId="4CA6F0C3"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7,45%</w:t>
            </w:r>
          </w:p>
        </w:tc>
        <w:tc>
          <w:tcPr>
            <w:tcW w:w="0" w:type="auto"/>
            <w:tcBorders>
              <w:top w:val="nil"/>
              <w:left w:val="nil"/>
              <w:bottom w:val="nil"/>
              <w:right w:val="nil"/>
            </w:tcBorders>
            <w:shd w:val="clear" w:color="000000" w:fill="FFFFFF"/>
            <w:noWrap/>
            <w:vAlign w:val="bottom"/>
            <w:hideMark/>
          </w:tcPr>
          <w:p w14:paraId="3B6F405B"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973.090.982,59 </w:t>
            </w:r>
          </w:p>
        </w:tc>
      </w:tr>
      <w:tr w:rsidR="001B6268" w:rsidRPr="001B6268" w14:paraId="33071057" w14:textId="77777777" w:rsidTr="001B6268">
        <w:trPr>
          <w:trHeight w:val="300"/>
        </w:trPr>
        <w:tc>
          <w:tcPr>
            <w:tcW w:w="0" w:type="auto"/>
            <w:tcBorders>
              <w:top w:val="nil"/>
              <w:left w:val="nil"/>
              <w:bottom w:val="nil"/>
              <w:right w:val="nil"/>
            </w:tcBorders>
            <w:shd w:val="clear" w:color="000000" w:fill="FFFFFF"/>
            <w:noWrap/>
            <w:vAlign w:val="bottom"/>
            <w:hideMark/>
          </w:tcPr>
          <w:p w14:paraId="6FB58AE1"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w:t>
            </w:r>
          </w:p>
        </w:tc>
        <w:tc>
          <w:tcPr>
            <w:tcW w:w="0" w:type="auto"/>
            <w:gridSpan w:val="3"/>
            <w:tcBorders>
              <w:top w:val="nil"/>
              <w:left w:val="nil"/>
              <w:bottom w:val="nil"/>
              <w:right w:val="nil"/>
            </w:tcBorders>
            <w:shd w:val="clear" w:color="000000" w:fill="FFFFFF"/>
            <w:noWrap/>
            <w:vAlign w:val="bottom"/>
            <w:hideMark/>
          </w:tcPr>
          <w:p w14:paraId="229DC2B7"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2018</w:t>
            </w:r>
          </w:p>
        </w:tc>
        <w:tc>
          <w:tcPr>
            <w:tcW w:w="0" w:type="auto"/>
            <w:tcBorders>
              <w:top w:val="nil"/>
              <w:left w:val="single" w:sz="4" w:space="0" w:color="auto"/>
              <w:bottom w:val="nil"/>
              <w:right w:val="nil"/>
            </w:tcBorders>
            <w:shd w:val="clear" w:color="000000" w:fill="FFFFFF"/>
            <w:noWrap/>
            <w:vAlign w:val="bottom"/>
            <w:hideMark/>
          </w:tcPr>
          <w:p w14:paraId="1943AC64"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 </w:t>
            </w:r>
          </w:p>
        </w:tc>
        <w:tc>
          <w:tcPr>
            <w:tcW w:w="0" w:type="auto"/>
            <w:gridSpan w:val="3"/>
            <w:tcBorders>
              <w:top w:val="nil"/>
              <w:left w:val="nil"/>
              <w:bottom w:val="nil"/>
              <w:right w:val="nil"/>
            </w:tcBorders>
            <w:shd w:val="clear" w:color="000000" w:fill="FFFFFF"/>
            <w:noWrap/>
            <w:vAlign w:val="bottom"/>
            <w:hideMark/>
          </w:tcPr>
          <w:p w14:paraId="54393DDC"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2018</w:t>
            </w:r>
          </w:p>
        </w:tc>
      </w:tr>
      <w:tr w:rsidR="001B6268" w:rsidRPr="001B6268" w14:paraId="4B36BD09" w14:textId="77777777" w:rsidTr="001B6268">
        <w:trPr>
          <w:trHeight w:val="300"/>
        </w:trPr>
        <w:tc>
          <w:tcPr>
            <w:tcW w:w="0" w:type="auto"/>
            <w:tcBorders>
              <w:top w:val="nil"/>
              <w:left w:val="nil"/>
              <w:bottom w:val="nil"/>
              <w:right w:val="nil"/>
            </w:tcBorders>
            <w:shd w:val="clear" w:color="000000" w:fill="FFFFFF"/>
            <w:noWrap/>
            <w:vAlign w:val="bottom"/>
            <w:hideMark/>
          </w:tcPr>
          <w:p w14:paraId="310AB744"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w:t>
            </w:r>
          </w:p>
        </w:tc>
        <w:tc>
          <w:tcPr>
            <w:tcW w:w="0" w:type="auto"/>
            <w:tcBorders>
              <w:top w:val="nil"/>
              <w:left w:val="nil"/>
              <w:bottom w:val="nil"/>
              <w:right w:val="nil"/>
            </w:tcBorders>
            <w:shd w:val="clear" w:color="000000" w:fill="FFFFFF"/>
            <w:noWrap/>
            <w:vAlign w:val="bottom"/>
            <w:hideMark/>
          </w:tcPr>
          <w:p w14:paraId="0325877F" w14:textId="77777777" w:rsidR="001B6268" w:rsidRPr="001B6268" w:rsidRDefault="001B6268" w:rsidP="001B6268">
            <w:pPr>
              <w:spacing w:after="0" w:line="240" w:lineRule="auto"/>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Setor</w:t>
            </w:r>
          </w:p>
        </w:tc>
        <w:tc>
          <w:tcPr>
            <w:tcW w:w="0" w:type="auto"/>
            <w:tcBorders>
              <w:top w:val="nil"/>
              <w:left w:val="nil"/>
              <w:bottom w:val="nil"/>
              <w:right w:val="nil"/>
            </w:tcBorders>
            <w:shd w:val="clear" w:color="000000" w:fill="FFFFFF"/>
            <w:noWrap/>
            <w:vAlign w:val="bottom"/>
            <w:hideMark/>
          </w:tcPr>
          <w:p w14:paraId="51CBB3CE"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w:t>
            </w:r>
          </w:p>
        </w:tc>
        <w:tc>
          <w:tcPr>
            <w:tcW w:w="0" w:type="auto"/>
            <w:tcBorders>
              <w:top w:val="nil"/>
              <w:left w:val="nil"/>
              <w:bottom w:val="nil"/>
              <w:right w:val="nil"/>
            </w:tcBorders>
            <w:shd w:val="clear" w:color="000000" w:fill="FFFFFF"/>
            <w:noWrap/>
            <w:vAlign w:val="bottom"/>
            <w:hideMark/>
          </w:tcPr>
          <w:p w14:paraId="0EBDC72C"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(US$)</w:t>
            </w:r>
          </w:p>
        </w:tc>
        <w:tc>
          <w:tcPr>
            <w:tcW w:w="0" w:type="auto"/>
            <w:tcBorders>
              <w:top w:val="nil"/>
              <w:left w:val="single" w:sz="4" w:space="0" w:color="auto"/>
              <w:bottom w:val="nil"/>
              <w:right w:val="nil"/>
            </w:tcBorders>
            <w:shd w:val="clear" w:color="000000" w:fill="FFFFFF"/>
            <w:noWrap/>
            <w:vAlign w:val="bottom"/>
            <w:hideMark/>
          </w:tcPr>
          <w:p w14:paraId="218EAB98"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 </w:t>
            </w:r>
          </w:p>
        </w:tc>
        <w:tc>
          <w:tcPr>
            <w:tcW w:w="0" w:type="auto"/>
            <w:tcBorders>
              <w:top w:val="nil"/>
              <w:left w:val="nil"/>
              <w:bottom w:val="nil"/>
              <w:right w:val="nil"/>
            </w:tcBorders>
            <w:shd w:val="clear" w:color="000000" w:fill="FFFFFF"/>
            <w:noWrap/>
            <w:vAlign w:val="bottom"/>
            <w:hideMark/>
          </w:tcPr>
          <w:p w14:paraId="79599A11" w14:textId="77777777" w:rsidR="001B6268" w:rsidRPr="001B6268" w:rsidRDefault="001B6268" w:rsidP="001B6268">
            <w:pPr>
              <w:spacing w:after="0" w:line="240" w:lineRule="auto"/>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Setor</w:t>
            </w:r>
          </w:p>
        </w:tc>
        <w:tc>
          <w:tcPr>
            <w:tcW w:w="0" w:type="auto"/>
            <w:tcBorders>
              <w:top w:val="nil"/>
              <w:left w:val="nil"/>
              <w:bottom w:val="nil"/>
              <w:right w:val="nil"/>
            </w:tcBorders>
            <w:shd w:val="clear" w:color="000000" w:fill="FFFFFF"/>
            <w:noWrap/>
            <w:vAlign w:val="bottom"/>
            <w:hideMark/>
          </w:tcPr>
          <w:p w14:paraId="7D7872B0"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w:t>
            </w:r>
          </w:p>
        </w:tc>
        <w:tc>
          <w:tcPr>
            <w:tcW w:w="0" w:type="auto"/>
            <w:tcBorders>
              <w:top w:val="nil"/>
              <w:left w:val="nil"/>
              <w:bottom w:val="nil"/>
              <w:right w:val="nil"/>
            </w:tcBorders>
            <w:shd w:val="clear" w:color="000000" w:fill="FFFFFF"/>
            <w:noWrap/>
            <w:vAlign w:val="bottom"/>
            <w:hideMark/>
          </w:tcPr>
          <w:p w14:paraId="10D4B52A"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(US$)</w:t>
            </w:r>
          </w:p>
        </w:tc>
      </w:tr>
      <w:tr w:rsidR="001B6268" w:rsidRPr="001B6268" w14:paraId="4B7DA9BA" w14:textId="77777777" w:rsidTr="001B6268">
        <w:trPr>
          <w:trHeight w:val="300"/>
        </w:trPr>
        <w:tc>
          <w:tcPr>
            <w:tcW w:w="0" w:type="auto"/>
            <w:tcBorders>
              <w:top w:val="nil"/>
              <w:left w:val="nil"/>
              <w:bottom w:val="nil"/>
              <w:right w:val="nil"/>
            </w:tcBorders>
            <w:shd w:val="clear" w:color="000000" w:fill="FFFFFF"/>
            <w:noWrap/>
            <w:vAlign w:val="bottom"/>
            <w:hideMark/>
          </w:tcPr>
          <w:p w14:paraId="0DFEE5A1"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w:t>
            </w:r>
          </w:p>
        </w:tc>
        <w:tc>
          <w:tcPr>
            <w:tcW w:w="0" w:type="auto"/>
            <w:tcBorders>
              <w:top w:val="nil"/>
              <w:left w:val="nil"/>
              <w:bottom w:val="nil"/>
              <w:right w:val="nil"/>
            </w:tcBorders>
            <w:shd w:val="clear" w:color="000000" w:fill="FFFFFF"/>
            <w:noWrap/>
            <w:vAlign w:val="bottom"/>
            <w:hideMark/>
          </w:tcPr>
          <w:p w14:paraId="06BBFF6C"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Alimentos (baixa)</w:t>
            </w:r>
          </w:p>
        </w:tc>
        <w:tc>
          <w:tcPr>
            <w:tcW w:w="0" w:type="auto"/>
            <w:tcBorders>
              <w:top w:val="nil"/>
              <w:left w:val="nil"/>
              <w:bottom w:val="nil"/>
              <w:right w:val="nil"/>
            </w:tcBorders>
            <w:shd w:val="clear" w:color="000000" w:fill="FFFFFF"/>
            <w:noWrap/>
            <w:vAlign w:val="bottom"/>
            <w:hideMark/>
          </w:tcPr>
          <w:p w14:paraId="754292F8"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39,95%</w:t>
            </w:r>
          </w:p>
        </w:tc>
        <w:tc>
          <w:tcPr>
            <w:tcW w:w="0" w:type="auto"/>
            <w:tcBorders>
              <w:top w:val="nil"/>
              <w:left w:val="nil"/>
              <w:bottom w:val="nil"/>
              <w:right w:val="nil"/>
            </w:tcBorders>
            <w:shd w:val="clear" w:color="000000" w:fill="FFFFFF"/>
            <w:noWrap/>
            <w:vAlign w:val="bottom"/>
            <w:hideMark/>
          </w:tcPr>
          <w:p w14:paraId="160D31E7"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3.336.012.094,28 </w:t>
            </w:r>
          </w:p>
        </w:tc>
        <w:tc>
          <w:tcPr>
            <w:tcW w:w="0" w:type="auto"/>
            <w:tcBorders>
              <w:top w:val="nil"/>
              <w:left w:val="single" w:sz="4" w:space="0" w:color="auto"/>
              <w:bottom w:val="nil"/>
              <w:right w:val="nil"/>
            </w:tcBorders>
            <w:shd w:val="clear" w:color="000000" w:fill="FFFFFF"/>
            <w:noWrap/>
            <w:vAlign w:val="bottom"/>
            <w:hideMark/>
          </w:tcPr>
          <w:p w14:paraId="13401D7F"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w:t>
            </w:r>
          </w:p>
        </w:tc>
        <w:tc>
          <w:tcPr>
            <w:tcW w:w="0" w:type="auto"/>
            <w:tcBorders>
              <w:top w:val="nil"/>
              <w:left w:val="nil"/>
              <w:bottom w:val="nil"/>
              <w:right w:val="nil"/>
            </w:tcBorders>
            <w:shd w:val="clear" w:color="000000" w:fill="FFFFFF"/>
            <w:noWrap/>
            <w:vAlign w:val="bottom"/>
            <w:hideMark/>
          </w:tcPr>
          <w:p w14:paraId="1DB85BEB"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Produtos químicos (média-alta)</w:t>
            </w:r>
          </w:p>
        </w:tc>
        <w:tc>
          <w:tcPr>
            <w:tcW w:w="0" w:type="auto"/>
            <w:tcBorders>
              <w:top w:val="nil"/>
              <w:left w:val="nil"/>
              <w:bottom w:val="nil"/>
              <w:right w:val="nil"/>
            </w:tcBorders>
            <w:shd w:val="clear" w:color="000000" w:fill="FFFFFF"/>
            <w:noWrap/>
            <w:vAlign w:val="bottom"/>
            <w:hideMark/>
          </w:tcPr>
          <w:p w14:paraId="44AB047D"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22,26%</w:t>
            </w:r>
          </w:p>
        </w:tc>
        <w:tc>
          <w:tcPr>
            <w:tcW w:w="0" w:type="auto"/>
            <w:tcBorders>
              <w:top w:val="nil"/>
              <w:left w:val="nil"/>
              <w:bottom w:val="nil"/>
              <w:right w:val="nil"/>
            </w:tcBorders>
            <w:shd w:val="clear" w:color="000000" w:fill="FFFFFF"/>
            <w:noWrap/>
            <w:vAlign w:val="bottom"/>
            <w:hideMark/>
          </w:tcPr>
          <w:p w14:paraId="6FD7F923"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3.394.137.198,51 </w:t>
            </w:r>
          </w:p>
        </w:tc>
      </w:tr>
      <w:tr w:rsidR="001B6268" w:rsidRPr="001B6268" w14:paraId="2FDFEA97" w14:textId="77777777" w:rsidTr="001B6268">
        <w:trPr>
          <w:trHeight w:val="300"/>
        </w:trPr>
        <w:tc>
          <w:tcPr>
            <w:tcW w:w="0" w:type="auto"/>
            <w:tcBorders>
              <w:top w:val="nil"/>
              <w:left w:val="nil"/>
              <w:bottom w:val="nil"/>
              <w:right w:val="nil"/>
            </w:tcBorders>
            <w:shd w:val="clear" w:color="000000" w:fill="FFFFFF"/>
            <w:noWrap/>
            <w:vAlign w:val="bottom"/>
            <w:hideMark/>
          </w:tcPr>
          <w:p w14:paraId="2EE521B5"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w:t>
            </w:r>
          </w:p>
        </w:tc>
        <w:tc>
          <w:tcPr>
            <w:tcW w:w="0" w:type="auto"/>
            <w:tcBorders>
              <w:top w:val="nil"/>
              <w:left w:val="nil"/>
              <w:bottom w:val="nil"/>
              <w:right w:val="nil"/>
            </w:tcBorders>
            <w:shd w:val="clear" w:color="000000" w:fill="FFFFFF"/>
            <w:noWrap/>
            <w:vAlign w:val="bottom"/>
            <w:hideMark/>
          </w:tcPr>
          <w:p w14:paraId="274AEE21"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Madeira (baixa)</w:t>
            </w:r>
          </w:p>
        </w:tc>
        <w:tc>
          <w:tcPr>
            <w:tcW w:w="0" w:type="auto"/>
            <w:tcBorders>
              <w:top w:val="nil"/>
              <w:left w:val="nil"/>
              <w:bottom w:val="nil"/>
              <w:right w:val="nil"/>
            </w:tcBorders>
            <w:shd w:val="clear" w:color="000000" w:fill="FFFFFF"/>
            <w:noWrap/>
            <w:vAlign w:val="bottom"/>
            <w:hideMark/>
          </w:tcPr>
          <w:p w14:paraId="009E2582"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11,25%</w:t>
            </w:r>
          </w:p>
        </w:tc>
        <w:tc>
          <w:tcPr>
            <w:tcW w:w="0" w:type="auto"/>
            <w:tcBorders>
              <w:top w:val="nil"/>
              <w:left w:val="nil"/>
              <w:bottom w:val="nil"/>
              <w:right w:val="nil"/>
            </w:tcBorders>
            <w:shd w:val="clear" w:color="000000" w:fill="FFFFFF"/>
            <w:noWrap/>
            <w:vAlign w:val="bottom"/>
            <w:hideMark/>
          </w:tcPr>
          <w:p w14:paraId="4E11A492"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939.666.367,04 </w:t>
            </w:r>
          </w:p>
        </w:tc>
        <w:tc>
          <w:tcPr>
            <w:tcW w:w="0" w:type="auto"/>
            <w:tcBorders>
              <w:top w:val="nil"/>
              <w:left w:val="single" w:sz="4" w:space="0" w:color="auto"/>
              <w:bottom w:val="nil"/>
              <w:right w:val="nil"/>
            </w:tcBorders>
            <w:shd w:val="clear" w:color="000000" w:fill="FFFFFF"/>
            <w:noWrap/>
            <w:vAlign w:val="bottom"/>
            <w:hideMark/>
          </w:tcPr>
          <w:p w14:paraId="15E365A9"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w:t>
            </w:r>
          </w:p>
        </w:tc>
        <w:tc>
          <w:tcPr>
            <w:tcW w:w="0" w:type="auto"/>
            <w:tcBorders>
              <w:top w:val="nil"/>
              <w:left w:val="nil"/>
              <w:bottom w:val="nil"/>
              <w:right w:val="nil"/>
            </w:tcBorders>
            <w:shd w:val="clear" w:color="000000" w:fill="FFFFFF"/>
            <w:noWrap/>
            <w:vAlign w:val="bottom"/>
            <w:hideMark/>
          </w:tcPr>
          <w:p w14:paraId="4FBFC38F"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Metais básicos (média-baixa)</w:t>
            </w:r>
          </w:p>
        </w:tc>
        <w:tc>
          <w:tcPr>
            <w:tcW w:w="0" w:type="auto"/>
            <w:tcBorders>
              <w:top w:val="nil"/>
              <w:left w:val="nil"/>
              <w:bottom w:val="nil"/>
              <w:right w:val="nil"/>
            </w:tcBorders>
            <w:shd w:val="clear" w:color="000000" w:fill="FFFFFF"/>
            <w:noWrap/>
            <w:vAlign w:val="bottom"/>
            <w:hideMark/>
          </w:tcPr>
          <w:p w14:paraId="0ABE2383"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13,67%</w:t>
            </w:r>
          </w:p>
        </w:tc>
        <w:tc>
          <w:tcPr>
            <w:tcW w:w="0" w:type="auto"/>
            <w:tcBorders>
              <w:top w:val="nil"/>
              <w:left w:val="nil"/>
              <w:bottom w:val="nil"/>
              <w:right w:val="nil"/>
            </w:tcBorders>
            <w:shd w:val="clear" w:color="000000" w:fill="FFFFFF"/>
            <w:noWrap/>
            <w:vAlign w:val="bottom"/>
            <w:hideMark/>
          </w:tcPr>
          <w:p w14:paraId="3B6514E8"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2.084.339.291,44 </w:t>
            </w:r>
          </w:p>
        </w:tc>
      </w:tr>
      <w:tr w:rsidR="001B6268" w:rsidRPr="001B6268" w14:paraId="0998B7BE" w14:textId="77777777" w:rsidTr="001B6268">
        <w:trPr>
          <w:trHeight w:val="300"/>
        </w:trPr>
        <w:tc>
          <w:tcPr>
            <w:tcW w:w="0" w:type="auto"/>
            <w:tcBorders>
              <w:top w:val="nil"/>
              <w:left w:val="nil"/>
              <w:bottom w:val="nil"/>
              <w:right w:val="nil"/>
            </w:tcBorders>
            <w:shd w:val="clear" w:color="000000" w:fill="FFFFFF"/>
            <w:noWrap/>
            <w:vAlign w:val="bottom"/>
            <w:hideMark/>
          </w:tcPr>
          <w:p w14:paraId="3C376252"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3</w:t>
            </w:r>
          </w:p>
        </w:tc>
        <w:tc>
          <w:tcPr>
            <w:tcW w:w="0" w:type="auto"/>
            <w:tcBorders>
              <w:top w:val="nil"/>
              <w:left w:val="nil"/>
              <w:bottom w:val="nil"/>
              <w:right w:val="nil"/>
            </w:tcBorders>
            <w:shd w:val="clear" w:color="000000" w:fill="FFFFFF"/>
            <w:noWrap/>
            <w:vAlign w:val="bottom"/>
            <w:hideMark/>
          </w:tcPr>
          <w:p w14:paraId="33C3B7DC"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M&amp;E (média-alta)</w:t>
            </w:r>
          </w:p>
        </w:tc>
        <w:tc>
          <w:tcPr>
            <w:tcW w:w="0" w:type="auto"/>
            <w:tcBorders>
              <w:top w:val="nil"/>
              <w:left w:val="nil"/>
              <w:bottom w:val="nil"/>
              <w:right w:val="nil"/>
            </w:tcBorders>
            <w:shd w:val="clear" w:color="000000" w:fill="FFFFFF"/>
            <w:noWrap/>
            <w:vAlign w:val="bottom"/>
            <w:hideMark/>
          </w:tcPr>
          <w:p w14:paraId="7671451D"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7,90%</w:t>
            </w:r>
          </w:p>
        </w:tc>
        <w:tc>
          <w:tcPr>
            <w:tcW w:w="0" w:type="auto"/>
            <w:tcBorders>
              <w:top w:val="nil"/>
              <w:left w:val="nil"/>
              <w:bottom w:val="nil"/>
              <w:right w:val="nil"/>
            </w:tcBorders>
            <w:shd w:val="clear" w:color="000000" w:fill="FFFFFF"/>
            <w:noWrap/>
            <w:vAlign w:val="bottom"/>
            <w:hideMark/>
          </w:tcPr>
          <w:p w14:paraId="727573B3"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659.980.533,72 </w:t>
            </w:r>
          </w:p>
        </w:tc>
        <w:tc>
          <w:tcPr>
            <w:tcW w:w="0" w:type="auto"/>
            <w:tcBorders>
              <w:top w:val="nil"/>
              <w:left w:val="single" w:sz="4" w:space="0" w:color="auto"/>
              <w:bottom w:val="nil"/>
              <w:right w:val="nil"/>
            </w:tcBorders>
            <w:shd w:val="clear" w:color="000000" w:fill="FFFFFF"/>
            <w:noWrap/>
            <w:vAlign w:val="bottom"/>
            <w:hideMark/>
          </w:tcPr>
          <w:p w14:paraId="1EE49822"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3</w:t>
            </w:r>
          </w:p>
        </w:tc>
        <w:tc>
          <w:tcPr>
            <w:tcW w:w="0" w:type="auto"/>
            <w:tcBorders>
              <w:top w:val="nil"/>
              <w:left w:val="nil"/>
              <w:bottom w:val="nil"/>
              <w:right w:val="nil"/>
            </w:tcBorders>
            <w:shd w:val="clear" w:color="000000" w:fill="FFFFFF"/>
            <w:noWrap/>
            <w:vAlign w:val="bottom"/>
            <w:hideMark/>
          </w:tcPr>
          <w:p w14:paraId="42AD1ECD"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M&amp;E (média-alta)</w:t>
            </w:r>
          </w:p>
        </w:tc>
        <w:tc>
          <w:tcPr>
            <w:tcW w:w="0" w:type="auto"/>
            <w:tcBorders>
              <w:top w:val="nil"/>
              <w:left w:val="nil"/>
              <w:bottom w:val="nil"/>
              <w:right w:val="nil"/>
            </w:tcBorders>
            <w:shd w:val="clear" w:color="000000" w:fill="FFFFFF"/>
            <w:noWrap/>
            <w:vAlign w:val="bottom"/>
            <w:hideMark/>
          </w:tcPr>
          <w:p w14:paraId="06837F22"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9,01%</w:t>
            </w:r>
          </w:p>
        </w:tc>
        <w:tc>
          <w:tcPr>
            <w:tcW w:w="0" w:type="auto"/>
            <w:tcBorders>
              <w:top w:val="nil"/>
              <w:left w:val="nil"/>
              <w:bottom w:val="nil"/>
              <w:right w:val="nil"/>
            </w:tcBorders>
            <w:shd w:val="clear" w:color="000000" w:fill="FFFFFF"/>
            <w:noWrap/>
            <w:vAlign w:val="bottom"/>
            <w:hideMark/>
          </w:tcPr>
          <w:p w14:paraId="7DB0FAF6"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1.374.434.844,19 </w:t>
            </w:r>
          </w:p>
        </w:tc>
      </w:tr>
      <w:tr w:rsidR="001B6268" w:rsidRPr="001B6268" w14:paraId="0546CECA" w14:textId="77777777" w:rsidTr="001B6268">
        <w:trPr>
          <w:trHeight w:val="300"/>
        </w:trPr>
        <w:tc>
          <w:tcPr>
            <w:tcW w:w="0" w:type="auto"/>
            <w:tcBorders>
              <w:top w:val="nil"/>
              <w:left w:val="nil"/>
              <w:bottom w:val="nil"/>
              <w:right w:val="nil"/>
            </w:tcBorders>
            <w:shd w:val="clear" w:color="000000" w:fill="FFFFFF"/>
            <w:noWrap/>
            <w:vAlign w:val="bottom"/>
            <w:hideMark/>
          </w:tcPr>
          <w:p w14:paraId="42CD979D"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4</w:t>
            </w:r>
          </w:p>
        </w:tc>
        <w:tc>
          <w:tcPr>
            <w:tcW w:w="0" w:type="auto"/>
            <w:tcBorders>
              <w:top w:val="nil"/>
              <w:left w:val="nil"/>
              <w:bottom w:val="nil"/>
              <w:right w:val="nil"/>
            </w:tcBorders>
            <w:shd w:val="clear" w:color="000000" w:fill="FFFFFF"/>
            <w:noWrap/>
            <w:vAlign w:val="bottom"/>
            <w:hideMark/>
          </w:tcPr>
          <w:p w14:paraId="643E4696"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Equip. elétricos (média-alta)</w:t>
            </w:r>
          </w:p>
        </w:tc>
        <w:tc>
          <w:tcPr>
            <w:tcW w:w="0" w:type="auto"/>
            <w:tcBorders>
              <w:top w:val="nil"/>
              <w:left w:val="nil"/>
              <w:bottom w:val="nil"/>
              <w:right w:val="nil"/>
            </w:tcBorders>
            <w:shd w:val="clear" w:color="000000" w:fill="FFFFFF"/>
            <w:noWrap/>
            <w:vAlign w:val="bottom"/>
            <w:hideMark/>
          </w:tcPr>
          <w:p w14:paraId="4426DF8E"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7,79%</w:t>
            </w:r>
          </w:p>
        </w:tc>
        <w:tc>
          <w:tcPr>
            <w:tcW w:w="0" w:type="auto"/>
            <w:tcBorders>
              <w:top w:val="nil"/>
              <w:left w:val="nil"/>
              <w:bottom w:val="nil"/>
              <w:right w:val="nil"/>
            </w:tcBorders>
            <w:shd w:val="clear" w:color="000000" w:fill="FFFFFF"/>
            <w:noWrap/>
            <w:vAlign w:val="bottom"/>
            <w:hideMark/>
          </w:tcPr>
          <w:p w14:paraId="225B161E"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650.206.550,10 </w:t>
            </w:r>
          </w:p>
        </w:tc>
        <w:tc>
          <w:tcPr>
            <w:tcW w:w="0" w:type="auto"/>
            <w:tcBorders>
              <w:top w:val="nil"/>
              <w:left w:val="single" w:sz="4" w:space="0" w:color="auto"/>
              <w:bottom w:val="nil"/>
              <w:right w:val="nil"/>
            </w:tcBorders>
            <w:shd w:val="clear" w:color="000000" w:fill="FFFFFF"/>
            <w:noWrap/>
            <w:vAlign w:val="bottom"/>
            <w:hideMark/>
          </w:tcPr>
          <w:p w14:paraId="1B6C33F9"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4</w:t>
            </w:r>
          </w:p>
        </w:tc>
        <w:tc>
          <w:tcPr>
            <w:tcW w:w="0" w:type="auto"/>
            <w:tcBorders>
              <w:top w:val="nil"/>
              <w:left w:val="nil"/>
              <w:bottom w:val="nil"/>
              <w:right w:val="nil"/>
            </w:tcBorders>
            <w:shd w:val="clear" w:color="000000" w:fill="FFFFFF"/>
            <w:noWrap/>
            <w:vAlign w:val="bottom"/>
            <w:hideMark/>
          </w:tcPr>
          <w:p w14:paraId="21129E57"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Têxteis (baixa)</w:t>
            </w:r>
          </w:p>
        </w:tc>
        <w:tc>
          <w:tcPr>
            <w:tcW w:w="0" w:type="auto"/>
            <w:tcBorders>
              <w:top w:val="nil"/>
              <w:left w:val="nil"/>
              <w:bottom w:val="nil"/>
              <w:right w:val="nil"/>
            </w:tcBorders>
            <w:shd w:val="clear" w:color="000000" w:fill="FFFFFF"/>
            <w:noWrap/>
            <w:vAlign w:val="bottom"/>
            <w:hideMark/>
          </w:tcPr>
          <w:p w14:paraId="62514300"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7,06%</w:t>
            </w:r>
          </w:p>
        </w:tc>
        <w:tc>
          <w:tcPr>
            <w:tcW w:w="0" w:type="auto"/>
            <w:tcBorders>
              <w:top w:val="nil"/>
              <w:left w:val="nil"/>
              <w:bottom w:val="nil"/>
              <w:right w:val="nil"/>
            </w:tcBorders>
            <w:shd w:val="clear" w:color="000000" w:fill="FFFFFF"/>
            <w:noWrap/>
            <w:vAlign w:val="bottom"/>
            <w:hideMark/>
          </w:tcPr>
          <w:p w14:paraId="62843735"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1.076.958.645,31 </w:t>
            </w:r>
          </w:p>
        </w:tc>
      </w:tr>
      <w:tr w:rsidR="001B6268" w:rsidRPr="001B6268" w14:paraId="7A84A172" w14:textId="77777777" w:rsidTr="001B6268">
        <w:trPr>
          <w:trHeight w:val="300"/>
        </w:trPr>
        <w:tc>
          <w:tcPr>
            <w:tcW w:w="0" w:type="auto"/>
            <w:tcBorders>
              <w:top w:val="nil"/>
              <w:left w:val="nil"/>
              <w:bottom w:val="nil"/>
              <w:right w:val="nil"/>
            </w:tcBorders>
            <w:shd w:val="clear" w:color="000000" w:fill="FFFFFF"/>
            <w:noWrap/>
            <w:vAlign w:val="bottom"/>
            <w:hideMark/>
          </w:tcPr>
          <w:p w14:paraId="0877C964"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5</w:t>
            </w:r>
          </w:p>
        </w:tc>
        <w:tc>
          <w:tcPr>
            <w:tcW w:w="0" w:type="auto"/>
            <w:tcBorders>
              <w:top w:val="nil"/>
              <w:left w:val="nil"/>
              <w:bottom w:val="nil"/>
              <w:right w:val="nil"/>
            </w:tcBorders>
            <w:shd w:val="clear" w:color="000000" w:fill="FFFFFF"/>
            <w:noWrap/>
            <w:vAlign w:val="bottom"/>
            <w:hideMark/>
          </w:tcPr>
          <w:p w14:paraId="7675C908"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Automóveis (média-alta)</w:t>
            </w:r>
          </w:p>
        </w:tc>
        <w:tc>
          <w:tcPr>
            <w:tcW w:w="0" w:type="auto"/>
            <w:tcBorders>
              <w:top w:val="nil"/>
              <w:left w:val="nil"/>
              <w:bottom w:val="nil"/>
              <w:right w:val="nil"/>
            </w:tcBorders>
            <w:shd w:val="clear" w:color="000000" w:fill="FFFFFF"/>
            <w:noWrap/>
            <w:vAlign w:val="bottom"/>
            <w:hideMark/>
          </w:tcPr>
          <w:p w14:paraId="1FAE3198"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6,94%</w:t>
            </w:r>
          </w:p>
        </w:tc>
        <w:tc>
          <w:tcPr>
            <w:tcW w:w="0" w:type="auto"/>
            <w:tcBorders>
              <w:top w:val="nil"/>
              <w:left w:val="nil"/>
              <w:bottom w:val="nil"/>
              <w:right w:val="nil"/>
            </w:tcBorders>
            <w:shd w:val="clear" w:color="000000" w:fill="FFFFFF"/>
            <w:noWrap/>
            <w:vAlign w:val="bottom"/>
            <w:hideMark/>
          </w:tcPr>
          <w:p w14:paraId="78B14718"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579.510.778,64 </w:t>
            </w:r>
          </w:p>
        </w:tc>
        <w:tc>
          <w:tcPr>
            <w:tcW w:w="0" w:type="auto"/>
            <w:tcBorders>
              <w:top w:val="nil"/>
              <w:left w:val="single" w:sz="4" w:space="0" w:color="auto"/>
              <w:bottom w:val="nil"/>
              <w:right w:val="nil"/>
            </w:tcBorders>
            <w:shd w:val="clear" w:color="000000" w:fill="FFFFFF"/>
            <w:noWrap/>
            <w:vAlign w:val="bottom"/>
            <w:hideMark/>
          </w:tcPr>
          <w:p w14:paraId="44014A5F"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5</w:t>
            </w:r>
          </w:p>
        </w:tc>
        <w:tc>
          <w:tcPr>
            <w:tcW w:w="0" w:type="auto"/>
            <w:tcBorders>
              <w:top w:val="nil"/>
              <w:left w:val="nil"/>
              <w:bottom w:val="nil"/>
              <w:right w:val="nil"/>
            </w:tcBorders>
            <w:shd w:val="clear" w:color="000000" w:fill="FFFFFF"/>
            <w:noWrap/>
            <w:vAlign w:val="bottom"/>
            <w:hideMark/>
          </w:tcPr>
          <w:p w14:paraId="008EF2A9"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Alimentos (baixa)</w:t>
            </w:r>
          </w:p>
        </w:tc>
        <w:tc>
          <w:tcPr>
            <w:tcW w:w="0" w:type="auto"/>
            <w:tcBorders>
              <w:top w:val="nil"/>
              <w:left w:val="nil"/>
              <w:bottom w:val="nil"/>
              <w:right w:val="nil"/>
            </w:tcBorders>
            <w:shd w:val="clear" w:color="000000" w:fill="FFFFFF"/>
            <w:noWrap/>
            <w:vAlign w:val="bottom"/>
            <w:hideMark/>
          </w:tcPr>
          <w:p w14:paraId="06FFF033"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6,86%</w:t>
            </w:r>
          </w:p>
        </w:tc>
        <w:tc>
          <w:tcPr>
            <w:tcW w:w="0" w:type="auto"/>
            <w:tcBorders>
              <w:top w:val="nil"/>
              <w:left w:val="nil"/>
              <w:bottom w:val="nil"/>
              <w:right w:val="nil"/>
            </w:tcBorders>
            <w:shd w:val="clear" w:color="000000" w:fill="FFFFFF"/>
            <w:noWrap/>
            <w:vAlign w:val="bottom"/>
            <w:hideMark/>
          </w:tcPr>
          <w:p w14:paraId="23AE8DDA"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1.046.119.116,11 </w:t>
            </w:r>
          </w:p>
        </w:tc>
      </w:tr>
      <w:tr w:rsidR="001B6268" w:rsidRPr="001B6268" w14:paraId="197A42D6" w14:textId="77777777" w:rsidTr="001B6268">
        <w:trPr>
          <w:trHeight w:val="300"/>
        </w:trPr>
        <w:tc>
          <w:tcPr>
            <w:tcW w:w="0" w:type="auto"/>
            <w:tcBorders>
              <w:top w:val="nil"/>
              <w:left w:val="nil"/>
              <w:bottom w:val="nil"/>
              <w:right w:val="nil"/>
            </w:tcBorders>
            <w:shd w:val="clear" w:color="000000" w:fill="FFFFFF"/>
            <w:noWrap/>
            <w:vAlign w:val="bottom"/>
            <w:hideMark/>
          </w:tcPr>
          <w:p w14:paraId="4D329247"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w:t>
            </w:r>
          </w:p>
        </w:tc>
        <w:tc>
          <w:tcPr>
            <w:tcW w:w="0" w:type="auto"/>
            <w:gridSpan w:val="3"/>
            <w:tcBorders>
              <w:top w:val="nil"/>
              <w:left w:val="nil"/>
              <w:bottom w:val="nil"/>
              <w:right w:val="nil"/>
            </w:tcBorders>
            <w:shd w:val="clear" w:color="000000" w:fill="FFFFFF"/>
            <w:noWrap/>
            <w:vAlign w:val="bottom"/>
            <w:hideMark/>
          </w:tcPr>
          <w:p w14:paraId="282299C4"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2019</w:t>
            </w:r>
          </w:p>
        </w:tc>
        <w:tc>
          <w:tcPr>
            <w:tcW w:w="0" w:type="auto"/>
            <w:tcBorders>
              <w:top w:val="nil"/>
              <w:left w:val="single" w:sz="4" w:space="0" w:color="auto"/>
              <w:bottom w:val="nil"/>
              <w:right w:val="nil"/>
            </w:tcBorders>
            <w:shd w:val="clear" w:color="000000" w:fill="FFFFFF"/>
            <w:noWrap/>
            <w:vAlign w:val="bottom"/>
            <w:hideMark/>
          </w:tcPr>
          <w:p w14:paraId="5271C43A"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 </w:t>
            </w:r>
          </w:p>
        </w:tc>
        <w:tc>
          <w:tcPr>
            <w:tcW w:w="0" w:type="auto"/>
            <w:gridSpan w:val="3"/>
            <w:tcBorders>
              <w:top w:val="nil"/>
              <w:left w:val="nil"/>
              <w:bottom w:val="nil"/>
              <w:right w:val="nil"/>
            </w:tcBorders>
            <w:shd w:val="clear" w:color="000000" w:fill="FFFFFF"/>
            <w:noWrap/>
            <w:vAlign w:val="bottom"/>
            <w:hideMark/>
          </w:tcPr>
          <w:p w14:paraId="7181BE9B"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2019</w:t>
            </w:r>
          </w:p>
        </w:tc>
      </w:tr>
      <w:tr w:rsidR="001B6268" w:rsidRPr="001B6268" w14:paraId="62F86740" w14:textId="77777777" w:rsidTr="001B6268">
        <w:trPr>
          <w:trHeight w:val="300"/>
        </w:trPr>
        <w:tc>
          <w:tcPr>
            <w:tcW w:w="0" w:type="auto"/>
            <w:tcBorders>
              <w:top w:val="nil"/>
              <w:left w:val="nil"/>
              <w:bottom w:val="nil"/>
              <w:right w:val="nil"/>
            </w:tcBorders>
            <w:shd w:val="clear" w:color="000000" w:fill="FFFFFF"/>
            <w:noWrap/>
            <w:vAlign w:val="bottom"/>
            <w:hideMark/>
          </w:tcPr>
          <w:p w14:paraId="0262CF68"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w:t>
            </w:r>
          </w:p>
        </w:tc>
        <w:tc>
          <w:tcPr>
            <w:tcW w:w="0" w:type="auto"/>
            <w:tcBorders>
              <w:top w:val="nil"/>
              <w:left w:val="nil"/>
              <w:bottom w:val="nil"/>
              <w:right w:val="nil"/>
            </w:tcBorders>
            <w:shd w:val="clear" w:color="000000" w:fill="FFFFFF"/>
            <w:noWrap/>
            <w:vAlign w:val="bottom"/>
            <w:hideMark/>
          </w:tcPr>
          <w:p w14:paraId="23BB7D15" w14:textId="77777777" w:rsidR="001B6268" w:rsidRPr="001B6268" w:rsidRDefault="001B6268" w:rsidP="001B6268">
            <w:pPr>
              <w:spacing w:after="0" w:line="240" w:lineRule="auto"/>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Setor</w:t>
            </w:r>
          </w:p>
        </w:tc>
        <w:tc>
          <w:tcPr>
            <w:tcW w:w="0" w:type="auto"/>
            <w:tcBorders>
              <w:top w:val="nil"/>
              <w:left w:val="nil"/>
              <w:bottom w:val="nil"/>
              <w:right w:val="nil"/>
            </w:tcBorders>
            <w:shd w:val="clear" w:color="000000" w:fill="FFFFFF"/>
            <w:noWrap/>
            <w:vAlign w:val="bottom"/>
            <w:hideMark/>
          </w:tcPr>
          <w:p w14:paraId="6ABA603A"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w:t>
            </w:r>
          </w:p>
        </w:tc>
        <w:tc>
          <w:tcPr>
            <w:tcW w:w="0" w:type="auto"/>
            <w:tcBorders>
              <w:top w:val="nil"/>
              <w:left w:val="nil"/>
              <w:bottom w:val="nil"/>
              <w:right w:val="nil"/>
            </w:tcBorders>
            <w:shd w:val="clear" w:color="000000" w:fill="FFFFFF"/>
            <w:noWrap/>
            <w:vAlign w:val="bottom"/>
            <w:hideMark/>
          </w:tcPr>
          <w:p w14:paraId="0B0A7A7F"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(US$)</w:t>
            </w:r>
          </w:p>
        </w:tc>
        <w:tc>
          <w:tcPr>
            <w:tcW w:w="0" w:type="auto"/>
            <w:tcBorders>
              <w:top w:val="nil"/>
              <w:left w:val="single" w:sz="4" w:space="0" w:color="auto"/>
              <w:bottom w:val="nil"/>
              <w:right w:val="nil"/>
            </w:tcBorders>
            <w:shd w:val="clear" w:color="000000" w:fill="FFFFFF"/>
            <w:noWrap/>
            <w:vAlign w:val="bottom"/>
            <w:hideMark/>
          </w:tcPr>
          <w:p w14:paraId="2C0A236B"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 </w:t>
            </w:r>
          </w:p>
        </w:tc>
        <w:tc>
          <w:tcPr>
            <w:tcW w:w="0" w:type="auto"/>
            <w:tcBorders>
              <w:top w:val="nil"/>
              <w:left w:val="nil"/>
              <w:bottom w:val="nil"/>
              <w:right w:val="nil"/>
            </w:tcBorders>
            <w:shd w:val="clear" w:color="000000" w:fill="FFFFFF"/>
            <w:noWrap/>
            <w:vAlign w:val="bottom"/>
            <w:hideMark/>
          </w:tcPr>
          <w:p w14:paraId="1BFD8C13" w14:textId="77777777" w:rsidR="001B6268" w:rsidRPr="001B6268" w:rsidRDefault="001B6268" w:rsidP="001B6268">
            <w:pPr>
              <w:spacing w:after="0" w:line="240" w:lineRule="auto"/>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Setor</w:t>
            </w:r>
          </w:p>
        </w:tc>
        <w:tc>
          <w:tcPr>
            <w:tcW w:w="0" w:type="auto"/>
            <w:tcBorders>
              <w:top w:val="nil"/>
              <w:left w:val="nil"/>
              <w:bottom w:val="nil"/>
              <w:right w:val="nil"/>
            </w:tcBorders>
            <w:shd w:val="clear" w:color="000000" w:fill="FFFFFF"/>
            <w:noWrap/>
            <w:vAlign w:val="bottom"/>
            <w:hideMark/>
          </w:tcPr>
          <w:p w14:paraId="68F38453"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w:t>
            </w:r>
          </w:p>
        </w:tc>
        <w:tc>
          <w:tcPr>
            <w:tcW w:w="0" w:type="auto"/>
            <w:tcBorders>
              <w:top w:val="nil"/>
              <w:left w:val="nil"/>
              <w:bottom w:val="nil"/>
              <w:right w:val="nil"/>
            </w:tcBorders>
            <w:shd w:val="clear" w:color="000000" w:fill="FFFFFF"/>
            <w:noWrap/>
            <w:vAlign w:val="bottom"/>
            <w:hideMark/>
          </w:tcPr>
          <w:p w14:paraId="612852AB"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(US$)</w:t>
            </w:r>
          </w:p>
        </w:tc>
      </w:tr>
      <w:tr w:rsidR="001B6268" w:rsidRPr="001B6268" w14:paraId="0D28C7B7" w14:textId="77777777" w:rsidTr="001B6268">
        <w:trPr>
          <w:trHeight w:val="300"/>
        </w:trPr>
        <w:tc>
          <w:tcPr>
            <w:tcW w:w="0" w:type="auto"/>
            <w:tcBorders>
              <w:top w:val="nil"/>
              <w:left w:val="nil"/>
              <w:bottom w:val="nil"/>
              <w:right w:val="nil"/>
            </w:tcBorders>
            <w:shd w:val="clear" w:color="000000" w:fill="FFFFFF"/>
            <w:noWrap/>
            <w:vAlign w:val="bottom"/>
            <w:hideMark/>
          </w:tcPr>
          <w:p w14:paraId="6E9DE920"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w:t>
            </w:r>
          </w:p>
        </w:tc>
        <w:tc>
          <w:tcPr>
            <w:tcW w:w="0" w:type="auto"/>
            <w:tcBorders>
              <w:top w:val="nil"/>
              <w:left w:val="nil"/>
              <w:bottom w:val="nil"/>
              <w:right w:val="nil"/>
            </w:tcBorders>
            <w:shd w:val="clear" w:color="000000" w:fill="FFFFFF"/>
            <w:noWrap/>
            <w:vAlign w:val="bottom"/>
            <w:hideMark/>
          </w:tcPr>
          <w:p w14:paraId="3B055986"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Alimentos (baixa)</w:t>
            </w:r>
          </w:p>
        </w:tc>
        <w:tc>
          <w:tcPr>
            <w:tcW w:w="0" w:type="auto"/>
            <w:tcBorders>
              <w:top w:val="nil"/>
              <w:left w:val="nil"/>
              <w:bottom w:val="nil"/>
              <w:right w:val="nil"/>
            </w:tcBorders>
            <w:shd w:val="clear" w:color="000000" w:fill="FFFFFF"/>
            <w:noWrap/>
            <w:vAlign w:val="bottom"/>
            <w:hideMark/>
          </w:tcPr>
          <w:p w14:paraId="57484EE8"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42,20%</w:t>
            </w:r>
          </w:p>
        </w:tc>
        <w:tc>
          <w:tcPr>
            <w:tcW w:w="0" w:type="auto"/>
            <w:tcBorders>
              <w:top w:val="nil"/>
              <w:left w:val="nil"/>
              <w:bottom w:val="nil"/>
              <w:right w:val="nil"/>
            </w:tcBorders>
            <w:shd w:val="clear" w:color="000000" w:fill="FFFFFF"/>
            <w:noWrap/>
            <w:vAlign w:val="bottom"/>
            <w:hideMark/>
          </w:tcPr>
          <w:p w14:paraId="0C080356"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3.428.074.493,17 </w:t>
            </w:r>
          </w:p>
        </w:tc>
        <w:tc>
          <w:tcPr>
            <w:tcW w:w="0" w:type="auto"/>
            <w:tcBorders>
              <w:top w:val="nil"/>
              <w:left w:val="single" w:sz="4" w:space="0" w:color="auto"/>
              <w:bottom w:val="nil"/>
              <w:right w:val="nil"/>
            </w:tcBorders>
            <w:shd w:val="clear" w:color="000000" w:fill="FFFFFF"/>
            <w:noWrap/>
            <w:vAlign w:val="bottom"/>
            <w:hideMark/>
          </w:tcPr>
          <w:p w14:paraId="2A74A0AF"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w:t>
            </w:r>
          </w:p>
        </w:tc>
        <w:tc>
          <w:tcPr>
            <w:tcW w:w="0" w:type="auto"/>
            <w:tcBorders>
              <w:top w:val="nil"/>
              <w:left w:val="nil"/>
              <w:bottom w:val="nil"/>
              <w:right w:val="nil"/>
            </w:tcBorders>
            <w:shd w:val="clear" w:color="000000" w:fill="FFFFFF"/>
            <w:noWrap/>
            <w:vAlign w:val="bottom"/>
            <w:hideMark/>
          </w:tcPr>
          <w:p w14:paraId="57451404"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Produtos químicos (média-alta)</w:t>
            </w:r>
          </w:p>
        </w:tc>
        <w:tc>
          <w:tcPr>
            <w:tcW w:w="0" w:type="auto"/>
            <w:tcBorders>
              <w:top w:val="nil"/>
              <w:left w:val="nil"/>
              <w:bottom w:val="nil"/>
              <w:right w:val="nil"/>
            </w:tcBorders>
            <w:shd w:val="clear" w:color="000000" w:fill="FFFFFF"/>
            <w:noWrap/>
            <w:vAlign w:val="bottom"/>
            <w:hideMark/>
          </w:tcPr>
          <w:p w14:paraId="101DD15F"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21,58%</w:t>
            </w:r>
          </w:p>
        </w:tc>
        <w:tc>
          <w:tcPr>
            <w:tcW w:w="0" w:type="auto"/>
            <w:tcBorders>
              <w:top w:val="nil"/>
              <w:left w:val="nil"/>
              <w:bottom w:val="nil"/>
              <w:right w:val="nil"/>
            </w:tcBorders>
            <w:shd w:val="clear" w:color="000000" w:fill="FFFFFF"/>
            <w:noWrap/>
            <w:vAlign w:val="bottom"/>
            <w:hideMark/>
          </w:tcPr>
          <w:p w14:paraId="62F5DCE9"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3.532.354.543,39 </w:t>
            </w:r>
          </w:p>
        </w:tc>
      </w:tr>
      <w:tr w:rsidR="001B6268" w:rsidRPr="001B6268" w14:paraId="39587CC2" w14:textId="77777777" w:rsidTr="001B6268">
        <w:trPr>
          <w:trHeight w:val="300"/>
        </w:trPr>
        <w:tc>
          <w:tcPr>
            <w:tcW w:w="0" w:type="auto"/>
            <w:tcBorders>
              <w:top w:val="nil"/>
              <w:left w:val="nil"/>
              <w:bottom w:val="nil"/>
              <w:right w:val="nil"/>
            </w:tcBorders>
            <w:shd w:val="clear" w:color="000000" w:fill="FFFFFF"/>
            <w:noWrap/>
            <w:vAlign w:val="bottom"/>
            <w:hideMark/>
          </w:tcPr>
          <w:p w14:paraId="70826EA0"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w:t>
            </w:r>
          </w:p>
        </w:tc>
        <w:tc>
          <w:tcPr>
            <w:tcW w:w="0" w:type="auto"/>
            <w:tcBorders>
              <w:top w:val="nil"/>
              <w:left w:val="nil"/>
              <w:bottom w:val="nil"/>
              <w:right w:val="nil"/>
            </w:tcBorders>
            <w:shd w:val="clear" w:color="000000" w:fill="FFFFFF"/>
            <w:noWrap/>
            <w:vAlign w:val="bottom"/>
            <w:hideMark/>
          </w:tcPr>
          <w:p w14:paraId="56DAE456"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Madeira (baixa)</w:t>
            </w:r>
          </w:p>
        </w:tc>
        <w:tc>
          <w:tcPr>
            <w:tcW w:w="0" w:type="auto"/>
            <w:tcBorders>
              <w:top w:val="nil"/>
              <w:left w:val="nil"/>
              <w:bottom w:val="nil"/>
              <w:right w:val="nil"/>
            </w:tcBorders>
            <w:shd w:val="clear" w:color="000000" w:fill="FFFFFF"/>
            <w:noWrap/>
            <w:vAlign w:val="bottom"/>
            <w:hideMark/>
          </w:tcPr>
          <w:p w14:paraId="2676ACF5"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10,38%</w:t>
            </w:r>
          </w:p>
        </w:tc>
        <w:tc>
          <w:tcPr>
            <w:tcW w:w="0" w:type="auto"/>
            <w:tcBorders>
              <w:top w:val="nil"/>
              <w:left w:val="nil"/>
              <w:bottom w:val="nil"/>
              <w:right w:val="nil"/>
            </w:tcBorders>
            <w:shd w:val="clear" w:color="000000" w:fill="FFFFFF"/>
            <w:noWrap/>
            <w:vAlign w:val="bottom"/>
            <w:hideMark/>
          </w:tcPr>
          <w:p w14:paraId="31D5F431"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843.331.975,28 </w:t>
            </w:r>
          </w:p>
        </w:tc>
        <w:tc>
          <w:tcPr>
            <w:tcW w:w="0" w:type="auto"/>
            <w:tcBorders>
              <w:top w:val="nil"/>
              <w:left w:val="single" w:sz="4" w:space="0" w:color="auto"/>
              <w:bottom w:val="nil"/>
              <w:right w:val="nil"/>
            </w:tcBorders>
            <w:shd w:val="clear" w:color="000000" w:fill="FFFFFF"/>
            <w:noWrap/>
            <w:vAlign w:val="bottom"/>
            <w:hideMark/>
          </w:tcPr>
          <w:p w14:paraId="7805D6B0"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w:t>
            </w:r>
          </w:p>
        </w:tc>
        <w:tc>
          <w:tcPr>
            <w:tcW w:w="0" w:type="auto"/>
            <w:tcBorders>
              <w:top w:val="nil"/>
              <w:left w:val="nil"/>
              <w:bottom w:val="nil"/>
              <w:right w:val="nil"/>
            </w:tcBorders>
            <w:shd w:val="clear" w:color="000000" w:fill="FFFFFF"/>
            <w:noWrap/>
            <w:vAlign w:val="bottom"/>
            <w:hideMark/>
          </w:tcPr>
          <w:p w14:paraId="130A0471"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Metais básicos (média-baixa)</w:t>
            </w:r>
          </w:p>
        </w:tc>
        <w:tc>
          <w:tcPr>
            <w:tcW w:w="0" w:type="auto"/>
            <w:tcBorders>
              <w:top w:val="nil"/>
              <w:left w:val="nil"/>
              <w:bottom w:val="nil"/>
              <w:right w:val="nil"/>
            </w:tcBorders>
            <w:shd w:val="clear" w:color="000000" w:fill="FFFFFF"/>
            <w:noWrap/>
            <w:vAlign w:val="bottom"/>
            <w:hideMark/>
          </w:tcPr>
          <w:p w14:paraId="0259291D"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12,38%</w:t>
            </w:r>
          </w:p>
        </w:tc>
        <w:tc>
          <w:tcPr>
            <w:tcW w:w="0" w:type="auto"/>
            <w:tcBorders>
              <w:top w:val="nil"/>
              <w:left w:val="nil"/>
              <w:bottom w:val="nil"/>
              <w:right w:val="nil"/>
            </w:tcBorders>
            <w:shd w:val="clear" w:color="000000" w:fill="FFFFFF"/>
            <w:noWrap/>
            <w:vAlign w:val="bottom"/>
            <w:hideMark/>
          </w:tcPr>
          <w:p w14:paraId="318AEAA5"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2.026.717.319,36 </w:t>
            </w:r>
          </w:p>
        </w:tc>
      </w:tr>
      <w:tr w:rsidR="001B6268" w:rsidRPr="001B6268" w14:paraId="0389047B" w14:textId="77777777" w:rsidTr="001B6268">
        <w:trPr>
          <w:trHeight w:val="300"/>
        </w:trPr>
        <w:tc>
          <w:tcPr>
            <w:tcW w:w="0" w:type="auto"/>
            <w:tcBorders>
              <w:top w:val="nil"/>
              <w:left w:val="nil"/>
              <w:bottom w:val="nil"/>
              <w:right w:val="nil"/>
            </w:tcBorders>
            <w:shd w:val="clear" w:color="000000" w:fill="FFFFFF"/>
            <w:noWrap/>
            <w:vAlign w:val="bottom"/>
            <w:hideMark/>
          </w:tcPr>
          <w:p w14:paraId="12B6ED87"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3</w:t>
            </w:r>
          </w:p>
        </w:tc>
        <w:tc>
          <w:tcPr>
            <w:tcW w:w="0" w:type="auto"/>
            <w:tcBorders>
              <w:top w:val="nil"/>
              <w:left w:val="nil"/>
              <w:bottom w:val="nil"/>
              <w:right w:val="nil"/>
            </w:tcBorders>
            <w:shd w:val="clear" w:color="000000" w:fill="FFFFFF"/>
            <w:noWrap/>
            <w:vAlign w:val="bottom"/>
            <w:hideMark/>
          </w:tcPr>
          <w:p w14:paraId="0EC31FB9"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Equip. elétricos (média-alta)</w:t>
            </w:r>
          </w:p>
        </w:tc>
        <w:tc>
          <w:tcPr>
            <w:tcW w:w="0" w:type="auto"/>
            <w:tcBorders>
              <w:top w:val="nil"/>
              <w:left w:val="nil"/>
              <w:bottom w:val="nil"/>
              <w:right w:val="nil"/>
            </w:tcBorders>
            <w:shd w:val="clear" w:color="000000" w:fill="FFFFFF"/>
            <w:noWrap/>
            <w:vAlign w:val="bottom"/>
            <w:hideMark/>
          </w:tcPr>
          <w:p w14:paraId="6EA4C137"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8,02%</w:t>
            </w:r>
          </w:p>
        </w:tc>
        <w:tc>
          <w:tcPr>
            <w:tcW w:w="0" w:type="auto"/>
            <w:tcBorders>
              <w:top w:val="nil"/>
              <w:left w:val="nil"/>
              <w:bottom w:val="nil"/>
              <w:right w:val="nil"/>
            </w:tcBorders>
            <w:shd w:val="clear" w:color="000000" w:fill="FFFFFF"/>
            <w:noWrap/>
            <w:vAlign w:val="bottom"/>
            <w:hideMark/>
          </w:tcPr>
          <w:p w14:paraId="41953FFC"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655.120.736,31 </w:t>
            </w:r>
          </w:p>
        </w:tc>
        <w:tc>
          <w:tcPr>
            <w:tcW w:w="0" w:type="auto"/>
            <w:tcBorders>
              <w:top w:val="nil"/>
              <w:left w:val="single" w:sz="4" w:space="0" w:color="auto"/>
              <w:bottom w:val="nil"/>
              <w:right w:val="nil"/>
            </w:tcBorders>
            <w:shd w:val="clear" w:color="000000" w:fill="FFFFFF"/>
            <w:noWrap/>
            <w:vAlign w:val="bottom"/>
            <w:hideMark/>
          </w:tcPr>
          <w:p w14:paraId="15C47AB2"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3</w:t>
            </w:r>
          </w:p>
        </w:tc>
        <w:tc>
          <w:tcPr>
            <w:tcW w:w="0" w:type="auto"/>
            <w:tcBorders>
              <w:top w:val="nil"/>
              <w:left w:val="nil"/>
              <w:bottom w:val="nil"/>
              <w:right w:val="nil"/>
            </w:tcBorders>
            <w:shd w:val="clear" w:color="000000" w:fill="FFFFFF"/>
            <w:noWrap/>
            <w:vAlign w:val="bottom"/>
            <w:hideMark/>
          </w:tcPr>
          <w:p w14:paraId="2DA3B178"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M&amp;E (média-alta)</w:t>
            </w:r>
          </w:p>
        </w:tc>
        <w:tc>
          <w:tcPr>
            <w:tcW w:w="0" w:type="auto"/>
            <w:tcBorders>
              <w:top w:val="nil"/>
              <w:left w:val="nil"/>
              <w:bottom w:val="nil"/>
              <w:right w:val="nil"/>
            </w:tcBorders>
            <w:shd w:val="clear" w:color="000000" w:fill="FFFFFF"/>
            <w:noWrap/>
            <w:vAlign w:val="bottom"/>
            <w:hideMark/>
          </w:tcPr>
          <w:p w14:paraId="7BDC01E9"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8,73%</w:t>
            </w:r>
          </w:p>
        </w:tc>
        <w:tc>
          <w:tcPr>
            <w:tcW w:w="0" w:type="auto"/>
            <w:tcBorders>
              <w:top w:val="nil"/>
              <w:left w:val="nil"/>
              <w:bottom w:val="nil"/>
              <w:right w:val="nil"/>
            </w:tcBorders>
            <w:shd w:val="clear" w:color="000000" w:fill="FFFFFF"/>
            <w:noWrap/>
            <w:vAlign w:val="bottom"/>
            <w:hideMark/>
          </w:tcPr>
          <w:p w14:paraId="42424620"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1.429.103.248,33 </w:t>
            </w:r>
          </w:p>
        </w:tc>
      </w:tr>
      <w:tr w:rsidR="001B6268" w:rsidRPr="001B6268" w14:paraId="6E0BB9BC" w14:textId="77777777" w:rsidTr="001B6268">
        <w:trPr>
          <w:trHeight w:val="300"/>
        </w:trPr>
        <w:tc>
          <w:tcPr>
            <w:tcW w:w="0" w:type="auto"/>
            <w:tcBorders>
              <w:top w:val="nil"/>
              <w:left w:val="nil"/>
              <w:bottom w:val="nil"/>
              <w:right w:val="nil"/>
            </w:tcBorders>
            <w:shd w:val="clear" w:color="000000" w:fill="FFFFFF"/>
            <w:noWrap/>
            <w:vAlign w:val="bottom"/>
            <w:hideMark/>
          </w:tcPr>
          <w:p w14:paraId="3A7DA7C5"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4</w:t>
            </w:r>
          </w:p>
        </w:tc>
        <w:tc>
          <w:tcPr>
            <w:tcW w:w="0" w:type="auto"/>
            <w:tcBorders>
              <w:top w:val="nil"/>
              <w:left w:val="nil"/>
              <w:bottom w:val="nil"/>
              <w:right w:val="nil"/>
            </w:tcBorders>
            <w:shd w:val="clear" w:color="000000" w:fill="FFFFFF"/>
            <w:noWrap/>
            <w:vAlign w:val="bottom"/>
            <w:hideMark/>
          </w:tcPr>
          <w:p w14:paraId="0199F62E"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M&amp;E (média-alta)</w:t>
            </w:r>
          </w:p>
        </w:tc>
        <w:tc>
          <w:tcPr>
            <w:tcW w:w="0" w:type="auto"/>
            <w:tcBorders>
              <w:top w:val="nil"/>
              <w:left w:val="nil"/>
              <w:bottom w:val="nil"/>
              <w:right w:val="nil"/>
            </w:tcBorders>
            <w:shd w:val="clear" w:color="000000" w:fill="FFFFFF"/>
            <w:noWrap/>
            <w:vAlign w:val="bottom"/>
            <w:hideMark/>
          </w:tcPr>
          <w:p w14:paraId="0A85EC60"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7,55%</w:t>
            </w:r>
          </w:p>
        </w:tc>
        <w:tc>
          <w:tcPr>
            <w:tcW w:w="0" w:type="auto"/>
            <w:tcBorders>
              <w:top w:val="nil"/>
              <w:left w:val="nil"/>
              <w:bottom w:val="nil"/>
              <w:right w:val="nil"/>
            </w:tcBorders>
            <w:shd w:val="clear" w:color="000000" w:fill="FFFFFF"/>
            <w:noWrap/>
            <w:vAlign w:val="bottom"/>
            <w:hideMark/>
          </w:tcPr>
          <w:p w14:paraId="4EC9D20D"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651.090.940,80 </w:t>
            </w:r>
          </w:p>
        </w:tc>
        <w:tc>
          <w:tcPr>
            <w:tcW w:w="0" w:type="auto"/>
            <w:tcBorders>
              <w:top w:val="nil"/>
              <w:left w:val="single" w:sz="4" w:space="0" w:color="auto"/>
              <w:bottom w:val="nil"/>
              <w:right w:val="nil"/>
            </w:tcBorders>
            <w:shd w:val="clear" w:color="000000" w:fill="FFFFFF"/>
            <w:noWrap/>
            <w:vAlign w:val="bottom"/>
            <w:hideMark/>
          </w:tcPr>
          <w:p w14:paraId="2F8C2463"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4</w:t>
            </w:r>
          </w:p>
        </w:tc>
        <w:tc>
          <w:tcPr>
            <w:tcW w:w="0" w:type="auto"/>
            <w:tcBorders>
              <w:top w:val="nil"/>
              <w:left w:val="nil"/>
              <w:bottom w:val="nil"/>
              <w:right w:val="nil"/>
            </w:tcBorders>
            <w:shd w:val="clear" w:color="000000" w:fill="FFFFFF"/>
            <w:noWrap/>
            <w:vAlign w:val="bottom"/>
            <w:hideMark/>
          </w:tcPr>
          <w:p w14:paraId="2E5CBC16"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Alimentos (baixa)</w:t>
            </w:r>
          </w:p>
        </w:tc>
        <w:tc>
          <w:tcPr>
            <w:tcW w:w="0" w:type="auto"/>
            <w:tcBorders>
              <w:top w:val="nil"/>
              <w:left w:val="nil"/>
              <w:bottom w:val="nil"/>
              <w:right w:val="nil"/>
            </w:tcBorders>
            <w:shd w:val="clear" w:color="000000" w:fill="FFFFFF"/>
            <w:noWrap/>
            <w:vAlign w:val="bottom"/>
            <w:hideMark/>
          </w:tcPr>
          <w:p w14:paraId="36A874D4"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7,01%</w:t>
            </w:r>
          </w:p>
        </w:tc>
        <w:tc>
          <w:tcPr>
            <w:tcW w:w="0" w:type="auto"/>
            <w:tcBorders>
              <w:top w:val="nil"/>
              <w:left w:val="nil"/>
              <w:bottom w:val="nil"/>
              <w:right w:val="nil"/>
            </w:tcBorders>
            <w:shd w:val="clear" w:color="000000" w:fill="FFFFFF"/>
            <w:noWrap/>
            <w:vAlign w:val="bottom"/>
            <w:hideMark/>
          </w:tcPr>
          <w:p w14:paraId="7796C4E0"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1.148.258.138,78 </w:t>
            </w:r>
          </w:p>
        </w:tc>
      </w:tr>
      <w:tr w:rsidR="001B6268" w:rsidRPr="001B6268" w14:paraId="4FE6AE07" w14:textId="77777777" w:rsidTr="001B6268">
        <w:trPr>
          <w:trHeight w:val="300"/>
        </w:trPr>
        <w:tc>
          <w:tcPr>
            <w:tcW w:w="0" w:type="auto"/>
            <w:tcBorders>
              <w:top w:val="nil"/>
              <w:left w:val="nil"/>
              <w:bottom w:val="nil"/>
              <w:right w:val="nil"/>
            </w:tcBorders>
            <w:shd w:val="clear" w:color="000000" w:fill="FFFFFF"/>
            <w:noWrap/>
            <w:vAlign w:val="bottom"/>
            <w:hideMark/>
          </w:tcPr>
          <w:p w14:paraId="52E164F2"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5</w:t>
            </w:r>
          </w:p>
        </w:tc>
        <w:tc>
          <w:tcPr>
            <w:tcW w:w="0" w:type="auto"/>
            <w:tcBorders>
              <w:top w:val="nil"/>
              <w:left w:val="nil"/>
              <w:bottom w:val="nil"/>
              <w:right w:val="nil"/>
            </w:tcBorders>
            <w:shd w:val="clear" w:color="000000" w:fill="FFFFFF"/>
            <w:noWrap/>
            <w:vAlign w:val="bottom"/>
            <w:hideMark/>
          </w:tcPr>
          <w:p w14:paraId="2BEA774D"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Automóveis (média-alta)</w:t>
            </w:r>
          </w:p>
        </w:tc>
        <w:tc>
          <w:tcPr>
            <w:tcW w:w="0" w:type="auto"/>
            <w:tcBorders>
              <w:top w:val="nil"/>
              <w:left w:val="nil"/>
              <w:bottom w:val="nil"/>
              <w:right w:val="nil"/>
            </w:tcBorders>
            <w:shd w:val="clear" w:color="000000" w:fill="FFFFFF"/>
            <w:noWrap/>
            <w:vAlign w:val="bottom"/>
            <w:hideMark/>
          </w:tcPr>
          <w:p w14:paraId="5CEF8137"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7,15%</w:t>
            </w:r>
          </w:p>
        </w:tc>
        <w:tc>
          <w:tcPr>
            <w:tcW w:w="0" w:type="auto"/>
            <w:tcBorders>
              <w:top w:val="nil"/>
              <w:left w:val="nil"/>
              <w:bottom w:val="nil"/>
              <w:right w:val="nil"/>
            </w:tcBorders>
            <w:shd w:val="clear" w:color="000000" w:fill="FFFFFF"/>
            <w:noWrap/>
            <w:vAlign w:val="bottom"/>
            <w:hideMark/>
          </w:tcPr>
          <w:p w14:paraId="6B3CF651"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580.438.255,69 </w:t>
            </w:r>
          </w:p>
        </w:tc>
        <w:tc>
          <w:tcPr>
            <w:tcW w:w="0" w:type="auto"/>
            <w:tcBorders>
              <w:top w:val="nil"/>
              <w:left w:val="single" w:sz="4" w:space="0" w:color="auto"/>
              <w:bottom w:val="nil"/>
              <w:right w:val="nil"/>
            </w:tcBorders>
            <w:shd w:val="clear" w:color="000000" w:fill="FFFFFF"/>
            <w:noWrap/>
            <w:vAlign w:val="bottom"/>
            <w:hideMark/>
          </w:tcPr>
          <w:p w14:paraId="1CC26B60"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5</w:t>
            </w:r>
          </w:p>
        </w:tc>
        <w:tc>
          <w:tcPr>
            <w:tcW w:w="0" w:type="auto"/>
            <w:tcBorders>
              <w:top w:val="nil"/>
              <w:left w:val="nil"/>
              <w:bottom w:val="nil"/>
              <w:right w:val="nil"/>
            </w:tcBorders>
            <w:shd w:val="clear" w:color="000000" w:fill="FFFFFF"/>
            <w:noWrap/>
            <w:vAlign w:val="bottom"/>
            <w:hideMark/>
          </w:tcPr>
          <w:p w14:paraId="699E15B8"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Equip. elétricos (média-alta)</w:t>
            </w:r>
          </w:p>
        </w:tc>
        <w:tc>
          <w:tcPr>
            <w:tcW w:w="0" w:type="auto"/>
            <w:tcBorders>
              <w:top w:val="nil"/>
              <w:left w:val="nil"/>
              <w:bottom w:val="nil"/>
              <w:right w:val="nil"/>
            </w:tcBorders>
            <w:shd w:val="clear" w:color="000000" w:fill="FFFFFF"/>
            <w:noWrap/>
            <w:vAlign w:val="bottom"/>
            <w:hideMark/>
          </w:tcPr>
          <w:p w14:paraId="70B4177F"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6,98%</w:t>
            </w:r>
          </w:p>
        </w:tc>
        <w:tc>
          <w:tcPr>
            <w:tcW w:w="0" w:type="auto"/>
            <w:tcBorders>
              <w:top w:val="nil"/>
              <w:left w:val="nil"/>
              <w:bottom w:val="nil"/>
              <w:right w:val="nil"/>
            </w:tcBorders>
            <w:shd w:val="clear" w:color="000000" w:fill="FFFFFF"/>
            <w:noWrap/>
            <w:vAlign w:val="bottom"/>
            <w:hideMark/>
          </w:tcPr>
          <w:p w14:paraId="47F6534E"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1.142.962.719,21 </w:t>
            </w:r>
          </w:p>
        </w:tc>
      </w:tr>
      <w:tr w:rsidR="001B6268" w:rsidRPr="001B6268" w14:paraId="38DA0D98" w14:textId="77777777" w:rsidTr="001B6268">
        <w:trPr>
          <w:trHeight w:val="300"/>
        </w:trPr>
        <w:tc>
          <w:tcPr>
            <w:tcW w:w="0" w:type="auto"/>
            <w:tcBorders>
              <w:top w:val="nil"/>
              <w:left w:val="nil"/>
              <w:bottom w:val="nil"/>
              <w:right w:val="nil"/>
            </w:tcBorders>
            <w:shd w:val="clear" w:color="000000" w:fill="FFFFFF"/>
            <w:noWrap/>
            <w:vAlign w:val="bottom"/>
            <w:hideMark/>
          </w:tcPr>
          <w:p w14:paraId="5FAF2273"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w:t>
            </w:r>
          </w:p>
        </w:tc>
        <w:tc>
          <w:tcPr>
            <w:tcW w:w="0" w:type="auto"/>
            <w:gridSpan w:val="3"/>
            <w:tcBorders>
              <w:top w:val="nil"/>
              <w:left w:val="nil"/>
              <w:bottom w:val="nil"/>
              <w:right w:val="nil"/>
            </w:tcBorders>
            <w:shd w:val="clear" w:color="000000" w:fill="FFFFFF"/>
            <w:noWrap/>
            <w:vAlign w:val="bottom"/>
            <w:hideMark/>
          </w:tcPr>
          <w:p w14:paraId="5CC982CC"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2020</w:t>
            </w:r>
          </w:p>
        </w:tc>
        <w:tc>
          <w:tcPr>
            <w:tcW w:w="0" w:type="auto"/>
            <w:tcBorders>
              <w:top w:val="nil"/>
              <w:left w:val="single" w:sz="4" w:space="0" w:color="auto"/>
              <w:bottom w:val="nil"/>
              <w:right w:val="nil"/>
            </w:tcBorders>
            <w:shd w:val="clear" w:color="000000" w:fill="FFFFFF"/>
            <w:noWrap/>
            <w:vAlign w:val="bottom"/>
            <w:hideMark/>
          </w:tcPr>
          <w:p w14:paraId="39ABB0F7"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 </w:t>
            </w:r>
          </w:p>
        </w:tc>
        <w:tc>
          <w:tcPr>
            <w:tcW w:w="0" w:type="auto"/>
            <w:gridSpan w:val="3"/>
            <w:tcBorders>
              <w:top w:val="nil"/>
              <w:left w:val="nil"/>
              <w:bottom w:val="nil"/>
              <w:right w:val="nil"/>
            </w:tcBorders>
            <w:shd w:val="clear" w:color="000000" w:fill="FFFFFF"/>
            <w:noWrap/>
            <w:vAlign w:val="bottom"/>
            <w:hideMark/>
          </w:tcPr>
          <w:p w14:paraId="0AB0B9F1" w14:textId="77777777" w:rsidR="001B6268" w:rsidRPr="001B6268" w:rsidRDefault="001B6268" w:rsidP="001B6268">
            <w:pPr>
              <w:spacing w:after="0" w:line="240" w:lineRule="auto"/>
              <w:jc w:val="center"/>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2020</w:t>
            </w:r>
          </w:p>
        </w:tc>
      </w:tr>
      <w:tr w:rsidR="001B6268" w:rsidRPr="001B6268" w14:paraId="606C1A1C" w14:textId="77777777" w:rsidTr="001B6268">
        <w:trPr>
          <w:trHeight w:val="300"/>
        </w:trPr>
        <w:tc>
          <w:tcPr>
            <w:tcW w:w="0" w:type="auto"/>
            <w:tcBorders>
              <w:top w:val="nil"/>
              <w:left w:val="nil"/>
              <w:bottom w:val="nil"/>
              <w:right w:val="nil"/>
            </w:tcBorders>
            <w:shd w:val="clear" w:color="000000" w:fill="FFFFFF"/>
            <w:noWrap/>
            <w:vAlign w:val="bottom"/>
            <w:hideMark/>
          </w:tcPr>
          <w:p w14:paraId="20485F28"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w:t>
            </w:r>
          </w:p>
        </w:tc>
        <w:tc>
          <w:tcPr>
            <w:tcW w:w="0" w:type="auto"/>
            <w:tcBorders>
              <w:top w:val="nil"/>
              <w:left w:val="nil"/>
              <w:bottom w:val="nil"/>
              <w:right w:val="nil"/>
            </w:tcBorders>
            <w:shd w:val="clear" w:color="000000" w:fill="FFFFFF"/>
            <w:noWrap/>
            <w:vAlign w:val="bottom"/>
            <w:hideMark/>
          </w:tcPr>
          <w:p w14:paraId="13773A54" w14:textId="77777777" w:rsidR="001B6268" w:rsidRPr="001B6268" w:rsidRDefault="001B6268" w:rsidP="001B6268">
            <w:pPr>
              <w:spacing w:after="0" w:line="240" w:lineRule="auto"/>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Setor</w:t>
            </w:r>
          </w:p>
        </w:tc>
        <w:tc>
          <w:tcPr>
            <w:tcW w:w="0" w:type="auto"/>
            <w:tcBorders>
              <w:top w:val="nil"/>
              <w:left w:val="nil"/>
              <w:bottom w:val="nil"/>
              <w:right w:val="nil"/>
            </w:tcBorders>
            <w:shd w:val="clear" w:color="000000" w:fill="FFFFFF"/>
            <w:noWrap/>
            <w:vAlign w:val="bottom"/>
            <w:hideMark/>
          </w:tcPr>
          <w:p w14:paraId="60057637"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w:t>
            </w:r>
          </w:p>
        </w:tc>
        <w:tc>
          <w:tcPr>
            <w:tcW w:w="0" w:type="auto"/>
            <w:tcBorders>
              <w:top w:val="nil"/>
              <w:left w:val="nil"/>
              <w:bottom w:val="nil"/>
              <w:right w:val="nil"/>
            </w:tcBorders>
            <w:shd w:val="clear" w:color="000000" w:fill="FFFFFF"/>
            <w:noWrap/>
            <w:vAlign w:val="bottom"/>
            <w:hideMark/>
          </w:tcPr>
          <w:p w14:paraId="4C9503AE"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(US$)</w:t>
            </w:r>
          </w:p>
        </w:tc>
        <w:tc>
          <w:tcPr>
            <w:tcW w:w="0" w:type="auto"/>
            <w:tcBorders>
              <w:top w:val="nil"/>
              <w:left w:val="single" w:sz="4" w:space="0" w:color="auto"/>
              <w:bottom w:val="nil"/>
              <w:right w:val="nil"/>
            </w:tcBorders>
            <w:shd w:val="clear" w:color="000000" w:fill="FFFFFF"/>
            <w:noWrap/>
            <w:vAlign w:val="bottom"/>
            <w:hideMark/>
          </w:tcPr>
          <w:p w14:paraId="0BBB130A"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 </w:t>
            </w:r>
          </w:p>
        </w:tc>
        <w:tc>
          <w:tcPr>
            <w:tcW w:w="0" w:type="auto"/>
            <w:tcBorders>
              <w:top w:val="nil"/>
              <w:left w:val="nil"/>
              <w:bottom w:val="nil"/>
              <w:right w:val="nil"/>
            </w:tcBorders>
            <w:shd w:val="clear" w:color="000000" w:fill="FFFFFF"/>
            <w:noWrap/>
            <w:vAlign w:val="bottom"/>
            <w:hideMark/>
          </w:tcPr>
          <w:p w14:paraId="22D61E88" w14:textId="77777777" w:rsidR="001B6268" w:rsidRPr="001B6268" w:rsidRDefault="001B6268" w:rsidP="001B6268">
            <w:pPr>
              <w:spacing w:after="0" w:line="240" w:lineRule="auto"/>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Setor</w:t>
            </w:r>
          </w:p>
        </w:tc>
        <w:tc>
          <w:tcPr>
            <w:tcW w:w="0" w:type="auto"/>
            <w:tcBorders>
              <w:top w:val="nil"/>
              <w:left w:val="nil"/>
              <w:bottom w:val="nil"/>
              <w:right w:val="nil"/>
            </w:tcBorders>
            <w:shd w:val="clear" w:color="000000" w:fill="FFFFFF"/>
            <w:noWrap/>
            <w:vAlign w:val="bottom"/>
            <w:hideMark/>
          </w:tcPr>
          <w:p w14:paraId="0B5E0E38"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w:t>
            </w:r>
          </w:p>
        </w:tc>
        <w:tc>
          <w:tcPr>
            <w:tcW w:w="0" w:type="auto"/>
            <w:tcBorders>
              <w:top w:val="nil"/>
              <w:left w:val="nil"/>
              <w:bottom w:val="nil"/>
              <w:right w:val="nil"/>
            </w:tcBorders>
            <w:shd w:val="clear" w:color="000000" w:fill="FFFFFF"/>
            <w:noWrap/>
            <w:vAlign w:val="bottom"/>
            <w:hideMark/>
          </w:tcPr>
          <w:p w14:paraId="32542069" w14:textId="77777777" w:rsidR="001B6268" w:rsidRPr="001B6268" w:rsidRDefault="001B6268" w:rsidP="001B6268">
            <w:pPr>
              <w:spacing w:after="0" w:line="240" w:lineRule="auto"/>
              <w:jc w:val="right"/>
              <w:rPr>
                <w:rFonts w:ascii="Times New Roman" w:eastAsia="Times New Roman" w:hAnsi="Times New Roman" w:cs="Times New Roman"/>
                <w:b/>
                <w:bCs/>
                <w:color w:val="000000"/>
                <w:sz w:val="16"/>
                <w:szCs w:val="16"/>
                <w:lang w:eastAsia="pt-BR"/>
              </w:rPr>
            </w:pPr>
            <w:r w:rsidRPr="001B6268">
              <w:rPr>
                <w:rFonts w:ascii="Times New Roman" w:eastAsia="Times New Roman" w:hAnsi="Times New Roman" w:cs="Times New Roman"/>
                <w:b/>
                <w:bCs/>
                <w:color w:val="000000"/>
                <w:sz w:val="16"/>
                <w:szCs w:val="16"/>
                <w:lang w:eastAsia="pt-BR"/>
              </w:rPr>
              <w:t>(US$)</w:t>
            </w:r>
          </w:p>
        </w:tc>
      </w:tr>
      <w:tr w:rsidR="001B6268" w:rsidRPr="001B6268" w14:paraId="52712FF2" w14:textId="77777777" w:rsidTr="001B6268">
        <w:trPr>
          <w:trHeight w:val="300"/>
        </w:trPr>
        <w:tc>
          <w:tcPr>
            <w:tcW w:w="0" w:type="auto"/>
            <w:tcBorders>
              <w:top w:val="nil"/>
              <w:left w:val="nil"/>
              <w:bottom w:val="nil"/>
              <w:right w:val="nil"/>
            </w:tcBorders>
            <w:shd w:val="clear" w:color="000000" w:fill="FFFFFF"/>
            <w:noWrap/>
            <w:vAlign w:val="bottom"/>
            <w:hideMark/>
          </w:tcPr>
          <w:p w14:paraId="2E328654"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w:t>
            </w:r>
          </w:p>
        </w:tc>
        <w:tc>
          <w:tcPr>
            <w:tcW w:w="0" w:type="auto"/>
            <w:tcBorders>
              <w:top w:val="nil"/>
              <w:left w:val="nil"/>
              <w:bottom w:val="nil"/>
              <w:right w:val="nil"/>
            </w:tcBorders>
            <w:shd w:val="clear" w:color="000000" w:fill="FFFFFF"/>
            <w:noWrap/>
            <w:vAlign w:val="bottom"/>
            <w:hideMark/>
          </w:tcPr>
          <w:p w14:paraId="63581C68"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Alimentos (baixa)</w:t>
            </w:r>
          </w:p>
        </w:tc>
        <w:tc>
          <w:tcPr>
            <w:tcW w:w="0" w:type="auto"/>
            <w:tcBorders>
              <w:top w:val="nil"/>
              <w:left w:val="nil"/>
              <w:bottom w:val="nil"/>
              <w:right w:val="nil"/>
            </w:tcBorders>
            <w:shd w:val="clear" w:color="000000" w:fill="FFFFFF"/>
            <w:noWrap/>
            <w:vAlign w:val="bottom"/>
            <w:hideMark/>
          </w:tcPr>
          <w:p w14:paraId="46469E18"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40,83%</w:t>
            </w:r>
          </w:p>
        </w:tc>
        <w:tc>
          <w:tcPr>
            <w:tcW w:w="0" w:type="auto"/>
            <w:tcBorders>
              <w:top w:val="nil"/>
              <w:left w:val="nil"/>
              <w:bottom w:val="nil"/>
              <w:right w:val="nil"/>
            </w:tcBorders>
            <w:shd w:val="clear" w:color="000000" w:fill="FFFFFF"/>
            <w:noWrap/>
            <w:vAlign w:val="bottom"/>
            <w:hideMark/>
          </w:tcPr>
          <w:p w14:paraId="1E2BD02B"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2.976.822.900,00 </w:t>
            </w:r>
          </w:p>
        </w:tc>
        <w:tc>
          <w:tcPr>
            <w:tcW w:w="0" w:type="auto"/>
            <w:tcBorders>
              <w:top w:val="nil"/>
              <w:left w:val="single" w:sz="4" w:space="0" w:color="auto"/>
              <w:bottom w:val="nil"/>
              <w:right w:val="nil"/>
            </w:tcBorders>
            <w:shd w:val="clear" w:color="000000" w:fill="FFFFFF"/>
            <w:noWrap/>
            <w:vAlign w:val="bottom"/>
            <w:hideMark/>
          </w:tcPr>
          <w:p w14:paraId="11DDC61C"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w:t>
            </w:r>
          </w:p>
        </w:tc>
        <w:tc>
          <w:tcPr>
            <w:tcW w:w="0" w:type="auto"/>
            <w:tcBorders>
              <w:top w:val="nil"/>
              <w:left w:val="nil"/>
              <w:bottom w:val="nil"/>
              <w:right w:val="nil"/>
            </w:tcBorders>
            <w:shd w:val="clear" w:color="000000" w:fill="FFFFFF"/>
            <w:noWrap/>
            <w:vAlign w:val="bottom"/>
            <w:hideMark/>
          </w:tcPr>
          <w:p w14:paraId="0405D467"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Produtos químicos (média-alta)</w:t>
            </w:r>
          </w:p>
        </w:tc>
        <w:tc>
          <w:tcPr>
            <w:tcW w:w="0" w:type="auto"/>
            <w:tcBorders>
              <w:top w:val="nil"/>
              <w:left w:val="nil"/>
              <w:bottom w:val="nil"/>
              <w:right w:val="nil"/>
            </w:tcBorders>
            <w:shd w:val="clear" w:color="000000" w:fill="FFFFFF"/>
            <w:noWrap/>
            <w:vAlign w:val="bottom"/>
            <w:hideMark/>
          </w:tcPr>
          <w:p w14:paraId="6EB217AE"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22,25%</w:t>
            </w:r>
          </w:p>
        </w:tc>
        <w:tc>
          <w:tcPr>
            <w:tcW w:w="0" w:type="auto"/>
            <w:tcBorders>
              <w:top w:val="nil"/>
              <w:left w:val="nil"/>
              <w:bottom w:val="nil"/>
              <w:right w:val="nil"/>
            </w:tcBorders>
            <w:shd w:val="clear" w:color="000000" w:fill="FFFFFF"/>
            <w:noWrap/>
            <w:vAlign w:val="bottom"/>
            <w:hideMark/>
          </w:tcPr>
          <w:p w14:paraId="41436B1E"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3.438.904.626,00 </w:t>
            </w:r>
          </w:p>
        </w:tc>
      </w:tr>
      <w:tr w:rsidR="001B6268" w:rsidRPr="001B6268" w14:paraId="5F12B284" w14:textId="77777777" w:rsidTr="001B6268">
        <w:trPr>
          <w:trHeight w:val="300"/>
        </w:trPr>
        <w:tc>
          <w:tcPr>
            <w:tcW w:w="0" w:type="auto"/>
            <w:tcBorders>
              <w:top w:val="nil"/>
              <w:left w:val="nil"/>
              <w:bottom w:val="nil"/>
              <w:right w:val="nil"/>
            </w:tcBorders>
            <w:shd w:val="clear" w:color="000000" w:fill="FFFFFF"/>
            <w:noWrap/>
            <w:vAlign w:val="bottom"/>
            <w:hideMark/>
          </w:tcPr>
          <w:p w14:paraId="5B492CC8"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w:t>
            </w:r>
          </w:p>
        </w:tc>
        <w:tc>
          <w:tcPr>
            <w:tcW w:w="0" w:type="auto"/>
            <w:tcBorders>
              <w:top w:val="nil"/>
              <w:left w:val="nil"/>
              <w:bottom w:val="nil"/>
              <w:right w:val="nil"/>
            </w:tcBorders>
            <w:shd w:val="clear" w:color="000000" w:fill="FFFFFF"/>
            <w:noWrap/>
            <w:vAlign w:val="bottom"/>
            <w:hideMark/>
          </w:tcPr>
          <w:p w14:paraId="2147D4A4"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Madeira (baixa)</w:t>
            </w:r>
          </w:p>
        </w:tc>
        <w:tc>
          <w:tcPr>
            <w:tcW w:w="0" w:type="auto"/>
            <w:tcBorders>
              <w:top w:val="nil"/>
              <w:left w:val="nil"/>
              <w:bottom w:val="nil"/>
              <w:right w:val="nil"/>
            </w:tcBorders>
            <w:shd w:val="clear" w:color="000000" w:fill="FFFFFF"/>
            <w:noWrap/>
            <w:vAlign w:val="bottom"/>
            <w:hideMark/>
          </w:tcPr>
          <w:p w14:paraId="5BB56534"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13,29%</w:t>
            </w:r>
          </w:p>
        </w:tc>
        <w:tc>
          <w:tcPr>
            <w:tcW w:w="0" w:type="auto"/>
            <w:tcBorders>
              <w:top w:val="nil"/>
              <w:left w:val="nil"/>
              <w:bottom w:val="nil"/>
              <w:right w:val="nil"/>
            </w:tcBorders>
            <w:shd w:val="clear" w:color="000000" w:fill="FFFFFF"/>
            <w:noWrap/>
            <w:vAlign w:val="bottom"/>
            <w:hideMark/>
          </w:tcPr>
          <w:p w14:paraId="58F85C9F"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968.531.890,00 </w:t>
            </w:r>
          </w:p>
        </w:tc>
        <w:tc>
          <w:tcPr>
            <w:tcW w:w="0" w:type="auto"/>
            <w:tcBorders>
              <w:top w:val="nil"/>
              <w:left w:val="single" w:sz="4" w:space="0" w:color="auto"/>
              <w:bottom w:val="nil"/>
              <w:right w:val="nil"/>
            </w:tcBorders>
            <w:shd w:val="clear" w:color="000000" w:fill="FFFFFF"/>
            <w:noWrap/>
            <w:vAlign w:val="bottom"/>
            <w:hideMark/>
          </w:tcPr>
          <w:p w14:paraId="4B062CB5"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2</w:t>
            </w:r>
          </w:p>
        </w:tc>
        <w:tc>
          <w:tcPr>
            <w:tcW w:w="0" w:type="auto"/>
            <w:tcBorders>
              <w:top w:val="nil"/>
              <w:left w:val="nil"/>
              <w:bottom w:val="nil"/>
              <w:right w:val="nil"/>
            </w:tcBorders>
            <w:shd w:val="clear" w:color="000000" w:fill="FFFFFF"/>
            <w:noWrap/>
            <w:vAlign w:val="bottom"/>
            <w:hideMark/>
          </w:tcPr>
          <w:p w14:paraId="46EDF9A4"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Metais básicos (média-baixa)</w:t>
            </w:r>
          </w:p>
        </w:tc>
        <w:tc>
          <w:tcPr>
            <w:tcW w:w="0" w:type="auto"/>
            <w:tcBorders>
              <w:top w:val="nil"/>
              <w:left w:val="nil"/>
              <w:bottom w:val="nil"/>
              <w:right w:val="nil"/>
            </w:tcBorders>
            <w:shd w:val="clear" w:color="000000" w:fill="FFFFFF"/>
            <w:noWrap/>
            <w:vAlign w:val="bottom"/>
            <w:hideMark/>
          </w:tcPr>
          <w:p w14:paraId="328ED2E8"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12,93%</w:t>
            </w:r>
          </w:p>
        </w:tc>
        <w:tc>
          <w:tcPr>
            <w:tcW w:w="0" w:type="auto"/>
            <w:tcBorders>
              <w:top w:val="nil"/>
              <w:left w:val="nil"/>
              <w:bottom w:val="nil"/>
              <w:right w:val="nil"/>
            </w:tcBorders>
            <w:shd w:val="clear" w:color="000000" w:fill="FFFFFF"/>
            <w:noWrap/>
            <w:vAlign w:val="bottom"/>
            <w:hideMark/>
          </w:tcPr>
          <w:p w14:paraId="2C3DEF51"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1.998.044.250,00 </w:t>
            </w:r>
          </w:p>
        </w:tc>
      </w:tr>
      <w:tr w:rsidR="001B6268" w:rsidRPr="001B6268" w14:paraId="74064D23" w14:textId="77777777" w:rsidTr="001B6268">
        <w:trPr>
          <w:trHeight w:val="300"/>
        </w:trPr>
        <w:tc>
          <w:tcPr>
            <w:tcW w:w="0" w:type="auto"/>
            <w:tcBorders>
              <w:top w:val="nil"/>
              <w:left w:val="nil"/>
              <w:bottom w:val="nil"/>
              <w:right w:val="nil"/>
            </w:tcBorders>
            <w:shd w:val="clear" w:color="000000" w:fill="FFFFFF"/>
            <w:noWrap/>
            <w:vAlign w:val="bottom"/>
            <w:hideMark/>
          </w:tcPr>
          <w:p w14:paraId="6B5765B7"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3</w:t>
            </w:r>
          </w:p>
        </w:tc>
        <w:tc>
          <w:tcPr>
            <w:tcW w:w="0" w:type="auto"/>
            <w:tcBorders>
              <w:top w:val="nil"/>
              <w:left w:val="nil"/>
              <w:bottom w:val="nil"/>
              <w:right w:val="nil"/>
            </w:tcBorders>
            <w:shd w:val="clear" w:color="000000" w:fill="FFFFFF"/>
            <w:noWrap/>
            <w:vAlign w:val="bottom"/>
            <w:hideMark/>
          </w:tcPr>
          <w:p w14:paraId="12E60FAD"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Equip. elétricos (média-alta)</w:t>
            </w:r>
          </w:p>
        </w:tc>
        <w:tc>
          <w:tcPr>
            <w:tcW w:w="0" w:type="auto"/>
            <w:tcBorders>
              <w:top w:val="nil"/>
              <w:left w:val="nil"/>
              <w:bottom w:val="nil"/>
              <w:right w:val="nil"/>
            </w:tcBorders>
            <w:shd w:val="clear" w:color="000000" w:fill="FFFFFF"/>
            <w:noWrap/>
            <w:vAlign w:val="bottom"/>
            <w:hideMark/>
          </w:tcPr>
          <w:p w14:paraId="1EF40C6F"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7,43%</w:t>
            </w:r>
          </w:p>
        </w:tc>
        <w:tc>
          <w:tcPr>
            <w:tcW w:w="0" w:type="auto"/>
            <w:tcBorders>
              <w:top w:val="nil"/>
              <w:left w:val="nil"/>
              <w:bottom w:val="nil"/>
              <w:right w:val="nil"/>
            </w:tcBorders>
            <w:shd w:val="clear" w:color="000000" w:fill="FFFFFF"/>
            <w:noWrap/>
            <w:vAlign w:val="bottom"/>
            <w:hideMark/>
          </w:tcPr>
          <w:p w14:paraId="138DB4BA"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541.667.959,00 </w:t>
            </w:r>
          </w:p>
        </w:tc>
        <w:tc>
          <w:tcPr>
            <w:tcW w:w="0" w:type="auto"/>
            <w:tcBorders>
              <w:top w:val="nil"/>
              <w:left w:val="single" w:sz="4" w:space="0" w:color="auto"/>
              <w:bottom w:val="nil"/>
              <w:right w:val="nil"/>
            </w:tcBorders>
            <w:shd w:val="clear" w:color="000000" w:fill="FFFFFF"/>
            <w:noWrap/>
            <w:vAlign w:val="bottom"/>
            <w:hideMark/>
          </w:tcPr>
          <w:p w14:paraId="3E5AF21A"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3</w:t>
            </w:r>
          </w:p>
        </w:tc>
        <w:tc>
          <w:tcPr>
            <w:tcW w:w="0" w:type="auto"/>
            <w:tcBorders>
              <w:top w:val="nil"/>
              <w:left w:val="nil"/>
              <w:bottom w:val="nil"/>
              <w:right w:val="nil"/>
            </w:tcBorders>
            <w:shd w:val="clear" w:color="000000" w:fill="FFFFFF"/>
            <w:noWrap/>
            <w:vAlign w:val="bottom"/>
            <w:hideMark/>
          </w:tcPr>
          <w:p w14:paraId="4206A191"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M&amp;E (média-alta)</w:t>
            </w:r>
          </w:p>
        </w:tc>
        <w:tc>
          <w:tcPr>
            <w:tcW w:w="0" w:type="auto"/>
            <w:tcBorders>
              <w:top w:val="nil"/>
              <w:left w:val="nil"/>
              <w:bottom w:val="nil"/>
              <w:right w:val="nil"/>
            </w:tcBorders>
            <w:shd w:val="clear" w:color="000000" w:fill="FFFFFF"/>
            <w:noWrap/>
            <w:vAlign w:val="bottom"/>
            <w:hideMark/>
          </w:tcPr>
          <w:p w14:paraId="13711484"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9,38%</w:t>
            </w:r>
          </w:p>
        </w:tc>
        <w:tc>
          <w:tcPr>
            <w:tcW w:w="0" w:type="auto"/>
            <w:tcBorders>
              <w:top w:val="nil"/>
              <w:left w:val="nil"/>
              <w:bottom w:val="nil"/>
              <w:right w:val="nil"/>
            </w:tcBorders>
            <w:shd w:val="clear" w:color="000000" w:fill="FFFFFF"/>
            <w:noWrap/>
            <w:vAlign w:val="bottom"/>
            <w:hideMark/>
          </w:tcPr>
          <w:p w14:paraId="742CC173"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1.449.222.811,00 </w:t>
            </w:r>
          </w:p>
        </w:tc>
      </w:tr>
      <w:tr w:rsidR="001B6268" w:rsidRPr="001B6268" w14:paraId="4F91FB0E" w14:textId="77777777" w:rsidTr="001B6268">
        <w:trPr>
          <w:trHeight w:val="300"/>
        </w:trPr>
        <w:tc>
          <w:tcPr>
            <w:tcW w:w="0" w:type="auto"/>
            <w:tcBorders>
              <w:top w:val="nil"/>
              <w:left w:val="nil"/>
              <w:bottom w:val="nil"/>
              <w:right w:val="nil"/>
            </w:tcBorders>
            <w:shd w:val="clear" w:color="000000" w:fill="FFFFFF"/>
            <w:noWrap/>
            <w:vAlign w:val="bottom"/>
            <w:hideMark/>
          </w:tcPr>
          <w:p w14:paraId="30CA3B5D"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4</w:t>
            </w:r>
          </w:p>
        </w:tc>
        <w:tc>
          <w:tcPr>
            <w:tcW w:w="0" w:type="auto"/>
            <w:tcBorders>
              <w:top w:val="nil"/>
              <w:left w:val="nil"/>
              <w:bottom w:val="nil"/>
              <w:right w:val="nil"/>
            </w:tcBorders>
            <w:shd w:val="clear" w:color="000000" w:fill="FFFFFF"/>
            <w:noWrap/>
            <w:vAlign w:val="bottom"/>
            <w:hideMark/>
          </w:tcPr>
          <w:p w14:paraId="59543E2B"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M&amp;E (média-alta)</w:t>
            </w:r>
          </w:p>
        </w:tc>
        <w:tc>
          <w:tcPr>
            <w:tcW w:w="0" w:type="auto"/>
            <w:tcBorders>
              <w:top w:val="nil"/>
              <w:left w:val="nil"/>
              <w:bottom w:val="nil"/>
              <w:right w:val="nil"/>
            </w:tcBorders>
            <w:shd w:val="clear" w:color="000000" w:fill="FFFFFF"/>
            <w:noWrap/>
            <w:vAlign w:val="bottom"/>
            <w:hideMark/>
          </w:tcPr>
          <w:p w14:paraId="0FE1DA3B"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7,29%</w:t>
            </w:r>
          </w:p>
        </w:tc>
        <w:tc>
          <w:tcPr>
            <w:tcW w:w="0" w:type="auto"/>
            <w:tcBorders>
              <w:top w:val="nil"/>
              <w:left w:val="nil"/>
              <w:bottom w:val="nil"/>
              <w:right w:val="nil"/>
            </w:tcBorders>
            <w:shd w:val="clear" w:color="000000" w:fill="FFFFFF"/>
            <w:noWrap/>
            <w:vAlign w:val="bottom"/>
            <w:hideMark/>
          </w:tcPr>
          <w:p w14:paraId="667DBE68"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531.276.326,00 </w:t>
            </w:r>
          </w:p>
        </w:tc>
        <w:tc>
          <w:tcPr>
            <w:tcW w:w="0" w:type="auto"/>
            <w:tcBorders>
              <w:top w:val="nil"/>
              <w:left w:val="single" w:sz="4" w:space="0" w:color="auto"/>
              <w:bottom w:val="nil"/>
              <w:right w:val="nil"/>
            </w:tcBorders>
            <w:shd w:val="clear" w:color="000000" w:fill="FFFFFF"/>
            <w:noWrap/>
            <w:vAlign w:val="bottom"/>
            <w:hideMark/>
          </w:tcPr>
          <w:p w14:paraId="00FE85BC"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4</w:t>
            </w:r>
          </w:p>
        </w:tc>
        <w:tc>
          <w:tcPr>
            <w:tcW w:w="0" w:type="auto"/>
            <w:tcBorders>
              <w:top w:val="nil"/>
              <w:left w:val="nil"/>
              <w:bottom w:val="nil"/>
              <w:right w:val="nil"/>
            </w:tcBorders>
            <w:shd w:val="clear" w:color="000000" w:fill="FFFFFF"/>
            <w:noWrap/>
            <w:vAlign w:val="bottom"/>
            <w:hideMark/>
          </w:tcPr>
          <w:p w14:paraId="3F5D2AA1"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Informática e eletrônicos (alta)</w:t>
            </w:r>
          </w:p>
        </w:tc>
        <w:tc>
          <w:tcPr>
            <w:tcW w:w="0" w:type="auto"/>
            <w:tcBorders>
              <w:top w:val="nil"/>
              <w:left w:val="nil"/>
              <w:bottom w:val="nil"/>
              <w:right w:val="nil"/>
            </w:tcBorders>
            <w:shd w:val="clear" w:color="000000" w:fill="FFFFFF"/>
            <w:noWrap/>
            <w:vAlign w:val="bottom"/>
            <w:hideMark/>
          </w:tcPr>
          <w:p w14:paraId="74393834"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8,06%</w:t>
            </w:r>
          </w:p>
        </w:tc>
        <w:tc>
          <w:tcPr>
            <w:tcW w:w="0" w:type="auto"/>
            <w:tcBorders>
              <w:top w:val="nil"/>
              <w:left w:val="nil"/>
              <w:bottom w:val="nil"/>
              <w:right w:val="nil"/>
            </w:tcBorders>
            <w:shd w:val="clear" w:color="000000" w:fill="FFFFFF"/>
            <w:noWrap/>
            <w:vAlign w:val="bottom"/>
            <w:hideMark/>
          </w:tcPr>
          <w:p w14:paraId="522E26C3"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1.246.024.679,00 </w:t>
            </w:r>
          </w:p>
        </w:tc>
      </w:tr>
      <w:tr w:rsidR="001B6268" w:rsidRPr="001B6268" w14:paraId="5BF380FB" w14:textId="77777777" w:rsidTr="001B6268">
        <w:trPr>
          <w:trHeight w:val="315"/>
        </w:trPr>
        <w:tc>
          <w:tcPr>
            <w:tcW w:w="0" w:type="auto"/>
            <w:tcBorders>
              <w:top w:val="nil"/>
              <w:left w:val="nil"/>
              <w:bottom w:val="double" w:sz="6" w:space="0" w:color="auto"/>
              <w:right w:val="nil"/>
            </w:tcBorders>
            <w:shd w:val="clear" w:color="000000" w:fill="FFFFFF"/>
            <w:noWrap/>
            <w:vAlign w:val="bottom"/>
            <w:hideMark/>
          </w:tcPr>
          <w:p w14:paraId="2E59175D"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5</w:t>
            </w:r>
          </w:p>
        </w:tc>
        <w:tc>
          <w:tcPr>
            <w:tcW w:w="0" w:type="auto"/>
            <w:tcBorders>
              <w:top w:val="nil"/>
              <w:left w:val="nil"/>
              <w:bottom w:val="double" w:sz="6" w:space="0" w:color="auto"/>
              <w:right w:val="nil"/>
            </w:tcBorders>
            <w:shd w:val="clear" w:color="000000" w:fill="FFFFFF"/>
            <w:noWrap/>
            <w:vAlign w:val="bottom"/>
            <w:hideMark/>
          </w:tcPr>
          <w:p w14:paraId="2AE20502"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Automóveis (média-alta)</w:t>
            </w:r>
          </w:p>
        </w:tc>
        <w:tc>
          <w:tcPr>
            <w:tcW w:w="0" w:type="auto"/>
            <w:tcBorders>
              <w:top w:val="nil"/>
              <w:left w:val="nil"/>
              <w:bottom w:val="double" w:sz="6" w:space="0" w:color="auto"/>
              <w:right w:val="nil"/>
            </w:tcBorders>
            <w:shd w:val="clear" w:color="000000" w:fill="FFFFFF"/>
            <w:noWrap/>
            <w:vAlign w:val="bottom"/>
            <w:hideMark/>
          </w:tcPr>
          <w:p w14:paraId="3BE6D65F"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5,86%</w:t>
            </w:r>
          </w:p>
        </w:tc>
        <w:tc>
          <w:tcPr>
            <w:tcW w:w="0" w:type="auto"/>
            <w:tcBorders>
              <w:top w:val="nil"/>
              <w:left w:val="nil"/>
              <w:bottom w:val="double" w:sz="6" w:space="0" w:color="auto"/>
              <w:right w:val="nil"/>
            </w:tcBorders>
            <w:shd w:val="clear" w:color="000000" w:fill="FFFFFF"/>
            <w:noWrap/>
            <w:vAlign w:val="bottom"/>
            <w:hideMark/>
          </w:tcPr>
          <w:p w14:paraId="21BAE0A4"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427.159.979,00 </w:t>
            </w:r>
          </w:p>
        </w:tc>
        <w:tc>
          <w:tcPr>
            <w:tcW w:w="0" w:type="auto"/>
            <w:tcBorders>
              <w:top w:val="nil"/>
              <w:left w:val="single" w:sz="4" w:space="0" w:color="auto"/>
              <w:bottom w:val="double" w:sz="6" w:space="0" w:color="auto"/>
              <w:right w:val="nil"/>
            </w:tcBorders>
            <w:shd w:val="clear" w:color="000000" w:fill="FFFFFF"/>
            <w:noWrap/>
            <w:vAlign w:val="bottom"/>
            <w:hideMark/>
          </w:tcPr>
          <w:p w14:paraId="1948BD29"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5</w:t>
            </w:r>
          </w:p>
        </w:tc>
        <w:tc>
          <w:tcPr>
            <w:tcW w:w="0" w:type="auto"/>
            <w:tcBorders>
              <w:top w:val="nil"/>
              <w:left w:val="nil"/>
              <w:bottom w:val="double" w:sz="6" w:space="0" w:color="auto"/>
              <w:right w:val="nil"/>
            </w:tcBorders>
            <w:shd w:val="clear" w:color="000000" w:fill="FFFFFF"/>
            <w:noWrap/>
            <w:vAlign w:val="bottom"/>
            <w:hideMark/>
          </w:tcPr>
          <w:p w14:paraId="168D8F9C"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Equip. elétricos (média-alta)</w:t>
            </w:r>
          </w:p>
        </w:tc>
        <w:tc>
          <w:tcPr>
            <w:tcW w:w="0" w:type="auto"/>
            <w:tcBorders>
              <w:top w:val="nil"/>
              <w:left w:val="nil"/>
              <w:bottom w:val="double" w:sz="6" w:space="0" w:color="auto"/>
              <w:right w:val="nil"/>
            </w:tcBorders>
            <w:shd w:val="clear" w:color="000000" w:fill="FFFFFF"/>
            <w:noWrap/>
            <w:vAlign w:val="bottom"/>
            <w:hideMark/>
          </w:tcPr>
          <w:p w14:paraId="4FCB129C" w14:textId="77777777" w:rsidR="001B6268" w:rsidRPr="001B6268" w:rsidRDefault="001B6268" w:rsidP="001B6268">
            <w:pPr>
              <w:spacing w:after="0" w:line="240" w:lineRule="auto"/>
              <w:jc w:val="right"/>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7,84%</w:t>
            </w:r>
          </w:p>
        </w:tc>
        <w:tc>
          <w:tcPr>
            <w:tcW w:w="0" w:type="auto"/>
            <w:tcBorders>
              <w:top w:val="nil"/>
              <w:left w:val="nil"/>
              <w:bottom w:val="double" w:sz="6" w:space="0" w:color="auto"/>
              <w:right w:val="nil"/>
            </w:tcBorders>
            <w:shd w:val="clear" w:color="000000" w:fill="FFFFFF"/>
            <w:noWrap/>
            <w:vAlign w:val="bottom"/>
            <w:hideMark/>
          </w:tcPr>
          <w:p w14:paraId="3C95DAB1" w14:textId="77777777" w:rsidR="001B6268" w:rsidRPr="001B6268" w:rsidRDefault="001B6268" w:rsidP="001B6268">
            <w:pPr>
              <w:spacing w:after="0" w:line="240" w:lineRule="auto"/>
              <w:rPr>
                <w:rFonts w:ascii="Times New Roman" w:eastAsia="Times New Roman" w:hAnsi="Times New Roman" w:cs="Times New Roman"/>
                <w:color w:val="000000"/>
                <w:sz w:val="16"/>
                <w:szCs w:val="16"/>
                <w:lang w:eastAsia="pt-BR"/>
              </w:rPr>
            </w:pPr>
            <w:r w:rsidRPr="001B6268">
              <w:rPr>
                <w:rFonts w:ascii="Times New Roman" w:eastAsia="Times New Roman" w:hAnsi="Times New Roman" w:cs="Times New Roman"/>
                <w:color w:val="000000"/>
                <w:sz w:val="16"/>
                <w:szCs w:val="16"/>
                <w:lang w:eastAsia="pt-BR"/>
              </w:rPr>
              <w:t xml:space="preserve"> $  1.211.398.130,00 </w:t>
            </w:r>
          </w:p>
        </w:tc>
      </w:tr>
    </w:tbl>
    <w:p w14:paraId="2086C742" w14:textId="64C3EC69" w:rsidR="002E7A48" w:rsidRPr="00A549F9" w:rsidRDefault="00393ABA" w:rsidP="00A549F9">
      <w:pPr>
        <w:jc w:val="both"/>
        <w:rPr>
          <w:rFonts w:ascii="Times New Roman" w:hAnsi="Times New Roman" w:cs="Times New Roman"/>
          <w:b/>
          <w:sz w:val="24"/>
          <w:szCs w:val="24"/>
        </w:rPr>
      </w:pPr>
      <w:r w:rsidRPr="008D5406">
        <w:rPr>
          <w:rFonts w:ascii="Times New Roman" w:hAnsi="Times New Roman" w:cs="Times New Roman"/>
          <w:b/>
          <w:sz w:val="20"/>
          <w:szCs w:val="20"/>
        </w:rPr>
        <w:t>Fonte: Comex Stat (2022).</w:t>
      </w:r>
    </w:p>
    <w:p w14:paraId="616E0740" w14:textId="210DE480" w:rsidR="005D37AA" w:rsidRDefault="00C46D8A"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Esse quadro estrutural p</w:t>
      </w:r>
      <w:r w:rsidR="00C67BD8">
        <w:rPr>
          <w:rFonts w:ascii="Times New Roman" w:hAnsi="Times New Roman" w:cs="Times New Roman"/>
          <w:sz w:val="24"/>
          <w:szCs w:val="24"/>
        </w:rPr>
        <w:t>ode ser observado pelo gráfico 7</w:t>
      </w:r>
      <w:r>
        <w:rPr>
          <w:rFonts w:ascii="Times New Roman" w:hAnsi="Times New Roman" w:cs="Times New Roman"/>
          <w:sz w:val="24"/>
          <w:szCs w:val="24"/>
        </w:rPr>
        <w:t xml:space="preserve"> que mostra </w:t>
      </w:r>
      <w:r w:rsidR="00F66DEB">
        <w:rPr>
          <w:rFonts w:ascii="Times New Roman" w:hAnsi="Times New Roman" w:cs="Times New Roman"/>
          <w:sz w:val="24"/>
          <w:szCs w:val="24"/>
        </w:rPr>
        <w:t xml:space="preserve">a deterioração do saldo comercial de Santa Catarina a partir </w:t>
      </w:r>
      <w:r>
        <w:rPr>
          <w:rFonts w:ascii="Times New Roman" w:hAnsi="Times New Roman" w:cs="Times New Roman"/>
          <w:sz w:val="24"/>
          <w:szCs w:val="24"/>
        </w:rPr>
        <w:t>do ano de 2005</w:t>
      </w:r>
      <w:r w:rsidR="00064852">
        <w:rPr>
          <w:rFonts w:ascii="Times New Roman" w:hAnsi="Times New Roman" w:cs="Times New Roman"/>
          <w:sz w:val="24"/>
          <w:szCs w:val="24"/>
        </w:rPr>
        <w:t xml:space="preserve">, </w:t>
      </w:r>
      <w:r w:rsidR="00F66DEB">
        <w:rPr>
          <w:rFonts w:ascii="Times New Roman" w:hAnsi="Times New Roman" w:cs="Times New Roman"/>
          <w:sz w:val="24"/>
          <w:szCs w:val="24"/>
        </w:rPr>
        <w:t xml:space="preserve">período em que </w:t>
      </w:r>
      <w:r w:rsidR="0029329D">
        <w:rPr>
          <w:rFonts w:ascii="Times New Roman" w:hAnsi="Times New Roman" w:cs="Times New Roman"/>
          <w:sz w:val="24"/>
          <w:szCs w:val="24"/>
        </w:rPr>
        <w:t>se verificou</w:t>
      </w:r>
      <w:r w:rsidR="005D37AA">
        <w:rPr>
          <w:rFonts w:ascii="Times New Roman" w:hAnsi="Times New Roman" w:cs="Times New Roman"/>
          <w:sz w:val="24"/>
          <w:szCs w:val="24"/>
        </w:rPr>
        <w:t xml:space="preserve"> o aprofundamento da</w:t>
      </w:r>
      <w:r w:rsidR="00F66DEB">
        <w:rPr>
          <w:rFonts w:ascii="Times New Roman" w:hAnsi="Times New Roman" w:cs="Times New Roman"/>
          <w:sz w:val="24"/>
          <w:szCs w:val="24"/>
        </w:rPr>
        <w:t xml:space="preserve"> </w:t>
      </w:r>
      <w:r w:rsidR="00064852">
        <w:rPr>
          <w:rFonts w:ascii="Times New Roman" w:hAnsi="Times New Roman" w:cs="Times New Roman"/>
          <w:sz w:val="24"/>
          <w:szCs w:val="24"/>
        </w:rPr>
        <w:t>apreciação do câmbio</w:t>
      </w:r>
      <w:r w:rsidR="00F66DEB">
        <w:rPr>
          <w:rFonts w:ascii="Times New Roman" w:hAnsi="Times New Roman" w:cs="Times New Roman"/>
          <w:sz w:val="24"/>
          <w:szCs w:val="24"/>
        </w:rPr>
        <w:t xml:space="preserve"> até </w:t>
      </w:r>
      <w:r>
        <w:rPr>
          <w:rFonts w:ascii="Times New Roman" w:hAnsi="Times New Roman" w:cs="Times New Roman"/>
          <w:sz w:val="24"/>
          <w:szCs w:val="24"/>
        </w:rPr>
        <w:t>o ano de</w:t>
      </w:r>
      <w:r w:rsidR="005D37AA">
        <w:rPr>
          <w:rFonts w:ascii="Times New Roman" w:hAnsi="Times New Roman" w:cs="Times New Roman"/>
          <w:sz w:val="24"/>
          <w:szCs w:val="24"/>
        </w:rPr>
        <w:t xml:space="preserve"> 2011</w:t>
      </w:r>
      <w:r w:rsidR="00064852">
        <w:rPr>
          <w:rFonts w:ascii="Times New Roman" w:hAnsi="Times New Roman" w:cs="Times New Roman"/>
          <w:sz w:val="24"/>
          <w:szCs w:val="24"/>
        </w:rPr>
        <w:t>,</w:t>
      </w:r>
      <w:r w:rsidR="005D37AA">
        <w:rPr>
          <w:rFonts w:ascii="Times New Roman" w:hAnsi="Times New Roman" w:cs="Times New Roman"/>
          <w:sz w:val="24"/>
          <w:szCs w:val="24"/>
        </w:rPr>
        <w:t xml:space="preserve"> </w:t>
      </w:r>
      <w:r w:rsidR="007F6E13">
        <w:rPr>
          <w:rFonts w:ascii="Times New Roman" w:hAnsi="Times New Roman" w:cs="Times New Roman"/>
          <w:sz w:val="24"/>
          <w:szCs w:val="24"/>
        </w:rPr>
        <w:t xml:space="preserve">como reflexo do </w:t>
      </w:r>
      <w:r w:rsidR="007F6E13">
        <w:rPr>
          <w:rFonts w:ascii="Times New Roman" w:hAnsi="Times New Roman" w:cs="Times New Roman"/>
          <w:i/>
          <w:iCs/>
          <w:sz w:val="24"/>
          <w:szCs w:val="24"/>
        </w:rPr>
        <w:t xml:space="preserve">boom </w:t>
      </w:r>
      <w:r w:rsidR="007F6E13">
        <w:rPr>
          <w:rFonts w:ascii="Times New Roman" w:hAnsi="Times New Roman" w:cs="Times New Roman"/>
          <w:sz w:val="24"/>
          <w:szCs w:val="24"/>
        </w:rPr>
        <w:t xml:space="preserve">de </w:t>
      </w:r>
      <w:r w:rsidR="007F6E13">
        <w:rPr>
          <w:rFonts w:ascii="Times New Roman" w:hAnsi="Times New Roman" w:cs="Times New Roman"/>
          <w:i/>
          <w:iCs/>
          <w:sz w:val="24"/>
          <w:szCs w:val="24"/>
        </w:rPr>
        <w:t>commodities</w:t>
      </w:r>
      <w:r w:rsidR="005D37AA">
        <w:rPr>
          <w:rFonts w:ascii="Times New Roman" w:hAnsi="Times New Roman" w:cs="Times New Roman"/>
          <w:i/>
          <w:iCs/>
          <w:sz w:val="24"/>
          <w:szCs w:val="24"/>
        </w:rPr>
        <w:t>.</w:t>
      </w:r>
      <w:r w:rsidR="005D37AA">
        <w:rPr>
          <w:rFonts w:ascii="Times New Roman" w:hAnsi="Times New Roman" w:cs="Times New Roman"/>
          <w:sz w:val="24"/>
          <w:szCs w:val="24"/>
        </w:rPr>
        <w:t xml:space="preserve"> Os setores de alta </w:t>
      </w:r>
      <w:r w:rsidR="00F66DEB">
        <w:rPr>
          <w:rFonts w:ascii="Times New Roman" w:hAnsi="Times New Roman" w:cs="Times New Roman"/>
          <w:sz w:val="24"/>
          <w:szCs w:val="24"/>
        </w:rPr>
        <w:t>intensidade tecnológica</w:t>
      </w:r>
      <w:r w:rsidR="005D37AA">
        <w:rPr>
          <w:rFonts w:ascii="Times New Roman" w:hAnsi="Times New Roman" w:cs="Times New Roman"/>
          <w:sz w:val="24"/>
          <w:szCs w:val="24"/>
        </w:rPr>
        <w:t xml:space="preserve"> foram</w:t>
      </w:r>
      <w:r w:rsidR="00F66DEB">
        <w:rPr>
          <w:rFonts w:ascii="Times New Roman" w:hAnsi="Times New Roman" w:cs="Times New Roman"/>
          <w:sz w:val="24"/>
          <w:szCs w:val="24"/>
        </w:rPr>
        <w:t xml:space="preserve"> deficitário</w:t>
      </w:r>
      <w:r w:rsidR="005D37AA">
        <w:rPr>
          <w:rFonts w:ascii="Times New Roman" w:hAnsi="Times New Roman" w:cs="Times New Roman"/>
          <w:sz w:val="24"/>
          <w:szCs w:val="24"/>
        </w:rPr>
        <w:t>s</w:t>
      </w:r>
      <w:r w:rsidR="00F66DEB">
        <w:rPr>
          <w:rFonts w:ascii="Times New Roman" w:hAnsi="Times New Roman" w:cs="Times New Roman"/>
          <w:sz w:val="24"/>
          <w:szCs w:val="24"/>
        </w:rPr>
        <w:t xml:space="preserve"> em todo o período,</w:t>
      </w:r>
      <w:r w:rsidR="005D37AA">
        <w:rPr>
          <w:rFonts w:ascii="Times New Roman" w:hAnsi="Times New Roman" w:cs="Times New Roman"/>
          <w:sz w:val="24"/>
          <w:szCs w:val="24"/>
        </w:rPr>
        <w:t xml:space="preserve"> ao passo que os setores de baixa intensidade apresentaram comportamento inverso. Os setores </w:t>
      </w:r>
      <w:r w:rsidR="005D37AA">
        <w:rPr>
          <w:rFonts w:ascii="Times New Roman" w:hAnsi="Times New Roman" w:cs="Times New Roman"/>
          <w:sz w:val="24"/>
          <w:szCs w:val="24"/>
        </w:rPr>
        <w:lastRenderedPageBreak/>
        <w:t>de média baixa intensidade tecnológica se tornaram deficitários a partir do ano de 2005</w:t>
      </w:r>
      <w:r w:rsidR="00064852">
        <w:rPr>
          <w:rFonts w:ascii="Times New Roman" w:hAnsi="Times New Roman" w:cs="Times New Roman"/>
          <w:sz w:val="24"/>
          <w:szCs w:val="24"/>
        </w:rPr>
        <w:t>,</w:t>
      </w:r>
      <w:r w:rsidR="005D37AA">
        <w:rPr>
          <w:rFonts w:ascii="Times New Roman" w:hAnsi="Times New Roman" w:cs="Times New Roman"/>
          <w:sz w:val="24"/>
          <w:szCs w:val="24"/>
        </w:rPr>
        <w:t xml:space="preserve"> e assim e manteve até o final do período analisado.</w:t>
      </w:r>
    </w:p>
    <w:p w14:paraId="51BF2837" w14:textId="5B4B74BD" w:rsidR="008C05CC" w:rsidRDefault="008C05CC" w:rsidP="007817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w:t>
      </w:r>
      <w:r w:rsidR="00FA071C">
        <w:rPr>
          <w:rFonts w:ascii="Times New Roman" w:hAnsi="Times New Roman" w:cs="Times New Roman"/>
          <w:sz w:val="24"/>
          <w:szCs w:val="24"/>
        </w:rPr>
        <w:t>comportamento se torna progressivamente preocupante</w:t>
      </w:r>
      <w:r w:rsidR="00073143">
        <w:rPr>
          <w:rFonts w:ascii="Times New Roman" w:hAnsi="Times New Roman" w:cs="Times New Roman"/>
          <w:sz w:val="24"/>
          <w:szCs w:val="24"/>
        </w:rPr>
        <w:t>,</w:t>
      </w:r>
      <w:r w:rsidR="00FA071C">
        <w:rPr>
          <w:rFonts w:ascii="Times New Roman" w:hAnsi="Times New Roman" w:cs="Times New Roman"/>
          <w:sz w:val="24"/>
          <w:szCs w:val="24"/>
        </w:rPr>
        <w:t xml:space="preserve"> porque o saldo da balança comercial catarinense passou a apresentar saldo deficitário também para o setor de média alta intensidade tecnológica. Esse comportamento passou a ocorrer a partir do ano de 2008. Em outras palavras, observa-se que os setores </w:t>
      </w:r>
      <w:r>
        <w:rPr>
          <w:rFonts w:ascii="Times New Roman" w:hAnsi="Times New Roman" w:cs="Times New Roman"/>
          <w:sz w:val="24"/>
          <w:szCs w:val="24"/>
        </w:rPr>
        <w:t xml:space="preserve">mais sofisticados </w:t>
      </w:r>
      <w:r w:rsidR="00FA071C">
        <w:rPr>
          <w:rFonts w:ascii="Times New Roman" w:hAnsi="Times New Roman" w:cs="Times New Roman"/>
          <w:sz w:val="24"/>
          <w:szCs w:val="24"/>
        </w:rPr>
        <w:t>do</w:t>
      </w:r>
      <w:r>
        <w:rPr>
          <w:rFonts w:ascii="Times New Roman" w:hAnsi="Times New Roman" w:cs="Times New Roman"/>
          <w:sz w:val="24"/>
          <w:szCs w:val="24"/>
        </w:rPr>
        <w:t xml:space="preserve"> estado de Santa Catarina apresenta</w:t>
      </w:r>
      <w:r w:rsidR="00FA071C">
        <w:rPr>
          <w:rFonts w:ascii="Times New Roman" w:hAnsi="Times New Roman" w:cs="Times New Roman"/>
          <w:sz w:val="24"/>
          <w:szCs w:val="24"/>
        </w:rPr>
        <w:t>m</w:t>
      </w:r>
      <w:r>
        <w:rPr>
          <w:rFonts w:ascii="Times New Roman" w:hAnsi="Times New Roman" w:cs="Times New Roman"/>
          <w:sz w:val="24"/>
          <w:szCs w:val="24"/>
        </w:rPr>
        <w:t xml:space="preserve"> déficit</w:t>
      </w:r>
      <w:r w:rsidR="002778D4">
        <w:rPr>
          <w:rFonts w:ascii="Times New Roman" w:hAnsi="Times New Roman" w:cs="Times New Roman"/>
          <w:sz w:val="24"/>
          <w:szCs w:val="24"/>
        </w:rPr>
        <w:t xml:space="preserve">s cada vez maiores, o que evidencia tanto o aprofundamento da dependência de produtos de maior conteúdo tecnológico produzidos no exterior, quanto da crescente restrição externa, posta a necessidade de gerar divisas para </w:t>
      </w:r>
      <w:r w:rsidR="00EF24CB">
        <w:rPr>
          <w:rFonts w:ascii="Times New Roman" w:hAnsi="Times New Roman" w:cs="Times New Roman"/>
          <w:sz w:val="24"/>
          <w:szCs w:val="24"/>
        </w:rPr>
        <w:t>cumprir os pagamentos referentes às</w:t>
      </w:r>
      <w:r w:rsidR="002778D4">
        <w:rPr>
          <w:rFonts w:ascii="Times New Roman" w:hAnsi="Times New Roman" w:cs="Times New Roman"/>
          <w:sz w:val="24"/>
          <w:szCs w:val="24"/>
        </w:rPr>
        <w:t xml:space="preserve"> importações.</w:t>
      </w:r>
    </w:p>
    <w:p w14:paraId="4B3D0306" w14:textId="04A29009" w:rsidR="00963C81" w:rsidRDefault="00C67BD8" w:rsidP="00963C81">
      <w:pPr>
        <w:spacing w:after="0" w:line="240" w:lineRule="auto"/>
        <w:rPr>
          <w:rFonts w:ascii="Times New Roman" w:hAnsi="Times New Roman" w:cs="Times New Roman"/>
          <w:b/>
          <w:sz w:val="24"/>
          <w:szCs w:val="24"/>
        </w:rPr>
      </w:pPr>
      <w:r>
        <w:rPr>
          <w:rFonts w:ascii="Times New Roman" w:hAnsi="Times New Roman" w:cs="Times New Roman"/>
          <w:b/>
          <w:sz w:val="24"/>
          <w:szCs w:val="24"/>
        </w:rPr>
        <w:t>Gráfico 7</w:t>
      </w:r>
      <w:r w:rsidR="00963C81" w:rsidRPr="005A4E32">
        <w:rPr>
          <w:rFonts w:ascii="Times New Roman" w:hAnsi="Times New Roman" w:cs="Times New Roman"/>
          <w:b/>
          <w:sz w:val="24"/>
          <w:szCs w:val="24"/>
        </w:rPr>
        <w:t>: Saldo comercial do setor industrial de Santa Catari</w:t>
      </w:r>
      <w:r w:rsidR="00224F6C">
        <w:rPr>
          <w:rFonts w:ascii="Times New Roman" w:hAnsi="Times New Roman" w:cs="Times New Roman"/>
          <w:b/>
          <w:sz w:val="24"/>
          <w:szCs w:val="24"/>
        </w:rPr>
        <w:t>na por intensidade tecnológica</w:t>
      </w:r>
      <w:r w:rsidR="00963C81" w:rsidRPr="005A4E32">
        <w:rPr>
          <w:rFonts w:ascii="Times New Roman" w:hAnsi="Times New Roman" w:cs="Times New Roman"/>
          <w:b/>
          <w:sz w:val="24"/>
          <w:szCs w:val="24"/>
        </w:rPr>
        <w:t xml:space="preserve"> – 2000-2021</w:t>
      </w:r>
    </w:p>
    <w:p w14:paraId="1DC22B61" w14:textId="13641BA4" w:rsidR="00224F6C" w:rsidRPr="005A4E32" w:rsidRDefault="00224F6C" w:rsidP="00963C81">
      <w:pPr>
        <w:spacing w:after="0" w:line="240" w:lineRule="auto"/>
        <w:rPr>
          <w:rFonts w:ascii="Times New Roman" w:hAnsi="Times New Roman" w:cs="Times New Roman"/>
          <w:b/>
          <w:sz w:val="24"/>
          <w:szCs w:val="24"/>
        </w:rPr>
      </w:pPr>
      <w:r>
        <w:rPr>
          <w:noProof/>
          <w:lang w:eastAsia="pt-BR"/>
        </w:rPr>
        <w:drawing>
          <wp:inline distT="0" distB="0" distL="0" distR="0" wp14:anchorId="0285239F" wp14:editId="369E21A8">
            <wp:extent cx="5778500" cy="2832100"/>
            <wp:effectExtent l="0" t="0" r="12700" b="63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79CC43" w14:textId="1B3B915E" w:rsidR="0000657B" w:rsidRPr="00B21A88" w:rsidRDefault="00963C81" w:rsidP="00B21A88">
      <w:pPr>
        <w:spacing w:after="0" w:line="240" w:lineRule="auto"/>
        <w:rPr>
          <w:rFonts w:ascii="Times New Roman" w:hAnsi="Times New Roman" w:cs="Times New Roman"/>
          <w:b/>
          <w:sz w:val="20"/>
          <w:szCs w:val="20"/>
        </w:rPr>
      </w:pPr>
      <w:r w:rsidRPr="00224F6C">
        <w:rPr>
          <w:rFonts w:ascii="Times New Roman" w:hAnsi="Times New Roman" w:cs="Times New Roman"/>
          <w:b/>
          <w:sz w:val="20"/>
          <w:szCs w:val="20"/>
        </w:rPr>
        <w:t>Fonte: Comex Stat (2022)</w:t>
      </w:r>
      <w:r w:rsidR="00A65610">
        <w:rPr>
          <w:rFonts w:ascii="Times New Roman" w:hAnsi="Times New Roman" w:cs="Times New Roman"/>
          <w:b/>
          <w:sz w:val="20"/>
          <w:szCs w:val="20"/>
        </w:rPr>
        <w:t xml:space="preserve"> e IPEADATA</w:t>
      </w:r>
      <w:r w:rsidRPr="00224F6C">
        <w:rPr>
          <w:rFonts w:ascii="Times New Roman" w:hAnsi="Times New Roman" w:cs="Times New Roman"/>
          <w:b/>
          <w:sz w:val="20"/>
          <w:szCs w:val="20"/>
        </w:rPr>
        <w:t>.</w:t>
      </w:r>
    </w:p>
    <w:p w14:paraId="272F3497" w14:textId="77777777" w:rsidR="00B21A88" w:rsidRDefault="00B21A88" w:rsidP="00B21A88">
      <w:pPr>
        <w:spacing w:after="0" w:line="360" w:lineRule="auto"/>
        <w:ind w:firstLine="708"/>
        <w:jc w:val="both"/>
        <w:rPr>
          <w:rFonts w:ascii="Times New Roman" w:hAnsi="Times New Roman" w:cs="Times New Roman"/>
          <w:color w:val="000000" w:themeColor="text1"/>
          <w:sz w:val="24"/>
          <w:szCs w:val="24"/>
        </w:rPr>
      </w:pPr>
    </w:p>
    <w:p w14:paraId="6989C501" w14:textId="4FAA3BF9" w:rsidR="00B21A88" w:rsidRPr="00B21A88" w:rsidRDefault="00B21A88" w:rsidP="00B21A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Dessa forma, a se manter essa trajetória, a economia catarinense tende a se especializar em atividades econômicas com menor dinâmica inovativa e menores efeitos encadeadores, para frente e para trás. Além disso, a estrutura produtiva passa a se especializar em atividades que não são suficientes para gerar as divisas necessárias para cobrir as importações e, assim, explicita uma importante restrição externa para o crescimento da economia catarinense.</w:t>
      </w:r>
    </w:p>
    <w:p w14:paraId="247825E4" w14:textId="3F66E5C6" w:rsidR="00B21A88" w:rsidRDefault="00B21A88" w:rsidP="00B21A8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fim, apresenta-se</w:t>
      </w:r>
      <w:r w:rsidRPr="00C30E11">
        <w:rPr>
          <w:rFonts w:ascii="Times New Roman" w:hAnsi="Times New Roman" w:cs="Times New Roman"/>
          <w:color w:val="000000" w:themeColor="text1"/>
          <w:sz w:val="24"/>
          <w:szCs w:val="24"/>
        </w:rPr>
        <w:t xml:space="preserve"> a evolução do Coeficiente de Penet</w:t>
      </w:r>
      <w:r>
        <w:rPr>
          <w:rFonts w:ascii="Times New Roman" w:hAnsi="Times New Roman" w:cs="Times New Roman"/>
          <w:color w:val="000000" w:themeColor="text1"/>
          <w:sz w:val="24"/>
          <w:szCs w:val="24"/>
        </w:rPr>
        <w:t>ração das Importações (gráfico 8</w:t>
      </w:r>
      <w:r w:rsidRPr="00C30E11">
        <w:rPr>
          <w:rFonts w:ascii="Times New Roman" w:hAnsi="Times New Roman" w:cs="Times New Roman"/>
          <w:color w:val="000000" w:themeColor="text1"/>
          <w:sz w:val="24"/>
          <w:szCs w:val="24"/>
        </w:rPr>
        <w:t xml:space="preserve">). Todos os setores por intensidade tecnológica apresentaram elevação do coeficiente de penetração, destacando-se os setores de alta e média alta intensidade tecnológica.  Ao longo do período analisado, o coeficiente de penetração na indústria como um todo apresentou </w:t>
      </w:r>
      <w:r w:rsidRPr="00C30E11">
        <w:rPr>
          <w:rFonts w:ascii="Times New Roman" w:hAnsi="Times New Roman" w:cs="Times New Roman"/>
          <w:color w:val="000000" w:themeColor="text1"/>
          <w:sz w:val="24"/>
          <w:szCs w:val="24"/>
        </w:rPr>
        <w:lastRenderedPageBreak/>
        <w:t>crescimento signi</w:t>
      </w:r>
      <w:r>
        <w:rPr>
          <w:rFonts w:ascii="Times New Roman" w:hAnsi="Times New Roman" w:cs="Times New Roman"/>
          <w:color w:val="000000" w:themeColor="text1"/>
          <w:sz w:val="24"/>
          <w:szCs w:val="24"/>
        </w:rPr>
        <w:t>ficativo, mais especificamente 0,26</w:t>
      </w:r>
      <w:r w:rsidRPr="00C30E11">
        <w:rPr>
          <w:rFonts w:ascii="Times New Roman" w:hAnsi="Times New Roman" w:cs="Times New Roman"/>
          <w:color w:val="000000" w:themeColor="text1"/>
          <w:sz w:val="24"/>
          <w:szCs w:val="24"/>
        </w:rPr>
        <w:t xml:space="preserve"> p.p., destacando-se o ano de 2003, cujo coeficiente apres</w:t>
      </w:r>
      <w:r>
        <w:rPr>
          <w:rFonts w:ascii="Times New Roman" w:hAnsi="Times New Roman" w:cs="Times New Roman"/>
          <w:color w:val="000000" w:themeColor="text1"/>
          <w:sz w:val="24"/>
          <w:szCs w:val="24"/>
        </w:rPr>
        <w:t>entou crescimento mais intenso.</w:t>
      </w:r>
    </w:p>
    <w:p w14:paraId="58528C5D" w14:textId="2EE43D5A" w:rsidR="00E30535" w:rsidRPr="00B21A88" w:rsidRDefault="00B21A88" w:rsidP="00B21A88">
      <w:pPr>
        <w:spacing w:after="0" w:line="360" w:lineRule="auto"/>
        <w:ind w:firstLine="708"/>
        <w:jc w:val="both"/>
        <w:rPr>
          <w:rFonts w:ascii="Times New Roman" w:hAnsi="Times New Roman" w:cs="Times New Roman"/>
          <w:color w:val="000000" w:themeColor="text1"/>
          <w:sz w:val="24"/>
          <w:szCs w:val="24"/>
        </w:rPr>
      </w:pPr>
      <w:r w:rsidRPr="00C30E11">
        <w:rPr>
          <w:rFonts w:ascii="Times New Roman" w:hAnsi="Times New Roman" w:cs="Times New Roman"/>
          <w:color w:val="000000" w:themeColor="text1"/>
          <w:sz w:val="24"/>
          <w:szCs w:val="24"/>
        </w:rPr>
        <w:t>Esse comportamento coincide com o momento em que a economia brasileira esteve mais aquecida</w:t>
      </w:r>
      <w:r>
        <w:rPr>
          <w:rFonts w:ascii="Times New Roman" w:hAnsi="Times New Roman" w:cs="Times New Roman"/>
          <w:color w:val="000000" w:themeColor="text1"/>
          <w:sz w:val="24"/>
          <w:szCs w:val="24"/>
        </w:rPr>
        <w:t>,</w:t>
      </w:r>
      <w:r w:rsidRPr="00C30E11">
        <w:rPr>
          <w:rFonts w:ascii="Times New Roman" w:hAnsi="Times New Roman" w:cs="Times New Roman"/>
          <w:color w:val="000000" w:themeColor="text1"/>
          <w:sz w:val="24"/>
          <w:szCs w:val="24"/>
        </w:rPr>
        <w:t xml:space="preserve"> e que a indústria nacional apresentou taxas elevadas de crescimento. Nota-se inclusive que a partir de 2015 a evolução do </w:t>
      </w:r>
      <w:r>
        <w:rPr>
          <w:rFonts w:ascii="Times New Roman" w:hAnsi="Times New Roman" w:cs="Times New Roman"/>
          <w:color w:val="000000" w:themeColor="text1"/>
          <w:sz w:val="24"/>
          <w:szCs w:val="24"/>
        </w:rPr>
        <w:t>coeficiente se estabilizou</w:t>
      </w:r>
      <w:r w:rsidRPr="00C30E11">
        <w:rPr>
          <w:rFonts w:ascii="Times New Roman" w:hAnsi="Times New Roman" w:cs="Times New Roman"/>
          <w:color w:val="000000" w:themeColor="text1"/>
          <w:sz w:val="24"/>
          <w:szCs w:val="24"/>
        </w:rPr>
        <w:t>. Isso sugere que a indústria nacional, em momentos de maiores taxas de crescimento, é incapaz de</w:t>
      </w:r>
      <w:r>
        <w:rPr>
          <w:rFonts w:ascii="Times New Roman" w:hAnsi="Times New Roman" w:cs="Times New Roman"/>
          <w:color w:val="000000" w:themeColor="text1"/>
          <w:sz w:val="24"/>
          <w:szCs w:val="24"/>
        </w:rPr>
        <w:t xml:space="preserve"> produzir para o consumo doméstico</w:t>
      </w:r>
      <w:r w:rsidRPr="00C30E11">
        <w:rPr>
          <w:rFonts w:ascii="Times New Roman" w:hAnsi="Times New Roman" w:cs="Times New Roman"/>
          <w:color w:val="000000" w:themeColor="text1"/>
          <w:sz w:val="24"/>
          <w:szCs w:val="24"/>
        </w:rPr>
        <w:t>. Nestas condições</w:t>
      </w:r>
      <w:r>
        <w:rPr>
          <w:rFonts w:ascii="Times New Roman" w:hAnsi="Times New Roman" w:cs="Times New Roman"/>
          <w:color w:val="000000" w:themeColor="text1"/>
          <w:sz w:val="24"/>
          <w:szCs w:val="24"/>
        </w:rPr>
        <w:t>,</w:t>
      </w:r>
      <w:r w:rsidRPr="00C30E11">
        <w:rPr>
          <w:rFonts w:ascii="Times New Roman" w:hAnsi="Times New Roman" w:cs="Times New Roman"/>
          <w:color w:val="000000" w:themeColor="text1"/>
          <w:sz w:val="24"/>
          <w:szCs w:val="24"/>
        </w:rPr>
        <w:t xml:space="preserve"> a demanda interna se volta para o exterior com o propósito de atender a demanda por insumo e produtos finais p</w:t>
      </w:r>
      <w:r>
        <w:rPr>
          <w:rFonts w:ascii="Times New Roman" w:hAnsi="Times New Roman" w:cs="Times New Roman"/>
          <w:color w:val="000000" w:themeColor="text1"/>
          <w:sz w:val="24"/>
          <w:szCs w:val="24"/>
        </w:rPr>
        <w:t>ara a operacionalização fabril.</w:t>
      </w:r>
    </w:p>
    <w:p w14:paraId="6D341233" w14:textId="7D89ECEE" w:rsidR="00E30535" w:rsidRPr="001F4852" w:rsidRDefault="00C67BD8" w:rsidP="00E305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Gráfico 8</w:t>
      </w:r>
      <w:r w:rsidR="00E30535" w:rsidRPr="001F4852">
        <w:rPr>
          <w:rFonts w:ascii="Times New Roman" w:hAnsi="Times New Roman" w:cs="Times New Roman"/>
          <w:b/>
          <w:sz w:val="24"/>
          <w:szCs w:val="24"/>
        </w:rPr>
        <w:t>: Coeficiente de Penetração das Importações por intensidade tecnológica – Santa Catarina, 2000 – 2020</w:t>
      </w:r>
    </w:p>
    <w:p w14:paraId="66398BF4" w14:textId="62F6CE7D" w:rsidR="00FD55BE" w:rsidRDefault="00E30535" w:rsidP="00E30535">
      <w:pPr>
        <w:spacing w:after="0" w:line="240" w:lineRule="auto"/>
        <w:jc w:val="both"/>
        <w:rPr>
          <w:rFonts w:ascii="Times New Roman" w:hAnsi="Times New Roman" w:cs="Times New Roman"/>
          <w:sz w:val="24"/>
          <w:szCs w:val="24"/>
        </w:rPr>
      </w:pPr>
      <w:r>
        <w:rPr>
          <w:noProof/>
          <w:lang w:eastAsia="pt-BR"/>
        </w:rPr>
        <w:drawing>
          <wp:inline distT="0" distB="0" distL="0" distR="0" wp14:anchorId="315C7A89" wp14:editId="71592B59">
            <wp:extent cx="5760085" cy="2771775"/>
            <wp:effectExtent l="0" t="0" r="12065"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08608FA" w14:textId="7CA683A3" w:rsidR="0011281B" w:rsidRDefault="00E30535" w:rsidP="00E30535">
      <w:pPr>
        <w:spacing w:after="0" w:line="240" w:lineRule="auto"/>
        <w:jc w:val="both"/>
        <w:rPr>
          <w:rFonts w:ascii="Times New Roman" w:hAnsi="Times New Roman" w:cs="Times New Roman"/>
          <w:b/>
          <w:sz w:val="24"/>
          <w:szCs w:val="24"/>
        </w:rPr>
      </w:pPr>
      <w:r w:rsidRPr="00E30535">
        <w:rPr>
          <w:rFonts w:ascii="Times New Roman" w:hAnsi="Times New Roman" w:cs="Times New Roman"/>
          <w:b/>
          <w:sz w:val="24"/>
          <w:szCs w:val="24"/>
        </w:rPr>
        <w:t>Fonte: ComexStat</w:t>
      </w:r>
    </w:p>
    <w:p w14:paraId="1B15082B" w14:textId="0909247D" w:rsidR="00E30535" w:rsidRDefault="00E30535" w:rsidP="00E30535">
      <w:pPr>
        <w:spacing w:after="0" w:line="240" w:lineRule="auto"/>
        <w:jc w:val="both"/>
        <w:rPr>
          <w:rFonts w:ascii="Times New Roman" w:hAnsi="Times New Roman" w:cs="Times New Roman"/>
          <w:b/>
          <w:sz w:val="24"/>
          <w:szCs w:val="24"/>
        </w:rPr>
      </w:pPr>
    </w:p>
    <w:p w14:paraId="3EC98309" w14:textId="709A9C46" w:rsidR="000E309E" w:rsidRDefault="000E309E" w:rsidP="00781769">
      <w:pPr>
        <w:spacing w:after="0" w:line="360" w:lineRule="auto"/>
        <w:ind w:firstLine="709"/>
        <w:jc w:val="both"/>
        <w:rPr>
          <w:rFonts w:ascii="Times New Roman" w:hAnsi="Times New Roman" w:cs="Times New Roman"/>
          <w:sz w:val="24"/>
          <w:szCs w:val="24"/>
        </w:rPr>
      </w:pPr>
      <w:r w:rsidRPr="000E309E">
        <w:rPr>
          <w:rFonts w:ascii="Times New Roman" w:hAnsi="Times New Roman" w:cs="Times New Roman"/>
          <w:sz w:val="24"/>
          <w:szCs w:val="24"/>
        </w:rPr>
        <w:t>Em suma, a indústria de transformação do estado de Santa Catarina sofreu progressiva penetração de produtos importados, que em conjunto com o comportamento da relação VTI/VBPI exp</w:t>
      </w:r>
      <w:r w:rsidR="00276E2E">
        <w:rPr>
          <w:rFonts w:ascii="Times New Roman" w:hAnsi="Times New Roman" w:cs="Times New Roman"/>
          <w:sz w:val="24"/>
          <w:szCs w:val="24"/>
        </w:rPr>
        <w:t>licitada por meio do gráfico 3</w:t>
      </w:r>
      <w:r w:rsidR="00EB78FE">
        <w:rPr>
          <w:rFonts w:ascii="Times New Roman" w:hAnsi="Times New Roman" w:cs="Times New Roman"/>
          <w:sz w:val="24"/>
          <w:szCs w:val="24"/>
        </w:rPr>
        <w:t>, evidenciou no período 2000-2020,</w:t>
      </w:r>
      <w:r w:rsidRPr="000E309E">
        <w:rPr>
          <w:rFonts w:ascii="Times New Roman" w:hAnsi="Times New Roman" w:cs="Times New Roman"/>
          <w:sz w:val="24"/>
          <w:szCs w:val="24"/>
        </w:rPr>
        <w:t xml:space="preserve"> um processo lento de desind</w:t>
      </w:r>
      <w:r w:rsidR="005D0AF0">
        <w:rPr>
          <w:rFonts w:ascii="Times New Roman" w:hAnsi="Times New Roman" w:cs="Times New Roman"/>
          <w:sz w:val="24"/>
          <w:szCs w:val="24"/>
        </w:rPr>
        <w:t>ustrialização relativa em curso e perda de competitividade internacional.</w:t>
      </w:r>
      <w:r w:rsidR="0026216E">
        <w:rPr>
          <w:rFonts w:ascii="Times New Roman" w:hAnsi="Times New Roman" w:cs="Times New Roman"/>
          <w:sz w:val="24"/>
          <w:szCs w:val="24"/>
        </w:rPr>
        <w:t xml:space="preserve"> Além disso, o grau de penetração dos setores de alta e média alta intensidade tecnológica na economia c</w:t>
      </w:r>
      <w:r w:rsidR="00EB78FE">
        <w:rPr>
          <w:rFonts w:ascii="Times New Roman" w:hAnsi="Times New Roman" w:cs="Times New Roman"/>
          <w:sz w:val="24"/>
          <w:szCs w:val="24"/>
        </w:rPr>
        <w:t>atarinense mostrou</w:t>
      </w:r>
      <w:r w:rsidR="0026216E">
        <w:rPr>
          <w:rFonts w:ascii="Times New Roman" w:hAnsi="Times New Roman" w:cs="Times New Roman"/>
          <w:sz w:val="24"/>
          <w:szCs w:val="24"/>
        </w:rPr>
        <w:t xml:space="preserve"> que os esforços voltados para o desenvolvimento tecnológico do estado estão sendo insuficientes para mitigar o avanço de produtos estrangeiros de maior valor agregado.</w:t>
      </w:r>
    </w:p>
    <w:p w14:paraId="0A30924B" w14:textId="5DA59587" w:rsidR="00E30535" w:rsidRPr="00E30535" w:rsidRDefault="00E30535" w:rsidP="00E30535">
      <w:pPr>
        <w:spacing w:after="0" w:line="240" w:lineRule="auto"/>
        <w:jc w:val="both"/>
        <w:rPr>
          <w:rFonts w:ascii="Times New Roman" w:hAnsi="Times New Roman" w:cs="Times New Roman"/>
          <w:b/>
          <w:sz w:val="24"/>
          <w:szCs w:val="24"/>
        </w:rPr>
      </w:pPr>
    </w:p>
    <w:p w14:paraId="0019CA2A" w14:textId="786A7AB8" w:rsidR="00C53203" w:rsidRPr="00C53203" w:rsidRDefault="00765274" w:rsidP="00C53203">
      <w:pPr>
        <w:pStyle w:val="PargrafodaLista"/>
        <w:numPr>
          <w:ilvl w:val="0"/>
          <w:numId w:val="1"/>
        </w:numPr>
        <w:ind w:left="0" w:firstLine="709"/>
        <w:rPr>
          <w:rFonts w:ascii="Times New Roman" w:hAnsi="Times New Roman" w:cs="Times New Roman"/>
          <w:b/>
          <w:bCs/>
          <w:sz w:val="24"/>
          <w:szCs w:val="24"/>
        </w:rPr>
      </w:pPr>
      <w:r w:rsidRPr="000A615D">
        <w:rPr>
          <w:rFonts w:ascii="Times New Roman" w:hAnsi="Times New Roman" w:cs="Times New Roman"/>
          <w:b/>
          <w:bCs/>
          <w:sz w:val="24"/>
          <w:szCs w:val="24"/>
        </w:rPr>
        <w:t>Considerações finais</w:t>
      </w:r>
    </w:p>
    <w:p w14:paraId="26BEC3DC" w14:textId="77777777" w:rsidR="00781769" w:rsidRDefault="00781769" w:rsidP="009826B5">
      <w:pPr>
        <w:spacing w:after="0" w:line="240" w:lineRule="auto"/>
        <w:ind w:firstLine="709"/>
        <w:jc w:val="both"/>
        <w:rPr>
          <w:rFonts w:ascii="Times New Roman" w:eastAsia="Times New Roman" w:hAnsi="Times New Roman" w:cs="Times New Roman"/>
          <w:sz w:val="24"/>
          <w:szCs w:val="24"/>
        </w:rPr>
      </w:pPr>
    </w:p>
    <w:p w14:paraId="3959DE02" w14:textId="793232C1" w:rsidR="00C53203" w:rsidRDefault="00EB78FE" w:rsidP="0078176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artigo</w:t>
      </w:r>
      <w:r w:rsidR="00F70E51">
        <w:rPr>
          <w:rFonts w:ascii="Times New Roman" w:eastAsia="Times New Roman" w:hAnsi="Times New Roman" w:cs="Times New Roman"/>
          <w:sz w:val="24"/>
          <w:szCs w:val="24"/>
        </w:rPr>
        <w:t xml:space="preserve"> teve como objetivo</w:t>
      </w:r>
      <w:r w:rsidR="00F70E51">
        <w:rPr>
          <w:rFonts w:ascii="Times New Roman" w:hAnsi="Times New Roman" w:cs="Times New Roman"/>
          <w:sz w:val="24"/>
          <w:szCs w:val="24"/>
        </w:rPr>
        <w:t xml:space="preserve"> analisar o comércio exterior por intensidade tecnológica de Santa Catarina no período de 2000 a 2020</w:t>
      </w:r>
      <w:r w:rsidR="00C53203">
        <w:rPr>
          <w:rFonts w:ascii="Times New Roman" w:eastAsia="Times New Roman" w:hAnsi="Times New Roman" w:cs="Times New Roman"/>
          <w:sz w:val="24"/>
          <w:szCs w:val="24"/>
        </w:rPr>
        <w:t xml:space="preserve">. As análises realizadas na última seção sugerem </w:t>
      </w:r>
      <w:r w:rsidR="00C53203">
        <w:rPr>
          <w:rFonts w:ascii="Times New Roman" w:eastAsia="Times New Roman" w:hAnsi="Times New Roman" w:cs="Times New Roman"/>
          <w:sz w:val="24"/>
          <w:szCs w:val="24"/>
        </w:rPr>
        <w:lastRenderedPageBreak/>
        <w:t>algumas conclusões acerca da especialização comercial do estado, e da situação de suas contas externas.</w:t>
      </w:r>
    </w:p>
    <w:p w14:paraId="47A6B8B6" w14:textId="6A8B19BE" w:rsidR="00C53203" w:rsidRDefault="00C53203" w:rsidP="0078176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F70E51">
        <w:rPr>
          <w:rFonts w:ascii="Times New Roman" w:eastAsia="Times New Roman" w:hAnsi="Times New Roman" w:cs="Times New Roman"/>
          <w:sz w:val="24"/>
          <w:szCs w:val="24"/>
        </w:rPr>
        <w:t xml:space="preserve"> primeiro lugar, verificou-se </w:t>
      </w:r>
      <w:r>
        <w:rPr>
          <w:rFonts w:ascii="Times New Roman" w:eastAsia="Times New Roman" w:hAnsi="Times New Roman" w:cs="Times New Roman"/>
          <w:sz w:val="24"/>
          <w:szCs w:val="24"/>
        </w:rPr>
        <w:t>a especialização em produtos primários. A pauta exportadora c</w:t>
      </w:r>
      <w:r w:rsidR="00452AE0">
        <w:rPr>
          <w:rFonts w:ascii="Times New Roman" w:eastAsia="Times New Roman" w:hAnsi="Times New Roman" w:cs="Times New Roman"/>
          <w:sz w:val="24"/>
          <w:szCs w:val="24"/>
        </w:rPr>
        <w:t>atarinense no setor industrial encontrou-se</w:t>
      </w:r>
      <w:r>
        <w:rPr>
          <w:rFonts w:ascii="Times New Roman" w:eastAsia="Times New Roman" w:hAnsi="Times New Roman" w:cs="Times New Roman"/>
          <w:sz w:val="24"/>
          <w:szCs w:val="24"/>
        </w:rPr>
        <w:t xml:space="preserve"> constituída, essencialmente, de setores de menor sofisticação tecnológica, em </w:t>
      </w:r>
      <w:r w:rsidR="00F70E51">
        <w:rPr>
          <w:rFonts w:ascii="Times New Roman" w:eastAsia="Times New Roman" w:hAnsi="Times New Roman" w:cs="Times New Roman"/>
          <w:sz w:val="24"/>
          <w:szCs w:val="24"/>
        </w:rPr>
        <w:t xml:space="preserve">particular nos setores de </w:t>
      </w:r>
      <w:r>
        <w:rPr>
          <w:rFonts w:ascii="Times New Roman" w:eastAsia="Times New Roman" w:hAnsi="Times New Roman" w:cs="Times New Roman"/>
          <w:sz w:val="24"/>
          <w:szCs w:val="24"/>
        </w:rPr>
        <w:t xml:space="preserve">baixa intensidade tecnológica, como o setor de alimentos, principal atividade de exportação em todos os períodos, e o de produtos de madeira. </w:t>
      </w:r>
    </w:p>
    <w:p w14:paraId="6208EA9E" w14:textId="756780BC" w:rsidR="00C53203" w:rsidRDefault="00C53203" w:rsidP="0078176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outro lado, as importações demandadas po</w:t>
      </w:r>
      <w:r w:rsidR="00452AE0">
        <w:rPr>
          <w:rFonts w:ascii="Times New Roman" w:eastAsia="Times New Roman" w:hAnsi="Times New Roman" w:cs="Times New Roman"/>
          <w:sz w:val="24"/>
          <w:szCs w:val="24"/>
        </w:rPr>
        <w:t>r Santa Catarina foram</w:t>
      </w:r>
      <w:r>
        <w:rPr>
          <w:rFonts w:ascii="Times New Roman" w:eastAsia="Times New Roman" w:hAnsi="Times New Roman" w:cs="Times New Roman"/>
          <w:sz w:val="24"/>
          <w:szCs w:val="24"/>
        </w:rPr>
        <w:t xml:space="preserve"> caracterizadas por uma maior sofisticação tecnológica, em particular, nas categorias de média-alta e alta intensidade tecnológica, como os setores de produtos químicos, máquinas e equipamentos, produtos de informática e eletrônicos e equipamentos elétricos. </w:t>
      </w:r>
    </w:p>
    <w:p w14:paraId="0B1D9AB3" w14:textId="5E05CEE6" w:rsidR="00C53203" w:rsidRDefault="00452AE0" w:rsidP="0078176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conjuntura evidenciou</w:t>
      </w:r>
      <w:r w:rsidR="00C532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 o período em análise 2000-2020, </w:t>
      </w:r>
      <w:r w:rsidR="00C53203">
        <w:rPr>
          <w:rFonts w:ascii="Times New Roman" w:eastAsia="Times New Roman" w:hAnsi="Times New Roman" w:cs="Times New Roman"/>
          <w:sz w:val="24"/>
          <w:szCs w:val="24"/>
        </w:rPr>
        <w:t>uma especialização produtiva baseada em produtos primários, de menor conteúdo tecnológico, de tal form</w:t>
      </w:r>
      <w:r>
        <w:rPr>
          <w:rFonts w:ascii="Times New Roman" w:eastAsia="Times New Roman" w:hAnsi="Times New Roman" w:cs="Times New Roman"/>
          <w:sz w:val="24"/>
          <w:szCs w:val="24"/>
        </w:rPr>
        <w:t>a que o estado catarinense ocupou</w:t>
      </w:r>
      <w:r w:rsidR="00C53203">
        <w:rPr>
          <w:rFonts w:ascii="Times New Roman" w:eastAsia="Times New Roman" w:hAnsi="Times New Roman" w:cs="Times New Roman"/>
          <w:sz w:val="24"/>
          <w:szCs w:val="24"/>
        </w:rPr>
        <w:t xml:space="preserve">, assim como o Brasil, uma posição de menor complexidade tecnológica nas cadeias globais de valor. Assim, o estado </w:t>
      </w:r>
      <w:r>
        <w:rPr>
          <w:rFonts w:ascii="Times New Roman" w:eastAsia="Times New Roman" w:hAnsi="Times New Roman" w:cs="Times New Roman"/>
          <w:sz w:val="24"/>
          <w:szCs w:val="24"/>
        </w:rPr>
        <w:t>constituiu</w:t>
      </w:r>
      <w:r w:rsidR="00F70E51">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w:t>
      </w:r>
      <w:r w:rsidR="00C53203">
        <w:rPr>
          <w:rFonts w:ascii="Times New Roman" w:eastAsia="Times New Roman" w:hAnsi="Times New Roman" w:cs="Times New Roman"/>
          <w:sz w:val="24"/>
          <w:szCs w:val="24"/>
        </w:rPr>
        <w:t>dependente de importações de produto</w:t>
      </w:r>
      <w:r w:rsidR="00F70E51">
        <w:rPr>
          <w:rFonts w:ascii="Times New Roman" w:eastAsia="Times New Roman" w:hAnsi="Times New Roman" w:cs="Times New Roman"/>
          <w:sz w:val="24"/>
          <w:szCs w:val="24"/>
        </w:rPr>
        <w:t>s de maior conteúdo tecnológico. I</w:t>
      </w:r>
      <w:r w:rsidR="00C53203">
        <w:rPr>
          <w:rFonts w:ascii="Times New Roman" w:eastAsia="Times New Roman" w:hAnsi="Times New Roman" w:cs="Times New Roman"/>
          <w:sz w:val="24"/>
          <w:szCs w:val="24"/>
        </w:rPr>
        <w:t>sso pode ser verificado na pauta importadora de Santa Catarina, como fatores para integrar o sistema produtivo do estado.</w:t>
      </w:r>
    </w:p>
    <w:p w14:paraId="09C47CB4" w14:textId="72DC38EE" w:rsidR="00C53203" w:rsidRDefault="00C53203" w:rsidP="0078176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segundo lugar, observou-se uma significativa deterioração das contas externas catarinenses. A primeira década do século XXI marcou um período de apreciação cambial no Brasil, como reflexo do </w:t>
      </w:r>
      <w:r>
        <w:rPr>
          <w:rFonts w:ascii="Times New Roman" w:eastAsia="Times New Roman" w:hAnsi="Times New Roman" w:cs="Times New Roman"/>
          <w:i/>
          <w:sz w:val="24"/>
          <w:szCs w:val="24"/>
        </w:rPr>
        <w:t>boom</w:t>
      </w:r>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rPr>
        <w:t>commodities</w:t>
      </w:r>
      <w:r>
        <w:rPr>
          <w:rFonts w:ascii="Times New Roman" w:eastAsia="Times New Roman" w:hAnsi="Times New Roman" w:cs="Times New Roman"/>
          <w:sz w:val="24"/>
          <w:szCs w:val="24"/>
        </w:rPr>
        <w:t xml:space="preserve"> e seus impactos na apreciação cambial dos países exportadores desses produtos, o que tem impacto positivo nas importações e negativo nas exportações. Assim, ainda que tenha sido verificado um crescimento tanto no valor exportado quando no valor importado pelo estado, o crescimento do valor im</w:t>
      </w:r>
      <w:r w:rsidR="00F70E51">
        <w:rPr>
          <w:rFonts w:ascii="Times New Roman" w:eastAsia="Times New Roman" w:hAnsi="Times New Roman" w:cs="Times New Roman"/>
          <w:sz w:val="24"/>
          <w:szCs w:val="24"/>
        </w:rPr>
        <w:t>portado foi muito mais acentuado</w:t>
      </w:r>
      <w:r>
        <w:rPr>
          <w:rFonts w:ascii="Times New Roman" w:eastAsia="Times New Roman" w:hAnsi="Times New Roman" w:cs="Times New Roman"/>
          <w:sz w:val="24"/>
          <w:szCs w:val="24"/>
        </w:rPr>
        <w:t>. O resultado disso foi uma forte deterioração do saldo comercial do setor industrial de Santa Catarina a partir de meados da década de 2000, movimento que continuou ao longo da década de 2010, alcançando, em 2019, o ápice do déficit comercial catarinense.</w:t>
      </w:r>
    </w:p>
    <w:p w14:paraId="51F0B74B" w14:textId="685C7564" w:rsidR="00C53203" w:rsidRDefault="00C53203" w:rsidP="0078176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que essa deterioração tenha ocorrido em todas as categorias de intensidade tecnológica, os setores que apresenta</w:t>
      </w:r>
      <w:r w:rsidR="00452AE0">
        <w:rPr>
          <w:rFonts w:ascii="Times New Roman" w:eastAsia="Times New Roman" w:hAnsi="Times New Roman" w:cs="Times New Roman"/>
          <w:sz w:val="24"/>
          <w:szCs w:val="24"/>
        </w:rPr>
        <w:t>ram os maiores déficits foram</w:t>
      </w:r>
      <w:r>
        <w:rPr>
          <w:rFonts w:ascii="Times New Roman" w:eastAsia="Times New Roman" w:hAnsi="Times New Roman" w:cs="Times New Roman"/>
          <w:sz w:val="24"/>
          <w:szCs w:val="24"/>
        </w:rPr>
        <w:t xml:space="preserve"> os de ma</w:t>
      </w:r>
      <w:r w:rsidR="00F70E51">
        <w:rPr>
          <w:rFonts w:ascii="Times New Roman" w:eastAsia="Times New Roman" w:hAnsi="Times New Roman" w:cs="Times New Roman"/>
          <w:sz w:val="24"/>
          <w:szCs w:val="24"/>
        </w:rPr>
        <w:t>ior conteúdo tecnológico –</w:t>
      </w:r>
      <w:r>
        <w:rPr>
          <w:rFonts w:ascii="Times New Roman" w:eastAsia="Times New Roman" w:hAnsi="Times New Roman" w:cs="Times New Roman"/>
          <w:sz w:val="24"/>
          <w:szCs w:val="24"/>
        </w:rPr>
        <w:t xml:space="preserve"> média-alta e alta. Por outro lado, a única</w:t>
      </w:r>
      <w:r w:rsidR="007729ED">
        <w:rPr>
          <w:rFonts w:ascii="Times New Roman" w:eastAsia="Times New Roman" w:hAnsi="Times New Roman" w:cs="Times New Roman"/>
          <w:sz w:val="24"/>
          <w:szCs w:val="24"/>
        </w:rPr>
        <w:t xml:space="preserve"> categoria que apresentou superá</w:t>
      </w:r>
      <w:r>
        <w:rPr>
          <w:rFonts w:ascii="Times New Roman" w:eastAsia="Times New Roman" w:hAnsi="Times New Roman" w:cs="Times New Roman"/>
          <w:sz w:val="24"/>
          <w:szCs w:val="24"/>
        </w:rPr>
        <w:t>vit ao longo de todo o período foi o de menor conteúdo tecn</w:t>
      </w:r>
      <w:r w:rsidR="00F70E51">
        <w:rPr>
          <w:rFonts w:ascii="Times New Roman" w:eastAsia="Times New Roman" w:hAnsi="Times New Roman" w:cs="Times New Roman"/>
          <w:sz w:val="24"/>
          <w:szCs w:val="24"/>
        </w:rPr>
        <w:t xml:space="preserve">ológico – </w:t>
      </w:r>
      <w:r w:rsidR="00452AE0">
        <w:rPr>
          <w:rFonts w:ascii="Times New Roman" w:eastAsia="Times New Roman" w:hAnsi="Times New Roman" w:cs="Times New Roman"/>
          <w:sz w:val="24"/>
          <w:szCs w:val="24"/>
        </w:rPr>
        <w:t xml:space="preserve">baixa. Esse registro </w:t>
      </w:r>
      <w:r>
        <w:rPr>
          <w:rFonts w:ascii="Times New Roman" w:eastAsia="Times New Roman" w:hAnsi="Times New Roman" w:cs="Times New Roman"/>
          <w:sz w:val="24"/>
          <w:szCs w:val="24"/>
        </w:rPr>
        <w:t>gera preocupação: em setores relativamente mais sofisticados do ponto de vista tecnológico, o es</w:t>
      </w:r>
      <w:r w:rsidR="00452AE0">
        <w:rPr>
          <w:rFonts w:ascii="Times New Roman" w:eastAsia="Times New Roman" w:hAnsi="Times New Roman" w:cs="Times New Roman"/>
          <w:sz w:val="24"/>
          <w:szCs w:val="24"/>
        </w:rPr>
        <w:t>tado de Santa Catarina apresentou</w:t>
      </w:r>
      <w:r>
        <w:rPr>
          <w:rFonts w:ascii="Times New Roman" w:eastAsia="Times New Roman" w:hAnsi="Times New Roman" w:cs="Times New Roman"/>
          <w:sz w:val="24"/>
          <w:szCs w:val="24"/>
        </w:rPr>
        <w:t xml:space="preserve"> défi</w:t>
      </w:r>
      <w:r w:rsidR="00452AE0">
        <w:rPr>
          <w:rFonts w:ascii="Times New Roman" w:eastAsia="Times New Roman" w:hAnsi="Times New Roman" w:cs="Times New Roman"/>
          <w:sz w:val="24"/>
          <w:szCs w:val="24"/>
        </w:rPr>
        <w:t>cits crescentes, o que evidenciou</w:t>
      </w:r>
      <w:r>
        <w:rPr>
          <w:rFonts w:ascii="Times New Roman" w:eastAsia="Times New Roman" w:hAnsi="Times New Roman" w:cs="Times New Roman"/>
          <w:sz w:val="24"/>
          <w:szCs w:val="24"/>
        </w:rPr>
        <w:t xml:space="preserve"> tanto o aprofundamento da dependência de produtos de maior conteúdo tecnológico produzidos no exterior, quanto da </w:t>
      </w:r>
      <w:r>
        <w:rPr>
          <w:rFonts w:ascii="Times New Roman" w:eastAsia="Times New Roman" w:hAnsi="Times New Roman" w:cs="Times New Roman"/>
          <w:sz w:val="24"/>
          <w:szCs w:val="24"/>
        </w:rPr>
        <w:lastRenderedPageBreak/>
        <w:t>crescente restrição externa ao crescimento, posta a necessidade de gerar divisas internacionais para possibilitar essas importações necessárias.</w:t>
      </w:r>
    </w:p>
    <w:p w14:paraId="1AB4910A" w14:textId="5FCF92BF" w:rsidR="00C53203" w:rsidRDefault="00C53203" w:rsidP="0078176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base nessas duas</w:t>
      </w:r>
      <w:r w:rsidR="00F70E51">
        <w:rPr>
          <w:rFonts w:ascii="Times New Roman" w:eastAsia="Times New Roman" w:hAnsi="Times New Roman" w:cs="Times New Roman"/>
          <w:sz w:val="24"/>
          <w:szCs w:val="24"/>
        </w:rPr>
        <w:t xml:space="preserve"> conclusões, argumenta</w:t>
      </w:r>
      <w:r>
        <w:rPr>
          <w:rFonts w:ascii="Times New Roman" w:eastAsia="Times New Roman" w:hAnsi="Times New Roman" w:cs="Times New Roman"/>
          <w:sz w:val="24"/>
          <w:szCs w:val="24"/>
        </w:rPr>
        <w:t>-se que a especialização em setores de menor conteúdo tecnológico, além de ter menor dinâmica inovativa e menores efeitos encadeadores, ela</w:t>
      </w:r>
      <w:r w:rsidR="00452AE0">
        <w:rPr>
          <w:rFonts w:ascii="Times New Roman" w:eastAsia="Times New Roman" w:hAnsi="Times New Roman" w:cs="Times New Roman"/>
          <w:sz w:val="24"/>
          <w:szCs w:val="24"/>
        </w:rPr>
        <w:t xml:space="preserve"> também não foi</w:t>
      </w:r>
      <w:r>
        <w:rPr>
          <w:rFonts w:ascii="Times New Roman" w:eastAsia="Times New Roman" w:hAnsi="Times New Roman" w:cs="Times New Roman"/>
          <w:sz w:val="24"/>
          <w:szCs w:val="24"/>
        </w:rPr>
        <w:t xml:space="preserve"> suficiente para gerar as divisas necessárias para cobrir as importações de produtos de maior conteúdo tecnológico demandadas pelo estado. Isso explicita, assim, uma importante restrição externa para o crescimento da economia catarinense. </w:t>
      </w:r>
      <w:r w:rsidR="00452AE0">
        <w:rPr>
          <w:rFonts w:ascii="Times New Roman" w:eastAsia="Times New Roman" w:hAnsi="Times New Roman" w:cs="Times New Roman"/>
          <w:sz w:val="24"/>
          <w:szCs w:val="24"/>
        </w:rPr>
        <w:t xml:space="preserve">Para o presente, os </w:t>
      </w:r>
      <w:r>
        <w:rPr>
          <w:rFonts w:ascii="Times New Roman" w:eastAsia="Times New Roman" w:hAnsi="Times New Roman" w:cs="Times New Roman"/>
          <w:sz w:val="24"/>
          <w:szCs w:val="24"/>
        </w:rPr>
        <w:t xml:space="preserve">dados </w:t>
      </w:r>
      <w:r w:rsidR="00452AE0">
        <w:rPr>
          <w:rFonts w:ascii="Times New Roman" w:eastAsia="Times New Roman" w:hAnsi="Times New Roman" w:cs="Times New Roman"/>
          <w:sz w:val="24"/>
          <w:szCs w:val="24"/>
        </w:rPr>
        <w:t>apresentados dev</w:t>
      </w:r>
      <w:r w:rsidR="00F70E51">
        <w:rPr>
          <w:rFonts w:ascii="Times New Roman" w:eastAsia="Times New Roman" w:hAnsi="Times New Roman" w:cs="Times New Roman"/>
          <w:sz w:val="24"/>
          <w:szCs w:val="24"/>
        </w:rPr>
        <w:t>em ser vistos como preocupantes</w:t>
      </w:r>
      <w:r w:rsidR="00452AE0">
        <w:rPr>
          <w:rFonts w:ascii="Times New Roman" w:eastAsia="Times New Roman" w:hAnsi="Times New Roman" w:cs="Times New Roman"/>
          <w:sz w:val="24"/>
          <w:szCs w:val="24"/>
        </w:rPr>
        <w:t xml:space="preserve">, dada </w:t>
      </w:r>
      <w:r>
        <w:rPr>
          <w:rFonts w:ascii="Times New Roman" w:eastAsia="Times New Roman" w:hAnsi="Times New Roman" w:cs="Times New Roman"/>
          <w:sz w:val="24"/>
          <w:szCs w:val="24"/>
        </w:rPr>
        <w:t>a importância da tecnologia para o desenvolvimento econômico, conforme ressaltado por diversas escolas do pensamento, como a neo-schumpeteriana e a estruturalista latino-americana.</w:t>
      </w:r>
    </w:p>
    <w:p w14:paraId="298A4A87" w14:textId="77777777" w:rsidR="00C53203" w:rsidRPr="00C53203" w:rsidRDefault="00C53203" w:rsidP="00C53203">
      <w:pPr>
        <w:rPr>
          <w:rFonts w:ascii="Times New Roman" w:hAnsi="Times New Roman" w:cs="Times New Roman"/>
          <w:b/>
          <w:bCs/>
          <w:sz w:val="24"/>
          <w:szCs w:val="24"/>
        </w:rPr>
      </w:pPr>
    </w:p>
    <w:p w14:paraId="5C278449" w14:textId="0C4AFC5A" w:rsidR="00765274" w:rsidRDefault="00765274" w:rsidP="005A4E32">
      <w:pPr>
        <w:spacing w:after="120" w:line="240" w:lineRule="auto"/>
        <w:rPr>
          <w:rFonts w:ascii="Times New Roman" w:hAnsi="Times New Roman" w:cs="Times New Roman"/>
          <w:b/>
          <w:bCs/>
          <w:sz w:val="24"/>
          <w:szCs w:val="24"/>
        </w:rPr>
      </w:pPr>
      <w:r w:rsidRPr="00765274">
        <w:rPr>
          <w:rFonts w:ascii="Times New Roman" w:hAnsi="Times New Roman" w:cs="Times New Roman"/>
          <w:b/>
          <w:bCs/>
          <w:sz w:val="24"/>
          <w:szCs w:val="24"/>
        </w:rPr>
        <w:t>Referências</w:t>
      </w:r>
    </w:p>
    <w:p w14:paraId="33BFBC3F" w14:textId="77777777" w:rsidR="00B21A88" w:rsidRDefault="00B21A88" w:rsidP="005A4E32">
      <w:pPr>
        <w:spacing w:after="120" w:line="240" w:lineRule="auto"/>
        <w:rPr>
          <w:rFonts w:ascii="Times New Roman" w:hAnsi="Times New Roman" w:cs="Times New Roman"/>
          <w:b/>
          <w:bCs/>
          <w:sz w:val="24"/>
          <w:szCs w:val="24"/>
        </w:rPr>
      </w:pPr>
    </w:p>
    <w:p w14:paraId="130263C6" w14:textId="0D1C2CC5" w:rsidR="00CD632B" w:rsidRDefault="00CD632B" w:rsidP="00CD632B">
      <w:pPr>
        <w:pStyle w:val="Ttulo1"/>
        <w:shd w:val="clear" w:color="auto" w:fill="FFFFFF"/>
        <w:spacing w:before="0" w:after="120" w:line="240" w:lineRule="auto"/>
        <w:rPr>
          <w:rFonts w:ascii="Times New Roman" w:hAnsi="Times New Roman" w:cs="Times New Roman"/>
          <w:bCs/>
          <w:color w:val="111111"/>
          <w:sz w:val="24"/>
          <w:szCs w:val="24"/>
        </w:rPr>
      </w:pPr>
      <w:r w:rsidRPr="00E1676C">
        <w:rPr>
          <w:rFonts w:ascii="Times New Roman" w:hAnsi="Times New Roman" w:cs="Times New Roman"/>
          <w:bCs/>
          <w:color w:val="111111"/>
          <w:sz w:val="24"/>
          <w:szCs w:val="24"/>
        </w:rPr>
        <w:t>AREND, M. A Industrial</w:t>
      </w:r>
      <w:r w:rsidR="001F4DF9">
        <w:rPr>
          <w:rFonts w:ascii="Times New Roman" w:hAnsi="Times New Roman" w:cs="Times New Roman"/>
          <w:bCs/>
          <w:color w:val="111111"/>
          <w:sz w:val="24"/>
          <w:szCs w:val="24"/>
        </w:rPr>
        <w:t>ização do Brasil ante a nova divisão internacional do t</w:t>
      </w:r>
      <w:r w:rsidRPr="00E1676C">
        <w:rPr>
          <w:rFonts w:ascii="Times New Roman" w:hAnsi="Times New Roman" w:cs="Times New Roman"/>
          <w:bCs/>
          <w:color w:val="111111"/>
          <w:sz w:val="24"/>
          <w:szCs w:val="24"/>
        </w:rPr>
        <w:t xml:space="preserve">rabalho. </w:t>
      </w:r>
      <w:r w:rsidRPr="001F4DF9">
        <w:rPr>
          <w:rFonts w:ascii="Times New Roman" w:hAnsi="Times New Roman" w:cs="Times New Roman"/>
          <w:b/>
          <w:bCs/>
          <w:color w:val="111111"/>
          <w:sz w:val="24"/>
          <w:szCs w:val="24"/>
        </w:rPr>
        <w:t>Texto para Discussão</w:t>
      </w:r>
      <w:r w:rsidRPr="00E1676C">
        <w:rPr>
          <w:rFonts w:ascii="Times New Roman" w:hAnsi="Times New Roman" w:cs="Times New Roman"/>
          <w:bCs/>
          <w:color w:val="111111"/>
          <w:sz w:val="24"/>
          <w:szCs w:val="24"/>
        </w:rPr>
        <w:t xml:space="preserve"> (IPEA.</w:t>
      </w:r>
      <w:r w:rsidR="00CA50ED">
        <w:rPr>
          <w:rFonts w:ascii="Times New Roman" w:hAnsi="Times New Roman" w:cs="Times New Roman"/>
          <w:bCs/>
          <w:color w:val="111111"/>
          <w:sz w:val="24"/>
          <w:szCs w:val="24"/>
        </w:rPr>
        <w:t xml:space="preserve"> Brasília) 2105, 2015.</w:t>
      </w:r>
    </w:p>
    <w:p w14:paraId="3795A62E" w14:textId="77777777" w:rsidR="00CD632B" w:rsidRPr="00E1676C" w:rsidRDefault="00CD632B" w:rsidP="00CA50ED">
      <w:pPr>
        <w:spacing w:after="120" w:line="240" w:lineRule="auto"/>
        <w:jc w:val="both"/>
        <w:rPr>
          <w:rFonts w:ascii="Times New Roman" w:hAnsi="Times New Roman" w:cs="Times New Roman"/>
          <w:sz w:val="24"/>
          <w:szCs w:val="24"/>
        </w:rPr>
      </w:pPr>
      <w:r w:rsidRPr="00E1676C">
        <w:rPr>
          <w:rFonts w:ascii="Times New Roman" w:hAnsi="Times New Roman" w:cs="Times New Roman"/>
          <w:sz w:val="24"/>
          <w:szCs w:val="24"/>
        </w:rPr>
        <w:t xml:space="preserve">BAIR, J. </w:t>
      </w:r>
      <w:r w:rsidRPr="00E1676C">
        <w:rPr>
          <w:rFonts w:ascii="Times New Roman" w:hAnsi="Times New Roman" w:cs="Times New Roman"/>
          <w:bCs/>
          <w:sz w:val="24"/>
          <w:szCs w:val="24"/>
        </w:rPr>
        <w:t>Global capitalism and commodity chains: looking back, going forward</w:t>
      </w:r>
      <w:r w:rsidRPr="00E1676C">
        <w:rPr>
          <w:rFonts w:ascii="Times New Roman" w:hAnsi="Times New Roman" w:cs="Times New Roman"/>
          <w:sz w:val="24"/>
          <w:szCs w:val="24"/>
        </w:rPr>
        <w:t xml:space="preserve">. </w:t>
      </w:r>
      <w:r w:rsidRPr="001F4DF9">
        <w:rPr>
          <w:rFonts w:ascii="Times New Roman" w:hAnsi="Times New Roman" w:cs="Times New Roman"/>
          <w:b/>
          <w:iCs/>
          <w:sz w:val="24"/>
          <w:szCs w:val="24"/>
        </w:rPr>
        <w:t>Competition</w:t>
      </w:r>
      <w:r w:rsidRPr="001F4DF9">
        <w:rPr>
          <w:rFonts w:ascii="Times New Roman" w:hAnsi="Times New Roman" w:cs="Times New Roman"/>
          <w:b/>
          <w:iCs/>
          <w:spacing w:val="1"/>
          <w:sz w:val="24"/>
          <w:szCs w:val="24"/>
        </w:rPr>
        <w:t xml:space="preserve"> </w:t>
      </w:r>
      <w:r w:rsidRPr="001F4DF9">
        <w:rPr>
          <w:rFonts w:ascii="Times New Roman" w:hAnsi="Times New Roman" w:cs="Times New Roman"/>
          <w:b/>
          <w:iCs/>
          <w:sz w:val="24"/>
          <w:szCs w:val="24"/>
        </w:rPr>
        <w:t>&amp;</w:t>
      </w:r>
      <w:r w:rsidRPr="001F4DF9">
        <w:rPr>
          <w:rFonts w:ascii="Times New Roman" w:hAnsi="Times New Roman" w:cs="Times New Roman"/>
          <w:b/>
          <w:iCs/>
          <w:spacing w:val="-5"/>
          <w:sz w:val="24"/>
          <w:szCs w:val="24"/>
        </w:rPr>
        <w:t xml:space="preserve"> </w:t>
      </w:r>
      <w:r w:rsidRPr="001F4DF9">
        <w:rPr>
          <w:rFonts w:ascii="Times New Roman" w:hAnsi="Times New Roman" w:cs="Times New Roman"/>
          <w:b/>
          <w:iCs/>
          <w:sz w:val="24"/>
          <w:szCs w:val="24"/>
        </w:rPr>
        <w:t>Change</w:t>
      </w:r>
      <w:r w:rsidRPr="00E1676C">
        <w:rPr>
          <w:rFonts w:ascii="Times New Roman" w:hAnsi="Times New Roman" w:cs="Times New Roman"/>
          <w:iCs/>
          <w:sz w:val="24"/>
          <w:szCs w:val="24"/>
        </w:rPr>
        <w:t>,</w:t>
      </w:r>
      <w:r w:rsidRPr="00E1676C">
        <w:rPr>
          <w:rFonts w:ascii="Times New Roman" w:hAnsi="Times New Roman" w:cs="Times New Roman"/>
          <w:sz w:val="24"/>
          <w:szCs w:val="24"/>
        </w:rPr>
        <w:t xml:space="preserve"> v. 9, n. 2, p. 153-180, 2005.</w:t>
      </w:r>
    </w:p>
    <w:p w14:paraId="18861E8D" w14:textId="2BC01E49" w:rsidR="00CD632B" w:rsidRDefault="00CD632B" w:rsidP="00CA50ED">
      <w:pPr>
        <w:spacing w:after="120" w:line="240" w:lineRule="auto"/>
        <w:jc w:val="both"/>
        <w:rPr>
          <w:rFonts w:ascii="Times New Roman" w:hAnsi="Times New Roman" w:cs="Times New Roman"/>
          <w:color w:val="000000" w:themeColor="text1"/>
          <w:sz w:val="24"/>
          <w:szCs w:val="24"/>
          <w:shd w:val="clear" w:color="auto" w:fill="FFFFFF"/>
        </w:rPr>
      </w:pPr>
      <w:r w:rsidRPr="0015117D">
        <w:rPr>
          <w:rFonts w:ascii="Times New Roman" w:hAnsi="Times New Roman" w:cs="Times New Roman"/>
          <w:color w:val="000000" w:themeColor="text1"/>
          <w:sz w:val="24"/>
          <w:szCs w:val="24"/>
          <w:shd w:val="clear" w:color="auto" w:fill="FFFFFF"/>
        </w:rPr>
        <w:t xml:space="preserve">BOTELHO, </w:t>
      </w:r>
      <w:r w:rsidR="001F4DF9">
        <w:rPr>
          <w:rFonts w:ascii="Times New Roman" w:hAnsi="Times New Roman" w:cs="Times New Roman"/>
          <w:color w:val="000000" w:themeColor="text1"/>
          <w:sz w:val="24"/>
          <w:szCs w:val="24"/>
          <w:shd w:val="clear" w:color="auto" w:fill="FFFFFF"/>
        </w:rPr>
        <w:t xml:space="preserve">M.  R.  A.; SOUSA, G.  F.; AVELLAR, A.  P.  M. A </w:t>
      </w:r>
      <w:r w:rsidR="007729ED">
        <w:rPr>
          <w:rFonts w:ascii="Times New Roman" w:hAnsi="Times New Roman" w:cs="Times New Roman"/>
          <w:color w:val="000000" w:themeColor="text1"/>
          <w:sz w:val="24"/>
          <w:szCs w:val="24"/>
          <w:shd w:val="clear" w:color="auto" w:fill="FFFFFF"/>
        </w:rPr>
        <w:t xml:space="preserve">incidência </w:t>
      </w:r>
      <w:r w:rsidR="00CA50ED">
        <w:rPr>
          <w:rFonts w:ascii="Times New Roman" w:hAnsi="Times New Roman" w:cs="Times New Roman"/>
          <w:color w:val="000000" w:themeColor="text1"/>
          <w:sz w:val="24"/>
          <w:szCs w:val="24"/>
          <w:shd w:val="clear" w:color="auto" w:fill="FFFFFF"/>
        </w:rPr>
        <w:t>do</w:t>
      </w:r>
      <w:r w:rsidRPr="0015117D">
        <w:rPr>
          <w:rFonts w:ascii="Times New Roman" w:hAnsi="Times New Roman" w:cs="Times New Roman"/>
          <w:color w:val="000000" w:themeColor="text1"/>
          <w:sz w:val="24"/>
          <w:szCs w:val="24"/>
          <w:shd w:val="clear" w:color="auto" w:fill="FFFFFF"/>
        </w:rPr>
        <w:t xml:space="preserve"> processo  de desindustrialização nos estados brasileiros</w:t>
      </w:r>
      <w:r w:rsidRPr="001F4DF9">
        <w:rPr>
          <w:rFonts w:ascii="Times New Roman" w:hAnsi="Times New Roman" w:cs="Times New Roman"/>
          <w:b/>
          <w:color w:val="000000" w:themeColor="text1"/>
          <w:sz w:val="24"/>
          <w:szCs w:val="24"/>
          <w:shd w:val="clear" w:color="auto" w:fill="FFFFFF"/>
        </w:rPr>
        <w:t>. Revista de Economia</w:t>
      </w:r>
      <w:r w:rsidRPr="0015117D">
        <w:rPr>
          <w:rFonts w:ascii="Times New Roman" w:hAnsi="Times New Roman" w:cs="Times New Roman"/>
          <w:color w:val="000000" w:themeColor="text1"/>
          <w:sz w:val="24"/>
          <w:szCs w:val="24"/>
          <w:shd w:val="clear" w:color="auto" w:fill="FFFFFF"/>
        </w:rPr>
        <w:t>, v. 43, n. 3, p. 01-26, 2016.</w:t>
      </w:r>
    </w:p>
    <w:p w14:paraId="7EB34C8F" w14:textId="24877A85" w:rsidR="00CA50ED" w:rsidRDefault="00CA50ED" w:rsidP="00CA50ED">
      <w:pPr>
        <w:spacing w:after="120" w:line="240" w:lineRule="auto"/>
        <w:contextualSpacing/>
        <w:jc w:val="both"/>
        <w:rPr>
          <w:rFonts w:ascii="Times New Roman" w:hAnsi="Times New Roman" w:cs="Times New Roman"/>
          <w:sz w:val="24"/>
          <w:szCs w:val="24"/>
          <w:lang w:val="en-US"/>
        </w:rPr>
      </w:pPr>
      <w:r w:rsidRPr="00A415E7">
        <w:rPr>
          <w:rFonts w:ascii="Times New Roman" w:hAnsi="Times New Roman" w:cs="Times New Roman"/>
          <w:sz w:val="24"/>
          <w:szCs w:val="24"/>
          <w:lang w:val="en-US"/>
        </w:rPr>
        <w:t xml:space="preserve">BRESCHI, S., MALERBA, F., ORSENIGO, L. Technological regimes and schumpeterian patterns of inovation. </w:t>
      </w:r>
      <w:r w:rsidRPr="00CA50ED">
        <w:rPr>
          <w:rFonts w:ascii="Times New Roman" w:hAnsi="Times New Roman" w:cs="Times New Roman"/>
          <w:b/>
          <w:sz w:val="24"/>
          <w:szCs w:val="24"/>
          <w:lang w:val="en-US"/>
        </w:rPr>
        <w:t>The Econommic Journal</w:t>
      </w:r>
      <w:r>
        <w:rPr>
          <w:rFonts w:ascii="Times New Roman" w:hAnsi="Times New Roman" w:cs="Times New Roman"/>
          <w:sz w:val="24"/>
          <w:szCs w:val="24"/>
          <w:lang w:val="en-US"/>
        </w:rPr>
        <w:t>, n.º 110,</w:t>
      </w:r>
      <w:r w:rsidRPr="00A415E7">
        <w:rPr>
          <w:rFonts w:ascii="Times New Roman" w:hAnsi="Times New Roman" w:cs="Times New Roman"/>
          <w:sz w:val="24"/>
          <w:szCs w:val="24"/>
          <w:lang w:val="en-US"/>
        </w:rPr>
        <w:t xml:space="preserve"> p. 388-410</w:t>
      </w:r>
      <w:r>
        <w:rPr>
          <w:rFonts w:ascii="Times New Roman" w:hAnsi="Times New Roman" w:cs="Times New Roman"/>
          <w:sz w:val="24"/>
          <w:szCs w:val="24"/>
          <w:lang w:val="en-US"/>
        </w:rPr>
        <w:t>, 2000.</w:t>
      </w:r>
    </w:p>
    <w:p w14:paraId="1092FBDB" w14:textId="77777777" w:rsidR="00CA50ED" w:rsidRPr="00A415E7" w:rsidRDefault="00CA50ED" w:rsidP="00CA50ED">
      <w:pPr>
        <w:spacing w:after="120" w:line="240" w:lineRule="auto"/>
        <w:contextualSpacing/>
        <w:jc w:val="both"/>
        <w:rPr>
          <w:rFonts w:ascii="Times New Roman" w:hAnsi="Times New Roman" w:cs="Times New Roman"/>
          <w:sz w:val="24"/>
          <w:szCs w:val="24"/>
          <w:lang w:val="en-US"/>
        </w:rPr>
      </w:pPr>
    </w:p>
    <w:p w14:paraId="41557970" w14:textId="3F8D0BBA" w:rsidR="00B95A0A" w:rsidRDefault="00B95A0A" w:rsidP="00CA50ED">
      <w:pPr>
        <w:spacing w:after="120" w:line="240" w:lineRule="auto"/>
        <w:jc w:val="both"/>
        <w:rPr>
          <w:rFonts w:ascii="Times New Roman" w:hAnsi="Times New Roman" w:cs="Times New Roman"/>
          <w:color w:val="000000" w:themeColor="text1"/>
          <w:sz w:val="24"/>
          <w:szCs w:val="24"/>
        </w:rPr>
      </w:pPr>
      <w:r w:rsidRPr="0015117D">
        <w:rPr>
          <w:rFonts w:ascii="Times New Roman" w:hAnsi="Times New Roman" w:cs="Times New Roman"/>
          <w:color w:val="000000" w:themeColor="text1"/>
          <w:sz w:val="24"/>
          <w:szCs w:val="24"/>
        </w:rPr>
        <w:t xml:space="preserve">COMEX STAT. (2022). </w:t>
      </w:r>
      <w:r w:rsidRPr="0015117D">
        <w:rPr>
          <w:rFonts w:ascii="Times New Roman" w:hAnsi="Times New Roman" w:cs="Times New Roman"/>
          <w:b/>
          <w:bCs/>
          <w:color w:val="000000" w:themeColor="text1"/>
          <w:sz w:val="24"/>
          <w:szCs w:val="24"/>
        </w:rPr>
        <w:t>Exportação e Importação Geral [banco de dados].</w:t>
      </w:r>
      <w:r w:rsidRPr="0015117D">
        <w:rPr>
          <w:rFonts w:ascii="Times New Roman" w:hAnsi="Times New Roman" w:cs="Times New Roman"/>
          <w:color w:val="000000" w:themeColor="text1"/>
          <w:sz w:val="24"/>
          <w:szCs w:val="24"/>
        </w:rPr>
        <w:t xml:space="preserve"> Disponível em: </w:t>
      </w:r>
      <w:hyperlink r:id="rId21" w:history="1">
        <w:r w:rsidRPr="0015117D">
          <w:rPr>
            <w:rStyle w:val="Hyperlink"/>
            <w:rFonts w:ascii="Times New Roman" w:hAnsi="Times New Roman" w:cs="Times New Roman"/>
            <w:color w:val="000000" w:themeColor="text1"/>
            <w:sz w:val="24"/>
            <w:szCs w:val="24"/>
          </w:rPr>
          <w:t>http://comexstat.mdic.gov.br/pt/geral</w:t>
        </w:r>
      </w:hyperlink>
      <w:r w:rsidRPr="0015117D">
        <w:rPr>
          <w:rFonts w:ascii="Times New Roman" w:hAnsi="Times New Roman" w:cs="Times New Roman"/>
          <w:color w:val="000000" w:themeColor="text1"/>
          <w:sz w:val="24"/>
          <w:szCs w:val="24"/>
        </w:rPr>
        <w:t>.</w:t>
      </w:r>
    </w:p>
    <w:p w14:paraId="1ECE0F2E" w14:textId="4C4A850C" w:rsidR="00CD632B" w:rsidRPr="0015117D" w:rsidRDefault="00CD632B" w:rsidP="00CA50ED">
      <w:pPr>
        <w:pStyle w:val="Figura"/>
        <w:spacing w:after="120"/>
        <w:rPr>
          <w:color w:val="000000" w:themeColor="text1"/>
          <w:shd w:val="clear" w:color="auto" w:fill="FFFFFF"/>
        </w:rPr>
      </w:pPr>
      <w:r w:rsidRPr="0015117D">
        <w:rPr>
          <w:color w:val="000000" w:themeColor="text1"/>
          <w:shd w:val="clear" w:color="auto" w:fill="FFFFFF"/>
        </w:rPr>
        <w:t>COMIN, A.</w:t>
      </w:r>
      <w:r w:rsidR="00D046D2">
        <w:rPr>
          <w:rStyle w:val="apple-converted-space"/>
          <w:color w:val="000000" w:themeColor="text1"/>
          <w:shd w:val="clear" w:color="auto" w:fill="FFFFFF"/>
        </w:rPr>
        <w:t xml:space="preserve"> </w:t>
      </w:r>
      <w:r w:rsidRPr="0015117D">
        <w:rPr>
          <w:rStyle w:val="Forte"/>
          <w:color w:val="000000" w:themeColor="text1"/>
          <w:shd w:val="clear" w:color="auto" w:fill="FFFFFF"/>
        </w:rPr>
        <w:t>A desindustrialização truncada:</w:t>
      </w:r>
      <w:r w:rsidR="00D046D2">
        <w:rPr>
          <w:rStyle w:val="apple-converted-space"/>
          <w:color w:val="000000" w:themeColor="text1"/>
          <w:shd w:val="clear" w:color="auto" w:fill="FFFFFF"/>
        </w:rPr>
        <w:t xml:space="preserve"> </w:t>
      </w:r>
      <w:r w:rsidRPr="0015117D">
        <w:rPr>
          <w:color w:val="000000" w:themeColor="text1"/>
          <w:shd w:val="clear" w:color="auto" w:fill="FFFFFF"/>
        </w:rPr>
        <w:t>perspectivas do desenvolvimento econômico brasileiro. 2009. 271 f. Tese (Doutorado) - Curso de Economia, Economia, Universidade Estadual de Campinas, Campinas, 2009.</w:t>
      </w:r>
    </w:p>
    <w:p w14:paraId="7D1F04CD" w14:textId="77777777" w:rsidR="00CD632B" w:rsidRPr="0015117D" w:rsidRDefault="00CD632B" w:rsidP="00CD632B">
      <w:pPr>
        <w:pStyle w:val="Figura"/>
        <w:spacing w:after="120"/>
        <w:rPr>
          <w:color w:val="000000" w:themeColor="text1"/>
        </w:rPr>
      </w:pPr>
      <w:r w:rsidRPr="0015117D">
        <w:rPr>
          <w:color w:val="000000" w:themeColor="text1"/>
        </w:rPr>
        <w:t xml:space="preserve">FURTADO, C. </w:t>
      </w:r>
      <w:r w:rsidRPr="0015117D">
        <w:rPr>
          <w:b/>
          <w:bCs/>
          <w:iCs/>
          <w:color w:val="000000" w:themeColor="text1"/>
        </w:rPr>
        <w:t xml:space="preserve">Desenvolvimento e subdesenvolvimento. </w:t>
      </w:r>
      <w:r w:rsidRPr="0015117D">
        <w:rPr>
          <w:color w:val="000000" w:themeColor="text1"/>
        </w:rPr>
        <w:t>Rio de Janeiro: Fundo de Cultura, 1961.</w:t>
      </w:r>
    </w:p>
    <w:p w14:paraId="63B7A341" w14:textId="1786534D" w:rsidR="00CD632B" w:rsidRPr="00E1676C" w:rsidRDefault="00CD632B" w:rsidP="00CD632B">
      <w:pPr>
        <w:pStyle w:val="Corpodetexto"/>
        <w:spacing w:after="120"/>
        <w:ind w:left="0"/>
        <w:jc w:val="both"/>
      </w:pPr>
      <w:r w:rsidRPr="00E1676C">
        <w:t>GEREFFI,</w:t>
      </w:r>
      <w:r w:rsidRPr="00E1676C">
        <w:rPr>
          <w:spacing w:val="1"/>
        </w:rPr>
        <w:t xml:space="preserve"> </w:t>
      </w:r>
      <w:r w:rsidRPr="00E1676C">
        <w:t>G.;</w:t>
      </w:r>
      <w:r w:rsidRPr="00E1676C">
        <w:rPr>
          <w:spacing w:val="1"/>
        </w:rPr>
        <w:t xml:space="preserve"> </w:t>
      </w:r>
      <w:r w:rsidRPr="00E1676C">
        <w:t>LIM,</w:t>
      </w:r>
      <w:r w:rsidRPr="00E1676C">
        <w:rPr>
          <w:spacing w:val="1"/>
        </w:rPr>
        <w:t xml:space="preserve"> </w:t>
      </w:r>
      <w:r w:rsidRPr="00E1676C">
        <w:t>H.-C.;</w:t>
      </w:r>
      <w:r w:rsidRPr="00E1676C">
        <w:rPr>
          <w:spacing w:val="1"/>
        </w:rPr>
        <w:t xml:space="preserve"> </w:t>
      </w:r>
      <w:r w:rsidRPr="00E1676C">
        <w:t>LEE,</w:t>
      </w:r>
      <w:r w:rsidRPr="00E1676C">
        <w:rPr>
          <w:spacing w:val="1"/>
        </w:rPr>
        <w:t xml:space="preserve"> </w:t>
      </w:r>
      <w:r w:rsidRPr="00E1676C">
        <w:t>J.</w:t>
      </w:r>
      <w:r w:rsidRPr="00E1676C">
        <w:rPr>
          <w:spacing w:val="1"/>
        </w:rPr>
        <w:t xml:space="preserve"> </w:t>
      </w:r>
      <w:r w:rsidRPr="00E1676C">
        <w:rPr>
          <w:bCs/>
        </w:rPr>
        <w:t>Trade</w:t>
      </w:r>
      <w:r w:rsidRPr="00E1676C">
        <w:rPr>
          <w:bCs/>
          <w:spacing w:val="1"/>
        </w:rPr>
        <w:t xml:space="preserve"> </w:t>
      </w:r>
      <w:r w:rsidRPr="00E1676C">
        <w:rPr>
          <w:bCs/>
        </w:rPr>
        <w:t>policies,</w:t>
      </w:r>
      <w:r w:rsidRPr="00E1676C">
        <w:rPr>
          <w:bCs/>
          <w:spacing w:val="1"/>
        </w:rPr>
        <w:t xml:space="preserve"> </w:t>
      </w:r>
      <w:r w:rsidRPr="00E1676C">
        <w:rPr>
          <w:bCs/>
        </w:rPr>
        <w:t>firm</w:t>
      </w:r>
      <w:r w:rsidRPr="00E1676C">
        <w:rPr>
          <w:bCs/>
          <w:spacing w:val="1"/>
        </w:rPr>
        <w:t xml:space="preserve"> </w:t>
      </w:r>
      <w:r w:rsidRPr="00E1676C">
        <w:rPr>
          <w:bCs/>
        </w:rPr>
        <w:t>strategies,</w:t>
      </w:r>
      <w:r w:rsidRPr="00E1676C">
        <w:rPr>
          <w:bCs/>
          <w:spacing w:val="1"/>
        </w:rPr>
        <w:t xml:space="preserve"> </w:t>
      </w:r>
      <w:r w:rsidRPr="00E1676C">
        <w:rPr>
          <w:bCs/>
        </w:rPr>
        <w:t>and</w:t>
      </w:r>
      <w:r w:rsidRPr="00E1676C">
        <w:rPr>
          <w:bCs/>
          <w:spacing w:val="1"/>
        </w:rPr>
        <w:t xml:space="preserve"> </w:t>
      </w:r>
      <w:r w:rsidRPr="00E1676C">
        <w:rPr>
          <w:bCs/>
        </w:rPr>
        <w:t>adaptative</w:t>
      </w:r>
      <w:r w:rsidRPr="00E1676C">
        <w:rPr>
          <w:bCs/>
          <w:spacing w:val="1"/>
        </w:rPr>
        <w:t xml:space="preserve"> </w:t>
      </w:r>
      <w:r w:rsidRPr="00E1676C">
        <w:rPr>
          <w:bCs/>
        </w:rPr>
        <w:t>reconfigurations of global value chains</w:t>
      </w:r>
      <w:r w:rsidRPr="00E1676C">
        <w:t xml:space="preserve">. </w:t>
      </w:r>
      <w:r w:rsidRPr="001F4DF9">
        <w:rPr>
          <w:b/>
          <w:iCs/>
        </w:rPr>
        <w:t>Journal of International Business Policy</w:t>
      </w:r>
      <w:r w:rsidRPr="00E1676C">
        <w:rPr>
          <w:iCs/>
        </w:rPr>
        <w:t>,</w:t>
      </w:r>
      <w:r w:rsidRPr="00E1676C">
        <w:t xml:space="preserve"> Mar., p.</w:t>
      </w:r>
      <w:r w:rsidRPr="00E1676C">
        <w:rPr>
          <w:spacing w:val="1"/>
        </w:rPr>
        <w:t xml:space="preserve"> </w:t>
      </w:r>
      <w:r w:rsidRPr="00E1676C">
        <w:t>1-17, 2021.</w:t>
      </w:r>
    </w:p>
    <w:p w14:paraId="197B7C85" w14:textId="77777777" w:rsidR="00CD632B" w:rsidRPr="00CB7C0E" w:rsidRDefault="00CD632B" w:rsidP="00CD632B">
      <w:pPr>
        <w:spacing w:after="120" w:line="240" w:lineRule="auto"/>
        <w:jc w:val="both"/>
        <w:rPr>
          <w:rFonts w:ascii="Times New Roman" w:eastAsia="Times New Roman" w:hAnsi="Times New Roman" w:cs="Times New Roman"/>
          <w:color w:val="000000"/>
          <w:sz w:val="24"/>
          <w:szCs w:val="24"/>
          <w:lang w:eastAsia="pt-BR"/>
        </w:rPr>
      </w:pPr>
      <w:r w:rsidRPr="00CB7C0E">
        <w:rPr>
          <w:rFonts w:ascii="Times New Roman" w:hAnsi="Times New Roman" w:cs="Times New Roman"/>
          <w:sz w:val="24"/>
          <w:szCs w:val="24"/>
        </w:rPr>
        <w:t xml:space="preserve">HERMANN, M., PENTEK, T., OTTO, B. (2015). </w:t>
      </w:r>
      <w:r w:rsidRPr="001F4DF9">
        <w:rPr>
          <w:rFonts w:ascii="Times New Roman" w:hAnsi="Times New Roman" w:cs="Times New Roman"/>
          <w:b/>
          <w:sz w:val="24"/>
          <w:szCs w:val="24"/>
        </w:rPr>
        <w:t>Design principles for industrie 4.0 scenarios</w:t>
      </w:r>
      <w:r w:rsidRPr="00CB7C0E">
        <w:rPr>
          <w:rFonts w:ascii="Times New Roman" w:hAnsi="Times New Roman" w:cs="Times New Roman"/>
          <w:sz w:val="24"/>
          <w:szCs w:val="24"/>
        </w:rPr>
        <w:t>: a literature review, Business Engineering Institute St. Gallen, Lukasstr. 4, CH-9008 St. Gallen.</w:t>
      </w:r>
    </w:p>
    <w:p w14:paraId="65DB4EF4" w14:textId="77777777" w:rsidR="00CD632B" w:rsidRDefault="00CD632B" w:rsidP="00CD632B">
      <w:pPr>
        <w:spacing w:after="120" w:line="240" w:lineRule="auto"/>
        <w:jc w:val="both"/>
        <w:rPr>
          <w:rFonts w:ascii="Times New Roman" w:eastAsia="Times New Roman" w:hAnsi="Times New Roman" w:cs="Times New Roman"/>
          <w:sz w:val="24"/>
          <w:szCs w:val="24"/>
          <w:lang w:eastAsia="pt-BR"/>
        </w:rPr>
      </w:pPr>
      <w:r w:rsidRPr="00B324FF">
        <w:rPr>
          <w:rFonts w:ascii="Times New Roman" w:eastAsia="Times New Roman" w:hAnsi="Times New Roman" w:cs="Times New Roman"/>
          <w:color w:val="000000"/>
          <w:sz w:val="24"/>
          <w:szCs w:val="24"/>
          <w:lang w:eastAsia="pt-BR"/>
        </w:rPr>
        <w:t xml:space="preserve">INSTITUTO DE ESTUDOS PARA O DESENVOLVIMENTO INDUSTRIAL (IEDI). </w:t>
      </w:r>
      <w:r w:rsidRPr="00AC60AB">
        <w:rPr>
          <w:rFonts w:ascii="Times New Roman" w:eastAsia="Times New Roman" w:hAnsi="Times New Roman" w:cs="Times New Roman"/>
          <w:sz w:val="24"/>
          <w:szCs w:val="24"/>
          <w:lang w:eastAsia="pt-BR"/>
        </w:rPr>
        <w:t xml:space="preserve">Indústria, mudança estrutural e </w:t>
      </w:r>
      <w:r>
        <w:rPr>
          <w:rFonts w:ascii="Times New Roman" w:eastAsia="Times New Roman" w:hAnsi="Times New Roman" w:cs="Times New Roman"/>
          <w:sz w:val="24"/>
          <w:szCs w:val="24"/>
          <w:lang w:eastAsia="pt-BR"/>
        </w:rPr>
        <w:t xml:space="preserve">desenvolvimento. São Paulo, IEDI, </w:t>
      </w:r>
      <w:r w:rsidRPr="001F4DF9">
        <w:rPr>
          <w:rFonts w:ascii="Times New Roman" w:eastAsia="Times New Roman" w:hAnsi="Times New Roman" w:cs="Times New Roman"/>
          <w:b/>
          <w:sz w:val="24"/>
          <w:szCs w:val="24"/>
          <w:lang w:eastAsia="pt-BR"/>
        </w:rPr>
        <w:t>Carta IEDI</w:t>
      </w:r>
      <w:r>
        <w:rPr>
          <w:rFonts w:ascii="Times New Roman" w:eastAsia="Times New Roman" w:hAnsi="Times New Roman" w:cs="Times New Roman"/>
          <w:sz w:val="24"/>
          <w:szCs w:val="24"/>
          <w:lang w:eastAsia="pt-BR"/>
        </w:rPr>
        <w:t>, 759, 11,11,2016.</w:t>
      </w:r>
    </w:p>
    <w:p w14:paraId="6A776819" w14:textId="77777777" w:rsidR="00CD632B" w:rsidRPr="00B324FF" w:rsidRDefault="00CD632B" w:rsidP="00CD632B">
      <w:pPr>
        <w:spacing w:after="120" w:line="240" w:lineRule="auto"/>
        <w:jc w:val="both"/>
        <w:rPr>
          <w:rFonts w:ascii="Times New Roman" w:eastAsia="Times New Roman" w:hAnsi="Times New Roman" w:cs="Times New Roman"/>
          <w:color w:val="000000"/>
          <w:sz w:val="24"/>
          <w:szCs w:val="24"/>
          <w:lang w:eastAsia="pt-BR"/>
        </w:rPr>
      </w:pPr>
      <w:r w:rsidRPr="00B324FF">
        <w:rPr>
          <w:rFonts w:ascii="Times New Roman" w:eastAsia="Times New Roman" w:hAnsi="Times New Roman" w:cs="Times New Roman"/>
          <w:color w:val="000000"/>
          <w:sz w:val="24"/>
          <w:szCs w:val="24"/>
          <w:lang w:eastAsia="pt-BR"/>
        </w:rPr>
        <w:lastRenderedPageBreak/>
        <w:t>INSTITUTO DE ESTUDOS PARA O DESENVOLVIMENTO INDUSTRIAL (IEDI). Indústria 4.0: a quarta revolução industrial e os desafios para a indústria e para o desenvolvimento brasile</w:t>
      </w:r>
      <w:r>
        <w:rPr>
          <w:rFonts w:ascii="Times New Roman" w:eastAsia="Times New Roman" w:hAnsi="Times New Roman" w:cs="Times New Roman"/>
          <w:color w:val="000000"/>
          <w:sz w:val="24"/>
          <w:szCs w:val="24"/>
          <w:lang w:eastAsia="pt-BR"/>
        </w:rPr>
        <w:t>iro.</w:t>
      </w:r>
      <w:r w:rsidRPr="00B324FF">
        <w:rPr>
          <w:rFonts w:ascii="Times New Roman" w:eastAsia="Times New Roman" w:hAnsi="Times New Roman" w:cs="Times New Roman"/>
          <w:color w:val="000000"/>
          <w:sz w:val="24"/>
          <w:szCs w:val="24"/>
          <w:lang w:eastAsia="pt-BR"/>
        </w:rPr>
        <w:t xml:space="preserve"> São Paulo,</w:t>
      </w:r>
      <w:r>
        <w:rPr>
          <w:rFonts w:ascii="Times New Roman" w:eastAsia="Times New Roman" w:hAnsi="Times New Roman" w:cs="Times New Roman"/>
          <w:color w:val="000000"/>
          <w:sz w:val="24"/>
          <w:szCs w:val="24"/>
          <w:lang w:eastAsia="pt-BR"/>
        </w:rPr>
        <w:t xml:space="preserve"> IEDI</w:t>
      </w:r>
      <w:r w:rsidRPr="001F4DF9">
        <w:rPr>
          <w:rFonts w:ascii="Times New Roman" w:eastAsia="Times New Roman" w:hAnsi="Times New Roman" w:cs="Times New Roman"/>
          <w:b/>
          <w:color w:val="000000"/>
          <w:sz w:val="24"/>
          <w:szCs w:val="24"/>
          <w:lang w:eastAsia="pt-BR"/>
        </w:rPr>
        <w:t>, Estudos IEDI</w:t>
      </w:r>
      <w:r>
        <w:rPr>
          <w:rFonts w:ascii="Times New Roman" w:eastAsia="Times New Roman" w:hAnsi="Times New Roman" w:cs="Times New Roman"/>
          <w:color w:val="000000"/>
          <w:sz w:val="24"/>
          <w:szCs w:val="24"/>
          <w:lang w:eastAsia="pt-BR"/>
        </w:rPr>
        <w:t>,</w:t>
      </w:r>
      <w:r w:rsidRPr="00B324FF">
        <w:rPr>
          <w:rFonts w:ascii="Times New Roman" w:eastAsia="Times New Roman" w:hAnsi="Times New Roman" w:cs="Times New Roman"/>
          <w:color w:val="000000"/>
          <w:sz w:val="24"/>
          <w:szCs w:val="24"/>
          <w:lang w:eastAsia="pt-BR"/>
        </w:rPr>
        <w:t xml:space="preserve"> julho, 2017.</w:t>
      </w:r>
    </w:p>
    <w:p w14:paraId="01E16AE4" w14:textId="77777777" w:rsidR="00CD632B" w:rsidRDefault="00CD632B" w:rsidP="00CD632B">
      <w:pPr>
        <w:spacing w:after="120" w:line="240" w:lineRule="auto"/>
        <w:jc w:val="both"/>
        <w:rPr>
          <w:rFonts w:ascii="Times New Roman" w:hAnsi="Times New Roman" w:cs="Times New Roman"/>
          <w:sz w:val="24"/>
          <w:szCs w:val="24"/>
        </w:rPr>
      </w:pPr>
      <w:r w:rsidRPr="00B324FF">
        <w:rPr>
          <w:rFonts w:ascii="Times New Roman" w:eastAsia="Times New Roman" w:hAnsi="Times New Roman" w:cs="Times New Roman"/>
          <w:color w:val="000000"/>
          <w:sz w:val="24"/>
          <w:szCs w:val="24"/>
          <w:lang w:eastAsia="pt-BR"/>
        </w:rPr>
        <w:t xml:space="preserve">INSTITUTO DE ESTUDOS PARA O DESENVOLVIMENTO INDUSTRIAL (IEDI). </w:t>
      </w:r>
      <w:r w:rsidRPr="00B324FF">
        <w:rPr>
          <w:rFonts w:ascii="Times New Roman" w:hAnsi="Times New Roman" w:cs="Times New Roman"/>
          <w:sz w:val="24"/>
          <w:szCs w:val="24"/>
        </w:rPr>
        <w:t xml:space="preserve">Indústria e disputas geopolíticas. </w:t>
      </w:r>
      <w:r w:rsidRPr="00B324FF">
        <w:rPr>
          <w:rFonts w:ascii="Times New Roman" w:eastAsia="Times New Roman" w:hAnsi="Times New Roman" w:cs="Times New Roman"/>
          <w:color w:val="000000"/>
          <w:sz w:val="24"/>
          <w:szCs w:val="24"/>
          <w:lang w:eastAsia="pt-BR"/>
        </w:rPr>
        <w:t>São Paulo,</w:t>
      </w:r>
      <w:r w:rsidRPr="00B324FF">
        <w:rPr>
          <w:rFonts w:ascii="Times New Roman" w:hAnsi="Times New Roman" w:cs="Times New Roman"/>
          <w:sz w:val="24"/>
          <w:szCs w:val="24"/>
        </w:rPr>
        <w:t xml:space="preserve"> </w:t>
      </w:r>
      <w:r>
        <w:rPr>
          <w:rFonts w:ascii="Times New Roman" w:hAnsi="Times New Roman" w:cs="Times New Roman"/>
          <w:sz w:val="24"/>
          <w:szCs w:val="24"/>
        </w:rPr>
        <w:t xml:space="preserve">IEDI, </w:t>
      </w:r>
      <w:r w:rsidRPr="001F4DF9">
        <w:rPr>
          <w:rFonts w:ascii="Times New Roman" w:hAnsi="Times New Roman" w:cs="Times New Roman"/>
          <w:b/>
          <w:sz w:val="24"/>
          <w:szCs w:val="24"/>
        </w:rPr>
        <w:t>Carta IEDI</w:t>
      </w:r>
      <w:r>
        <w:rPr>
          <w:rFonts w:ascii="Times New Roman" w:hAnsi="Times New Roman" w:cs="Times New Roman"/>
          <w:sz w:val="24"/>
          <w:szCs w:val="24"/>
        </w:rPr>
        <w:t xml:space="preserve"> 1</w:t>
      </w:r>
      <w:r w:rsidRPr="00B324FF">
        <w:rPr>
          <w:rFonts w:ascii="Times New Roman" w:hAnsi="Times New Roman" w:cs="Times New Roman"/>
          <w:sz w:val="24"/>
          <w:szCs w:val="24"/>
        </w:rPr>
        <w:t>154, 05/08/2022</w:t>
      </w:r>
      <w:r>
        <w:rPr>
          <w:rFonts w:ascii="Times New Roman" w:hAnsi="Times New Roman" w:cs="Times New Roman"/>
          <w:sz w:val="24"/>
          <w:szCs w:val="24"/>
        </w:rPr>
        <w:t>.</w:t>
      </w:r>
    </w:p>
    <w:p w14:paraId="4A0E1654" w14:textId="3E6AAFBD" w:rsidR="00CD632B" w:rsidRPr="0015117D" w:rsidRDefault="00CD632B" w:rsidP="00CD632B">
      <w:pPr>
        <w:spacing w:after="120" w:line="240" w:lineRule="auto"/>
        <w:jc w:val="both"/>
        <w:rPr>
          <w:rFonts w:ascii="Times New Roman" w:hAnsi="Times New Roman" w:cs="Times New Roman"/>
          <w:color w:val="000000" w:themeColor="text1"/>
          <w:sz w:val="24"/>
          <w:szCs w:val="24"/>
        </w:rPr>
      </w:pPr>
      <w:r w:rsidRPr="00B324FF">
        <w:rPr>
          <w:rFonts w:ascii="Times New Roman" w:eastAsia="Times New Roman" w:hAnsi="Times New Roman" w:cs="Times New Roman"/>
          <w:color w:val="000000"/>
          <w:sz w:val="24"/>
          <w:szCs w:val="24"/>
          <w:lang w:eastAsia="pt-BR"/>
        </w:rPr>
        <w:t xml:space="preserve">INSTITUTO DE ESTUDOS PARA O DESENVOLVIMENTO INDUSTRIAL (IEDI). </w:t>
      </w:r>
      <w:r w:rsidRPr="006073B1">
        <w:rPr>
          <w:rFonts w:ascii="Times New Roman" w:hAnsi="Times New Roman" w:cs="Times New Roman"/>
          <w:sz w:val="24"/>
          <w:szCs w:val="24"/>
        </w:rPr>
        <w:t>Política Industrial e Desenvolvimento Sustentável no Mundo PósCovid-19.</w:t>
      </w:r>
      <w:r w:rsidR="001F4DF9">
        <w:rPr>
          <w:rFonts w:ascii="Times New Roman" w:hAnsi="Times New Roman" w:cs="Times New Roman"/>
          <w:sz w:val="24"/>
          <w:szCs w:val="24"/>
        </w:rPr>
        <w:t xml:space="preserve"> </w:t>
      </w:r>
      <w:r w:rsidRPr="006073B1">
        <w:rPr>
          <w:rFonts w:ascii="Times New Roman" w:hAnsi="Times New Roman" w:cs="Times New Roman"/>
          <w:sz w:val="24"/>
          <w:szCs w:val="24"/>
        </w:rPr>
        <w:t xml:space="preserve">São Paulo, IEDI, </w:t>
      </w:r>
      <w:r w:rsidRPr="001F4DF9">
        <w:rPr>
          <w:rFonts w:ascii="Times New Roman" w:hAnsi="Times New Roman" w:cs="Times New Roman"/>
          <w:b/>
          <w:sz w:val="24"/>
          <w:szCs w:val="24"/>
        </w:rPr>
        <w:t>Carta IEDI</w:t>
      </w:r>
      <w:r w:rsidRPr="006073B1">
        <w:rPr>
          <w:rFonts w:ascii="Times New Roman" w:hAnsi="Times New Roman" w:cs="Times New Roman"/>
          <w:sz w:val="24"/>
          <w:szCs w:val="24"/>
        </w:rPr>
        <w:t xml:space="preserve"> 1132, 11/03/2022</w:t>
      </w:r>
    </w:p>
    <w:p w14:paraId="365E648D" w14:textId="77777777" w:rsidR="001F4DF9" w:rsidRPr="00E1676C" w:rsidRDefault="001F4DF9" w:rsidP="001F4DF9">
      <w:pPr>
        <w:jc w:val="both"/>
        <w:rPr>
          <w:rFonts w:ascii="Times New Roman" w:hAnsi="Times New Roman" w:cs="Times New Roman"/>
        </w:rPr>
      </w:pPr>
      <w:r w:rsidRPr="00E1676C">
        <w:rPr>
          <w:rFonts w:ascii="Times New Roman" w:hAnsi="Times New Roman" w:cs="Times New Roman"/>
          <w:lang w:val="en-US"/>
        </w:rPr>
        <w:t xml:space="preserve">KALDOR, N. </w:t>
      </w:r>
      <w:r w:rsidRPr="001F4DF9">
        <w:rPr>
          <w:rFonts w:ascii="Times New Roman" w:hAnsi="Times New Roman" w:cs="Times New Roman"/>
          <w:b/>
          <w:lang w:val="en-US"/>
        </w:rPr>
        <w:t>Causes of the slow rate of economic growth of the United Kingdom</w:t>
      </w:r>
      <w:r w:rsidRPr="00E1676C">
        <w:rPr>
          <w:rFonts w:ascii="Times New Roman" w:hAnsi="Times New Roman" w:cs="Times New Roman"/>
          <w:lang w:val="en-US"/>
        </w:rPr>
        <w:t xml:space="preserve">. </w:t>
      </w:r>
      <w:r w:rsidRPr="00E1676C">
        <w:rPr>
          <w:rFonts w:ascii="Times New Roman" w:hAnsi="Times New Roman" w:cs="Times New Roman"/>
        </w:rPr>
        <w:t>Cambridge University Press. 1966.</w:t>
      </w:r>
    </w:p>
    <w:p w14:paraId="56E60D8B" w14:textId="77777777" w:rsidR="00CD632B" w:rsidRDefault="00CD632B" w:rsidP="00CD632B">
      <w:pPr>
        <w:pStyle w:val="Figura"/>
        <w:spacing w:after="120"/>
        <w:contextualSpacing/>
      </w:pPr>
      <w:r w:rsidRPr="00E1676C">
        <w:t xml:space="preserve">LAMONICA, M.T.; FEIJÓ, C. A. Mudança da estrutura industrial e desenvolvimento econômico: as lições de Kaldor para a indústria brasileira. Universidade Federal Fluminense. Rio de Janeiro. </w:t>
      </w:r>
      <w:r w:rsidRPr="001F4DF9">
        <w:rPr>
          <w:b/>
        </w:rPr>
        <w:t>Texto para Discussão</w:t>
      </w:r>
      <w:r>
        <w:t xml:space="preserve"> 265, 2010.</w:t>
      </w:r>
    </w:p>
    <w:p w14:paraId="3DF5794D" w14:textId="7EECA6FE" w:rsidR="00CD632B" w:rsidRPr="00800081" w:rsidRDefault="001F4DF9" w:rsidP="00CD632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LEVY, P. M.; SERRA, M. I.</w:t>
      </w:r>
      <w:r w:rsidR="00CD632B" w:rsidRPr="00800081">
        <w:rPr>
          <w:rFonts w:ascii="Times New Roman" w:hAnsi="Times New Roman" w:cs="Times New Roman"/>
          <w:color w:val="222222"/>
          <w:sz w:val="24"/>
          <w:szCs w:val="24"/>
          <w:shd w:val="clear" w:color="auto" w:fill="FFFFFF"/>
        </w:rPr>
        <w:t xml:space="preserve"> F. Coeficientes de import</w:t>
      </w:r>
      <w:r w:rsidR="007D057A">
        <w:rPr>
          <w:rFonts w:ascii="Times New Roman" w:hAnsi="Times New Roman" w:cs="Times New Roman"/>
          <w:color w:val="222222"/>
          <w:sz w:val="24"/>
          <w:szCs w:val="24"/>
          <w:shd w:val="clear" w:color="auto" w:fill="FFFFFF"/>
        </w:rPr>
        <w:t xml:space="preserve">ação e exportação na indústria. </w:t>
      </w:r>
      <w:r w:rsidR="00CD632B" w:rsidRPr="00800081">
        <w:rPr>
          <w:rFonts w:ascii="Times New Roman" w:hAnsi="Times New Roman" w:cs="Times New Roman"/>
          <w:b/>
          <w:bCs/>
          <w:color w:val="222222"/>
          <w:sz w:val="24"/>
          <w:szCs w:val="24"/>
          <w:shd w:val="clear" w:color="auto" w:fill="FFFFFF"/>
        </w:rPr>
        <w:t>Boletim de conjuntura</w:t>
      </w:r>
      <w:r w:rsidR="00CD632B" w:rsidRPr="00800081">
        <w:rPr>
          <w:rFonts w:ascii="Times New Roman" w:hAnsi="Times New Roman" w:cs="Times New Roman"/>
          <w:color w:val="222222"/>
          <w:sz w:val="24"/>
          <w:szCs w:val="24"/>
          <w:shd w:val="clear" w:color="auto" w:fill="FFFFFF"/>
        </w:rPr>
        <w:t>, v. 58, p. 65-80, 2002.</w:t>
      </w:r>
    </w:p>
    <w:p w14:paraId="3C079045" w14:textId="54EF4469" w:rsidR="00CD632B" w:rsidRDefault="001F4DF9" w:rsidP="00CD632B">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MORCEIRO, P</w:t>
      </w:r>
      <w:r w:rsidR="00CD632B" w:rsidRPr="0015117D">
        <w:rPr>
          <w:rFonts w:ascii="Times New Roman" w:hAnsi="Times New Roman" w:cs="Times New Roman"/>
          <w:color w:val="000000" w:themeColor="text1"/>
          <w:sz w:val="24"/>
          <w:szCs w:val="24"/>
        </w:rPr>
        <w:t xml:space="preserve">. Nova classificação de intensidade tecnológica da OCDE e a posição do Brasil. </w:t>
      </w:r>
      <w:r w:rsidR="00CD632B" w:rsidRPr="0015117D">
        <w:rPr>
          <w:rFonts w:ascii="Times New Roman" w:hAnsi="Times New Roman" w:cs="Times New Roman"/>
          <w:b/>
          <w:bCs/>
          <w:color w:val="000000" w:themeColor="text1"/>
          <w:sz w:val="24"/>
          <w:szCs w:val="24"/>
        </w:rPr>
        <w:t>Informações FIPE</w:t>
      </w:r>
      <w:r w:rsidR="00CD632B" w:rsidRPr="0015117D">
        <w:rPr>
          <w:rFonts w:ascii="Times New Roman" w:hAnsi="Times New Roman" w:cs="Times New Roman"/>
          <w:color w:val="000000" w:themeColor="text1"/>
          <w:sz w:val="24"/>
          <w:szCs w:val="24"/>
        </w:rPr>
        <w:t>, v. 461, p. 8-13, 2019.</w:t>
      </w:r>
    </w:p>
    <w:p w14:paraId="24B184D6" w14:textId="6FF27E0C" w:rsidR="00CD632B" w:rsidRDefault="00CD632B" w:rsidP="00CD632B">
      <w:pPr>
        <w:spacing w:after="120" w:line="240" w:lineRule="auto"/>
        <w:contextualSpacing/>
        <w:jc w:val="both"/>
        <w:rPr>
          <w:rFonts w:ascii="Times New Roman" w:hAnsi="Times New Roman" w:cs="Times New Roman"/>
          <w:color w:val="222222"/>
          <w:sz w:val="24"/>
          <w:szCs w:val="24"/>
          <w:shd w:val="clear" w:color="auto" w:fill="FFFFFF"/>
          <w:lang w:val="en-US"/>
        </w:rPr>
      </w:pPr>
      <w:r w:rsidRPr="00B324FF">
        <w:rPr>
          <w:rFonts w:ascii="Times New Roman" w:hAnsi="Times New Roman" w:cs="Times New Roman"/>
          <w:color w:val="222222"/>
          <w:sz w:val="24"/>
          <w:szCs w:val="24"/>
          <w:shd w:val="clear" w:color="auto" w:fill="FFFFFF"/>
        </w:rPr>
        <w:t>OREIRO, J. L; FEIJÓ, C. A. Desindustrialização: conceituação, causas, efeitos e o caso brasileiro.</w:t>
      </w:r>
      <w:r w:rsidR="007D057A">
        <w:rPr>
          <w:rStyle w:val="apple-converted-space"/>
          <w:rFonts w:ascii="Times New Roman" w:hAnsi="Times New Roman" w:cs="Times New Roman"/>
          <w:color w:val="222222"/>
          <w:shd w:val="clear" w:color="auto" w:fill="FFFFFF"/>
        </w:rPr>
        <w:t xml:space="preserve"> </w:t>
      </w:r>
      <w:r w:rsidRPr="001F4DF9">
        <w:rPr>
          <w:rFonts w:ascii="Times New Roman" w:hAnsi="Times New Roman" w:cs="Times New Roman"/>
          <w:b/>
          <w:bCs/>
          <w:color w:val="222222"/>
          <w:sz w:val="24"/>
          <w:szCs w:val="24"/>
          <w:shd w:val="clear" w:color="auto" w:fill="FFFFFF"/>
          <w:lang w:val="en-US"/>
        </w:rPr>
        <w:t>Revista de Economia Política</w:t>
      </w:r>
      <w:r w:rsidRPr="00B324FF">
        <w:rPr>
          <w:rFonts w:ascii="Times New Roman" w:hAnsi="Times New Roman" w:cs="Times New Roman"/>
          <w:color w:val="222222"/>
          <w:sz w:val="24"/>
          <w:szCs w:val="24"/>
          <w:shd w:val="clear" w:color="auto" w:fill="FFFFFF"/>
          <w:lang w:val="en-US"/>
        </w:rPr>
        <w:t>, v. 30, n. 2, p. 219-232, 2010.</w:t>
      </w:r>
    </w:p>
    <w:p w14:paraId="5528EBC8" w14:textId="70040354" w:rsidR="00CD632B" w:rsidRDefault="00CD632B" w:rsidP="00CD632B">
      <w:pPr>
        <w:pStyle w:val="Figura"/>
        <w:spacing w:after="120"/>
        <w:rPr>
          <w:rFonts w:eastAsia="Times New Roman"/>
          <w:color w:val="000000"/>
          <w:lang w:val="en-US"/>
        </w:rPr>
      </w:pPr>
      <w:r w:rsidRPr="00E1676C">
        <w:rPr>
          <w:lang w:val="en-US"/>
        </w:rPr>
        <w:t>ORGANIZATION FOR ECONOMIC COO</w:t>
      </w:r>
      <w:r w:rsidR="007D057A">
        <w:rPr>
          <w:lang w:val="en-US"/>
        </w:rPr>
        <w:t>PERATION AND DEVELOPMENT (OECD)</w:t>
      </w:r>
      <w:r w:rsidRPr="00800081">
        <w:rPr>
          <w:lang w:val="en-US"/>
        </w:rPr>
        <w:t xml:space="preserve">.  Technology intensity definition: Classification of manufacturing industries into categories based on R&amp;D intensities. Organisation for Economic Co-operation and Development: </w:t>
      </w:r>
      <w:r w:rsidRPr="00800081">
        <w:rPr>
          <w:b/>
          <w:lang w:val="en-US"/>
        </w:rPr>
        <w:t>Directorate for Science, Technology and Industry</w:t>
      </w:r>
      <w:r w:rsidRPr="00800081">
        <w:rPr>
          <w:lang w:val="en-US"/>
        </w:rPr>
        <w:t xml:space="preserve"> – Economic Analysis and Statistics Division, Jul. 2011.</w:t>
      </w:r>
      <w:r w:rsidRPr="00800081">
        <w:rPr>
          <w:rFonts w:eastAsia="Times New Roman"/>
          <w:color w:val="000000"/>
          <w:lang w:val="en-US"/>
        </w:rPr>
        <w:t xml:space="preserve"> </w:t>
      </w:r>
    </w:p>
    <w:p w14:paraId="6CBB75D9" w14:textId="3D1314D1" w:rsidR="001F4DF9" w:rsidRDefault="001F4DF9" w:rsidP="00DA6F89">
      <w:pPr>
        <w:autoSpaceDE w:val="0"/>
        <w:autoSpaceDN w:val="0"/>
        <w:adjustRightInd w:val="0"/>
        <w:spacing w:after="120" w:line="240" w:lineRule="auto"/>
        <w:contextualSpacing/>
        <w:jc w:val="both"/>
        <w:rPr>
          <w:rFonts w:ascii="Times New Roman" w:hAnsi="Times New Roman" w:cs="Times New Roman"/>
          <w:color w:val="000000" w:themeColor="text1"/>
          <w:sz w:val="24"/>
          <w:szCs w:val="24"/>
          <w:lang w:val="en-US"/>
        </w:rPr>
      </w:pPr>
      <w:r w:rsidRPr="001F4DF9">
        <w:rPr>
          <w:rFonts w:ascii="Times New Roman" w:hAnsi="Times New Roman" w:cs="Times New Roman"/>
          <w:color w:val="000000" w:themeColor="text1"/>
          <w:sz w:val="24"/>
          <w:szCs w:val="24"/>
        </w:rPr>
        <w:t xml:space="preserve">PALMA, J. G. </w:t>
      </w:r>
      <w:r w:rsidRPr="001F4DF9">
        <w:rPr>
          <w:rFonts w:ascii="Times New Roman" w:hAnsi="Times New Roman" w:cs="Times New Roman"/>
          <w:i/>
          <w:iCs/>
          <w:color w:val="000000" w:themeColor="text1"/>
          <w:sz w:val="24"/>
          <w:szCs w:val="24"/>
        </w:rPr>
        <w:t>Quatro fontes de “desindustrialização” e um novo conceito de “doença holandesa”</w:t>
      </w:r>
      <w:r w:rsidRPr="001F4DF9">
        <w:rPr>
          <w:rFonts w:ascii="Times New Roman" w:hAnsi="Times New Roman" w:cs="Times New Roman"/>
          <w:color w:val="000000" w:themeColor="text1"/>
          <w:sz w:val="24"/>
          <w:szCs w:val="24"/>
        </w:rPr>
        <w:t xml:space="preserve">. Trabalho apresentado na </w:t>
      </w:r>
      <w:r w:rsidRPr="001F4DF9">
        <w:rPr>
          <w:rFonts w:ascii="Times New Roman" w:hAnsi="Times New Roman" w:cs="Times New Roman"/>
          <w:b/>
          <w:color w:val="000000" w:themeColor="text1"/>
          <w:sz w:val="24"/>
          <w:szCs w:val="24"/>
        </w:rPr>
        <w:t>Conferência de Industrialização, Desindustrialização e</w:t>
      </w:r>
      <w:r w:rsidRPr="001F4DF9">
        <w:rPr>
          <w:rFonts w:ascii="Times New Roman" w:hAnsi="Times New Roman" w:cs="Times New Roman"/>
          <w:b/>
          <w:i/>
          <w:iCs/>
          <w:color w:val="000000" w:themeColor="text1"/>
          <w:sz w:val="24"/>
          <w:szCs w:val="24"/>
        </w:rPr>
        <w:t xml:space="preserve"> </w:t>
      </w:r>
      <w:r w:rsidRPr="001F4DF9">
        <w:rPr>
          <w:rFonts w:ascii="Times New Roman" w:hAnsi="Times New Roman" w:cs="Times New Roman"/>
          <w:b/>
          <w:color w:val="000000" w:themeColor="text1"/>
          <w:sz w:val="24"/>
          <w:szCs w:val="24"/>
        </w:rPr>
        <w:t>Desenvolvimento</w:t>
      </w:r>
      <w:r w:rsidRPr="001F4DF9">
        <w:rPr>
          <w:rFonts w:ascii="Times New Roman" w:hAnsi="Times New Roman" w:cs="Times New Roman"/>
          <w:color w:val="000000" w:themeColor="text1"/>
          <w:sz w:val="24"/>
          <w:szCs w:val="24"/>
        </w:rPr>
        <w:t xml:space="preserve">, organizada pela FIESP e IEDI. </w:t>
      </w:r>
      <w:r w:rsidRPr="001F4DF9">
        <w:rPr>
          <w:rFonts w:ascii="Times New Roman" w:hAnsi="Times New Roman" w:cs="Times New Roman"/>
          <w:color w:val="000000" w:themeColor="text1"/>
          <w:sz w:val="24"/>
          <w:szCs w:val="24"/>
          <w:lang w:val="en-US"/>
        </w:rPr>
        <w:t>Centro Cultural da FIESP, 28 de Agosto de 2005</w:t>
      </w:r>
      <w:r>
        <w:rPr>
          <w:rFonts w:ascii="Times New Roman" w:hAnsi="Times New Roman" w:cs="Times New Roman"/>
          <w:color w:val="000000" w:themeColor="text1"/>
          <w:sz w:val="24"/>
          <w:szCs w:val="24"/>
          <w:lang w:val="en-US"/>
        </w:rPr>
        <w:t>.</w:t>
      </w:r>
    </w:p>
    <w:p w14:paraId="53009D1C" w14:textId="77777777" w:rsidR="001F4DF9" w:rsidRPr="001F4DF9" w:rsidRDefault="001F4DF9" w:rsidP="001F4DF9">
      <w:pPr>
        <w:autoSpaceDE w:val="0"/>
        <w:autoSpaceDN w:val="0"/>
        <w:adjustRightInd w:val="0"/>
        <w:spacing w:after="120" w:line="240" w:lineRule="auto"/>
        <w:contextualSpacing/>
        <w:jc w:val="both"/>
        <w:rPr>
          <w:rFonts w:ascii="Times New Roman" w:hAnsi="Times New Roman" w:cs="Times New Roman"/>
          <w:sz w:val="24"/>
          <w:szCs w:val="24"/>
        </w:rPr>
      </w:pPr>
    </w:p>
    <w:p w14:paraId="6B17DCE6" w14:textId="19D50499" w:rsidR="00CD632B" w:rsidRPr="001F4DF9" w:rsidRDefault="001F4DF9" w:rsidP="001F4DF9">
      <w:pPr>
        <w:spacing w:after="120" w:line="240" w:lineRule="auto"/>
        <w:jc w:val="both"/>
        <w:rPr>
          <w:rFonts w:ascii="Times New Roman" w:hAnsi="Times New Roman" w:cs="Times New Roman"/>
          <w:color w:val="000000" w:themeColor="text1"/>
          <w:sz w:val="24"/>
          <w:szCs w:val="24"/>
          <w:shd w:val="clear" w:color="auto" w:fill="FFFFFF"/>
        </w:rPr>
      </w:pPr>
      <w:r w:rsidRPr="001F4DF9">
        <w:rPr>
          <w:rFonts w:ascii="Times New Roman" w:hAnsi="Times New Roman" w:cs="Times New Roman"/>
          <w:color w:val="000000" w:themeColor="text1"/>
          <w:sz w:val="24"/>
          <w:szCs w:val="24"/>
          <w:shd w:val="clear" w:color="auto" w:fill="FFFFFF"/>
        </w:rPr>
        <w:t>PALMA, J. G</w:t>
      </w:r>
      <w:r w:rsidR="00CD632B" w:rsidRPr="001F4DF9">
        <w:rPr>
          <w:rFonts w:ascii="Times New Roman" w:hAnsi="Times New Roman" w:cs="Times New Roman"/>
          <w:color w:val="000000" w:themeColor="text1"/>
          <w:sz w:val="24"/>
          <w:szCs w:val="24"/>
          <w:shd w:val="clear" w:color="auto" w:fill="FFFFFF"/>
        </w:rPr>
        <w:t>. Deindustrialization,“premature” deindustri</w:t>
      </w:r>
      <w:r w:rsidR="007D057A">
        <w:rPr>
          <w:rFonts w:ascii="Times New Roman" w:hAnsi="Times New Roman" w:cs="Times New Roman"/>
          <w:color w:val="000000" w:themeColor="text1"/>
          <w:sz w:val="24"/>
          <w:szCs w:val="24"/>
          <w:shd w:val="clear" w:color="auto" w:fill="FFFFFF"/>
        </w:rPr>
        <w:t xml:space="preserve">alization, and “Dutch disease”. </w:t>
      </w:r>
      <w:r w:rsidR="00CD632B" w:rsidRPr="001F4DF9">
        <w:rPr>
          <w:rFonts w:ascii="Times New Roman" w:hAnsi="Times New Roman" w:cs="Times New Roman"/>
          <w:b/>
          <w:bCs/>
          <w:color w:val="000000" w:themeColor="text1"/>
          <w:sz w:val="24"/>
          <w:szCs w:val="24"/>
          <w:shd w:val="clear" w:color="auto" w:fill="FFFFFF"/>
        </w:rPr>
        <w:t>El trimestre económico</w:t>
      </w:r>
      <w:r w:rsidR="00CD632B" w:rsidRPr="001F4DF9">
        <w:rPr>
          <w:rFonts w:ascii="Times New Roman" w:hAnsi="Times New Roman" w:cs="Times New Roman"/>
          <w:color w:val="000000" w:themeColor="text1"/>
          <w:sz w:val="24"/>
          <w:szCs w:val="24"/>
          <w:shd w:val="clear" w:color="auto" w:fill="FFFFFF"/>
        </w:rPr>
        <w:t>, v. 86, n. 344, p. 901-966, 2019.</w:t>
      </w:r>
    </w:p>
    <w:p w14:paraId="6C2CFFDA" w14:textId="7E2BB8E8" w:rsidR="00CD632B" w:rsidRDefault="00CD632B" w:rsidP="00CD632B">
      <w:pPr>
        <w:jc w:val="both"/>
        <w:rPr>
          <w:rFonts w:ascii="Times New Roman" w:hAnsi="Times New Roman" w:cs="Times New Roman"/>
          <w:color w:val="000000" w:themeColor="text1"/>
          <w:sz w:val="24"/>
          <w:szCs w:val="24"/>
        </w:rPr>
      </w:pPr>
      <w:r w:rsidRPr="0015117D">
        <w:rPr>
          <w:rFonts w:ascii="Times New Roman" w:hAnsi="Times New Roman" w:cs="Times New Roman"/>
          <w:color w:val="000000" w:themeColor="text1"/>
          <w:sz w:val="24"/>
          <w:szCs w:val="24"/>
        </w:rPr>
        <w:t>PEREIRA, W. M.; CARIO, S. A. F. Desindustrialização e mudança estrutural na regiã</w:t>
      </w:r>
      <w:r w:rsidR="007D057A">
        <w:rPr>
          <w:rFonts w:ascii="Times New Roman" w:hAnsi="Times New Roman" w:cs="Times New Roman"/>
          <w:color w:val="000000" w:themeColor="text1"/>
          <w:sz w:val="24"/>
          <w:szCs w:val="24"/>
        </w:rPr>
        <w:t xml:space="preserve">o sudeste: um estudo comparado. </w:t>
      </w:r>
      <w:r w:rsidRPr="0015117D">
        <w:rPr>
          <w:rFonts w:ascii="Times New Roman" w:hAnsi="Times New Roman" w:cs="Times New Roman"/>
          <w:b/>
          <w:bCs/>
          <w:color w:val="000000" w:themeColor="text1"/>
          <w:sz w:val="24"/>
          <w:szCs w:val="24"/>
        </w:rPr>
        <w:t>Revista Brasileira de Estudos Regionais e Urbanos</w:t>
      </w:r>
      <w:r w:rsidR="007D057A">
        <w:rPr>
          <w:rFonts w:ascii="Times New Roman" w:hAnsi="Times New Roman" w:cs="Times New Roman"/>
          <w:color w:val="000000" w:themeColor="text1"/>
          <w:sz w:val="24"/>
          <w:szCs w:val="24"/>
        </w:rPr>
        <w:t xml:space="preserve">, </w:t>
      </w:r>
      <w:r w:rsidRPr="0015117D">
        <w:rPr>
          <w:rFonts w:ascii="Times New Roman" w:hAnsi="Times New Roman" w:cs="Times New Roman"/>
          <w:i/>
          <w:iCs/>
          <w:color w:val="000000" w:themeColor="text1"/>
          <w:sz w:val="24"/>
          <w:szCs w:val="24"/>
        </w:rPr>
        <w:t>[S. l.]</w:t>
      </w:r>
      <w:r w:rsidRPr="0015117D">
        <w:rPr>
          <w:rFonts w:ascii="Times New Roman" w:hAnsi="Times New Roman" w:cs="Times New Roman"/>
          <w:color w:val="000000" w:themeColor="text1"/>
          <w:sz w:val="24"/>
          <w:szCs w:val="24"/>
        </w:rPr>
        <w:t>, v. 12, n. 2, p. 173–204, 2018. Disponível em: https://revistaaber.org.br/rberu/article/view/256. Acesso em: 16 jan. 2023.</w:t>
      </w:r>
    </w:p>
    <w:p w14:paraId="04871E88" w14:textId="77777777" w:rsidR="00CD632B" w:rsidRPr="00B324FF" w:rsidRDefault="00CD632B" w:rsidP="00CD632B">
      <w:pPr>
        <w:pStyle w:val="Figura"/>
        <w:spacing w:after="120"/>
        <w:contextualSpacing/>
      </w:pPr>
      <w:r w:rsidRPr="00B324FF">
        <w:t xml:space="preserve">PESSOTI, B. C; PESSOTI, G. C. A indissociável relação entre indústria, desenvolvimento econômico e políticas indústrias no Brasil. RDE – </w:t>
      </w:r>
      <w:r w:rsidRPr="001F4DF9">
        <w:rPr>
          <w:b/>
        </w:rPr>
        <w:t>Revista de Desenvolvimento Econômico</w:t>
      </w:r>
      <w:r>
        <w:t xml:space="preserve">. Ano XI _ Nº 19, </w:t>
      </w:r>
      <w:r w:rsidRPr="00B324FF">
        <w:t>2009</w:t>
      </w:r>
      <w:r>
        <w:t xml:space="preserve">. </w:t>
      </w:r>
    </w:p>
    <w:p w14:paraId="54BAF4AB" w14:textId="3F3F4384" w:rsidR="0015117D" w:rsidRDefault="001F4DF9" w:rsidP="0015117D">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PREBISCH, R.; CABAÑAS, G. M</w:t>
      </w:r>
      <w:r w:rsidR="0015117D" w:rsidRPr="0015117D">
        <w:rPr>
          <w:rFonts w:ascii="Times New Roman" w:hAnsi="Times New Roman" w:cs="Times New Roman"/>
          <w:color w:val="000000" w:themeColor="text1"/>
          <w:sz w:val="24"/>
          <w:szCs w:val="24"/>
          <w:shd w:val="clear" w:color="auto" w:fill="FFFFFF"/>
        </w:rPr>
        <w:t>. El desarrollo económico de la América Latina y alguno</w:t>
      </w:r>
      <w:r w:rsidR="007D057A">
        <w:rPr>
          <w:rFonts w:ascii="Times New Roman" w:hAnsi="Times New Roman" w:cs="Times New Roman"/>
          <w:color w:val="000000" w:themeColor="text1"/>
          <w:sz w:val="24"/>
          <w:szCs w:val="24"/>
          <w:shd w:val="clear" w:color="auto" w:fill="FFFFFF"/>
        </w:rPr>
        <w:t xml:space="preserve">s de sus principales problemas. </w:t>
      </w:r>
      <w:r w:rsidR="0015117D" w:rsidRPr="0015117D">
        <w:rPr>
          <w:rFonts w:ascii="Times New Roman" w:hAnsi="Times New Roman" w:cs="Times New Roman"/>
          <w:b/>
          <w:bCs/>
          <w:color w:val="000000" w:themeColor="text1"/>
          <w:sz w:val="24"/>
          <w:szCs w:val="24"/>
          <w:shd w:val="clear" w:color="auto" w:fill="FFFFFF"/>
        </w:rPr>
        <w:t>El trimestre económico</w:t>
      </w:r>
      <w:r w:rsidR="0015117D" w:rsidRPr="0015117D">
        <w:rPr>
          <w:rFonts w:ascii="Times New Roman" w:hAnsi="Times New Roman" w:cs="Times New Roman"/>
          <w:color w:val="000000" w:themeColor="text1"/>
          <w:sz w:val="24"/>
          <w:szCs w:val="24"/>
          <w:shd w:val="clear" w:color="auto" w:fill="FFFFFF"/>
        </w:rPr>
        <w:t>, v. 16, n. 63 (3, p. 347-431, 1949.</w:t>
      </w:r>
    </w:p>
    <w:p w14:paraId="74D3DE68" w14:textId="5AD72E0C" w:rsidR="00CD632B" w:rsidRDefault="00CD632B" w:rsidP="00CD632B">
      <w:pPr>
        <w:spacing w:after="120" w:line="240" w:lineRule="auto"/>
        <w:jc w:val="both"/>
        <w:rPr>
          <w:rFonts w:ascii="Times New Roman" w:hAnsi="Times New Roman" w:cs="Times New Roman"/>
          <w:sz w:val="24"/>
          <w:szCs w:val="24"/>
        </w:rPr>
      </w:pPr>
      <w:r w:rsidRPr="00800081">
        <w:rPr>
          <w:rFonts w:ascii="Times New Roman" w:hAnsi="Times New Roman" w:cs="Times New Roman"/>
          <w:sz w:val="24"/>
          <w:szCs w:val="24"/>
        </w:rPr>
        <w:t xml:space="preserve">RIBEIRO, F. J.; POURCHET, H. Coeficientes de orientação externa da indústria brasileira: novas estimativas. </w:t>
      </w:r>
      <w:r w:rsidRPr="00800081">
        <w:rPr>
          <w:rFonts w:ascii="Times New Roman" w:hAnsi="Times New Roman" w:cs="Times New Roman"/>
          <w:b/>
          <w:sz w:val="24"/>
          <w:szCs w:val="24"/>
        </w:rPr>
        <w:t>Revista Brasileira de Comércio Exterior</w:t>
      </w:r>
      <w:r w:rsidRPr="00800081">
        <w:rPr>
          <w:rFonts w:ascii="Times New Roman" w:hAnsi="Times New Roman" w:cs="Times New Roman"/>
          <w:sz w:val="24"/>
          <w:szCs w:val="24"/>
        </w:rPr>
        <w:t>, Rio de Janeiro, FUNCEX, 2002.</w:t>
      </w:r>
    </w:p>
    <w:p w14:paraId="20B70263" w14:textId="77777777" w:rsidR="00CD632B" w:rsidRPr="00B324FF" w:rsidRDefault="00CD632B" w:rsidP="00CD632B">
      <w:pPr>
        <w:spacing w:after="120" w:line="240" w:lineRule="auto"/>
        <w:contextualSpacing/>
        <w:jc w:val="both"/>
        <w:rPr>
          <w:rFonts w:ascii="Times New Roman" w:hAnsi="Times New Roman" w:cs="Times New Roman"/>
          <w:sz w:val="24"/>
          <w:szCs w:val="24"/>
        </w:rPr>
      </w:pPr>
      <w:r w:rsidRPr="00B324FF">
        <w:rPr>
          <w:rFonts w:ascii="Times New Roman" w:hAnsi="Times New Roman" w:cs="Times New Roman"/>
          <w:sz w:val="24"/>
          <w:szCs w:val="24"/>
        </w:rPr>
        <w:lastRenderedPageBreak/>
        <w:t xml:space="preserve">RICUPERO, R. Desindustrialização precoce: futuro ou presente do Brasil? Paper apresentado na </w:t>
      </w:r>
      <w:r w:rsidRPr="001F4DF9">
        <w:rPr>
          <w:rFonts w:ascii="Times New Roman" w:hAnsi="Times New Roman" w:cs="Times New Roman"/>
          <w:b/>
          <w:sz w:val="24"/>
          <w:szCs w:val="24"/>
        </w:rPr>
        <w:t>Conferência Industrialização, Desindustrialização e Desenvolvimento</w:t>
      </w:r>
      <w:r w:rsidRPr="00B324FF">
        <w:rPr>
          <w:rFonts w:ascii="Times New Roman" w:hAnsi="Times New Roman" w:cs="Times New Roman"/>
          <w:sz w:val="24"/>
          <w:szCs w:val="24"/>
        </w:rPr>
        <w:t>, São Paulo: IEDI/FIESP, 2005.</w:t>
      </w:r>
    </w:p>
    <w:p w14:paraId="496DBCC0" w14:textId="77777777" w:rsidR="0015117D" w:rsidRPr="0015117D" w:rsidRDefault="0015117D" w:rsidP="0015117D">
      <w:pPr>
        <w:pStyle w:val="Figura"/>
        <w:spacing w:after="120"/>
        <w:rPr>
          <w:color w:val="000000" w:themeColor="text1"/>
          <w:lang w:val="en-US"/>
        </w:rPr>
      </w:pPr>
      <w:r w:rsidRPr="0015117D">
        <w:rPr>
          <w:color w:val="000000" w:themeColor="text1"/>
          <w:lang w:val="en-US"/>
        </w:rPr>
        <w:t xml:space="preserve">ROWTHORN, R.; RAMASWAMY, R. </w:t>
      </w:r>
      <w:r w:rsidRPr="0015117D">
        <w:rPr>
          <w:b/>
          <w:color w:val="000000" w:themeColor="text1"/>
          <w:lang w:val="en-US"/>
        </w:rPr>
        <w:t>Deindustrialization</w:t>
      </w:r>
      <w:r w:rsidRPr="0015117D">
        <w:rPr>
          <w:color w:val="000000" w:themeColor="text1"/>
          <w:lang w:val="en-US"/>
        </w:rPr>
        <w:t>: causes and implications. International Monetary Fund, Staff Studies for the Economic Outlook, pp.61-77, December, 1997.</w:t>
      </w:r>
    </w:p>
    <w:p w14:paraId="17AB1C31" w14:textId="36B8B979" w:rsidR="0015117D" w:rsidRDefault="0015117D" w:rsidP="0015117D">
      <w:pPr>
        <w:pStyle w:val="Figura"/>
        <w:spacing w:after="120"/>
        <w:rPr>
          <w:color w:val="000000" w:themeColor="text1"/>
          <w:shd w:val="clear" w:color="auto" w:fill="FFFFFF"/>
        </w:rPr>
      </w:pPr>
      <w:r w:rsidRPr="0015117D">
        <w:rPr>
          <w:color w:val="000000" w:themeColor="text1"/>
          <w:shd w:val="clear" w:color="auto" w:fill="FFFFFF"/>
          <w:lang w:val="en-US"/>
        </w:rPr>
        <w:t>ROWTHORN, R.; RAMASWAMY, R. Growth, trade, and deindustrialization.</w:t>
      </w:r>
      <w:r w:rsidR="007D057A">
        <w:rPr>
          <w:rStyle w:val="apple-converted-space"/>
          <w:color w:val="000000" w:themeColor="text1"/>
          <w:shd w:val="clear" w:color="auto" w:fill="FFFFFF"/>
          <w:lang w:val="en-US"/>
        </w:rPr>
        <w:t xml:space="preserve"> </w:t>
      </w:r>
      <w:r w:rsidRPr="0015117D">
        <w:rPr>
          <w:b/>
          <w:bCs/>
          <w:color w:val="000000" w:themeColor="text1"/>
          <w:shd w:val="clear" w:color="auto" w:fill="FFFFFF"/>
        </w:rPr>
        <w:t>IMF Staff papers</w:t>
      </w:r>
      <w:r w:rsidRPr="0015117D">
        <w:rPr>
          <w:color w:val="000000" w:themeColor="text1"/>
          <w:shd w:val="clear" w:color="auto" w:fill="FFFFFF"/>
        </w:rPr>
        <w:t>, p. 18-41, 1999.</w:t>
      </w:r>
    </w:p>
    <w:p w14:paraId="424B0F34" w14:textId="77777777" w:rsidR="00CD632B" w:rsidRPr="0015117D" w:rsidRDefault="00CD632B" w:rsidP="00CD632B">
      <w:pPr>
        <w:pStyle w:val="Figura"/>
        <w:spacing w:after="120"/>
        <w:rPr>
          <w:color w:val="000000" w:themeColor="text1"/>
          <w:lang w:val="en-US"/>
        </w:rPr>
      </w:pPr>
      <w:r w:rsidRPr="0015117D">
        <w:rPr>
          <w:color w:val="000000" w:themeColor="text1"/>
          <w:lang w:val="en-US"/>
        </w:rPr>
        <w:t xml:space="preserve">ROWTHORN, R. e COUTTS, K. Commentary: Deindustrialisation and the balance of payments in advanced economies. </w:t>
      </w:r>
      <w:r w:rsidRPr="0015117D">
        <w:rPr>
          <w:b/>
          <w:color w:val="000000" w:themeColor="text1"/>
          <w:lang w:val="en-US"/>
        </w:rPr>
        <w:t>Cambridge Journal of Economics</w:t>
      </w:r>
      <w:r w:rsidRPr="0015117D">
        <w:rPr>
          <w:color w:val="000000" w:themeColor="text1"/>
          <w:lang w:val="en-US"/>
        </w:rPr>
        <w:t>. vol. 28, no. 5, 767–790. 2004.</w:t>
      </w:r>
    </w:p>
    <w:p w14:paraId="753D4B5F" w14:textId="2472C9E7" w:rsidR="00CD632B" w:rsidRPr="0015117D" w:rsidRDefault="00CD632B" w:rsidP="00CD632B">
      <w:pPr>
        <w:pStyle w:val="Figura"/>
        <w:spacing w:after="120"/>
        <w:rPr>
          <w:color w:val="000000" w:themeColor="text1"/>
          <w:shd w:val="clear" w:color="auto" w:fill="FFFFFF"/>
        </w:rPr>
      </w:pPr>
      <w:r w:rsidRPr="0015117D">
        <w:rPr>
          <w:color w:val="000000" w:themeColor="text1"/>
          <w:shd w:val="clear" w:color="auto" w:fill="FFFFFF"/>
        </w:rPr>
        <w:t>SILVA, H. C.</w:t>
      </w:r>
      <w:r w:rsidR="007D057A">
        <w:rPr>
          <w:rStyle w:val="apple-converted-space"/>
          <w:color w:val="000000" w:themeColor="text1"/>
          <w:shd w:val="clear" w:color="auto" w:fill="FFFFFF"/>
        </w:rPr>
        <w:t xml:space="preserve"> </w:t>
      </w:r>
      <w:r w:rsidRPr="0015117D">
        <w:rPr>
          <w:b/>
          <w:color w:val="000000" w:themeColor="text1"/>
        </w:rPr>
        <w:t xml:space="preserve">O processo de desindustrialização: </w:t>
      </w:r>
      <w:r w:rsidRPr="007D057A">
        <w:rPr>
          <w:color w:val="000000" w:themeColor="text1"/>
        </w:rPr>
        <w:t>uma avaliação sob a perspectiva da economia brasileira (1990-2010)</w:t>
      </w:r>
      <w:r w:rsidRPr="0015117D">
        <w:rPr>
          <w:b/>
          <w:color w:val="000000" w:themeColor="text1"/>
          <w:shd w:val="clear" w:color="auto" w:fill="FFFFFF"/>
        </w:rPr>
        <w:t>.</w:t>
      </w:r>
      <w:r w:rsidRPr="0015117D">
        <w:rPr>
          <w:color w:val="000000" w:themeColor="text1"/>
          <w:shd w:val="clear" w:color="auto" w:fill="FFFFFF"/>
        </w:rPr>
        <w:t xml:space="preserve"> 157 f. Dissertação (Mestrado) - Curso de Economia, Economia, Universidade Federal de Santa Catarina, Florianópolis, 2012.</w:t>
      </w:r>
    </w:p>
    <w:p w14:paraId="6138669A" w14:textId="77777777" w:rsidR="001F4DF9" w:rsidRDefault="001F4DF9" w:rsidP="001F4DF9">
      <w:pPr>
        <w:pStyle w:val="Figura"/>
        <w:spacing w:after="120"/>
        <w:rPr>
          <w:color w:val="000000" w:themeColor="text1"/>
        </w:rPr>
      </w:pPr>
      <w:r w:rsidRPr="0015117D">
        <w:rPr>
          <w:color w:val="000000" w:themeColor="text1"/>
        </w:rPr>
        <w:t xml:space="preserve">THIRWALL, A.P. </w:t>
      </w:r>
      <w:r w:rsidRPr="0015117D">
        <w:rPr>
          <w:b/>
          <w:iCs/>
          <w:color w:val="000000" w:themeColor="text1"/>
        </w:rPr>
        <w:t>The nature of economic growth</w:t>
      </w:r>
      <w:r w:rsidRPr="0015117D">
        <w:rPr>
          <w:color w:val="000000" w:themeColor="text1"/>
        </w:rPr>
        <w:t>. Edward Elgar: Aldershot. 2002.</w:t>
      </w:r>
    </w:p>
    <w:p w14:paraId="4BC4F950" w14:textId="706D8948" w:rsidR="001F4DF9" w:rsidRDefault="001F4DF9" w:rsidP="001F4DF9">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TREGENNA, F</w:t>
      </w:r>
      <w:r w:rsidRPr="0015117D">
        <w:rPr>
          <w:rFonts w:ascii="Times New Roman" w:hAnsi="Times New Roman" w:cs="Times New Roman"/>
          <w:color w:val="000000" w:themeColor="text1"/>
          <w:sz w:val="24"/>
          <w:szCs w:val="24"/>
          <w:shd w:val="clear" w:color="auto" w:fill="FFFFFF"/>
        </w:rPr>
        <w:t>. Characterising deindustrialisation: An analysis of changes in manufacturing employm</w:t>
      </w:r>
      <w:r w:rsidR="007D057A">
        <w:rPr>
          <w:rFonts w:ascii="Times New Roman" w:hAnsi="Times New Roman" w:cs="Times New Roman"/>
          <w:color w:val="000000" w:themeColor="text1"/>
          <w:sz w:val="24"/>
          <w:szCs w:val="24"/>
          <w:shd w:val="clear" w:color="auto" w:fill="FFFFFF"/>
        </w:rPr>
        <w:t xml:space="preserve">ent and output internationally. </w:t>
      </w:r>
      <w:r w:rsidRPr="0015117D">
        <w:rPr>
          <w:rFonts w:ascii="Times New Roman" w:hAnsi="Times New Roman" w:cs="Times New Roman"/>
          <w:b/>
          <w:bCs/>
          <w:color w:val="000000" w:themeColor="text1"/>
          <w:sz w:val="24"/>
          <w:szCs w:val="24"/>
          <w:shd w:val="clear" w:color="auto" w:fill="FFFFFF"/>
        </w:rPr>
        <w:t>Cambridge journal of economics</w:t>
      </w:r>
      <w:r w:rsidRPr="0015117D">
        <w:rPr>
          <w:rFonts w:ascii="Times New Roman" w:hAnsi="Times New Roman" w:cs="Times New Roman"/>
          <w:color w:val="000000" w:themeColor="text1"/>
          <w:sz w:val="24"/>
          <w:szCs w:val="24"/>
          <w:shd w:val="clear" w:color="auto" w:fill="FFFFFF"/>
        </w:rPr>
        <w:t>, v. 33, n. 3, p. 433-466, 2009.</w:t>
      </w:r>
    </w:p>
    <w:p w14:paraId="4346916F" w14:textId="77777777" w:rsidR="001F4DF9" w:rsidRPr="00E1676C" w:rsidRDefault="001F4DF9" w:rsidP="001F4DF9">
      <w:pPr>
        <w:spacing w:after="120" w:line="240" w:lineRule="auto"/>
        <w:jc w:val="both"/>
        <w:rPr>
          <w:rFonts w:ascii="Times New Roman" w:eastAsia="Times New Roman" w:hAnsi="Times New Roman" w:cs="Times New Roman"/>
          <w:color w:val="000000"/>
          <w:sz w:val="24"/>
          <w:szCs w:val="24"/>
          <w:lang w:eastAsia="pt-BR"/>
        </w:rPr>
      </w:pPr>
      <w:r w:rsidRPr="00E1676C">
        <w:rPr>
          <w:rFonts w:ascii="Times New Roman" w:hAnsi="Times New Roman" w:cs="Times New Roman"/>
          <w:sz w:val="24"/>
          <w:szCs w:val="24"/>
        </w:rPr>
        <w:t xml:space="preserve">UNITED NATIONS INDUSTRIAL DEVELOPMENT ORGANIZATION (UNIDO).  </w:t>
      </w:r>
      <w:r w:rsidRPr="001F4DF9">
        <w:rPr>
          <w:rFonts w:ascii="Times New Roman" w:hAnsi="Times New Roman" w:cs="Times New Roman"/>
          <w:b/>
          <w:sz w:val="24"/>
          <w:szCs w:val="24"/>
        </w:rPr>
        <w:t>Industrialization as the driver of sustained prosperity</w:t>
      </w:r>
      <w:r w:rsidRPr="00E1676C">
        <w:rPr>
          <w:rFonts w:ascii="Times New Roman" w:hAnsi="Times New Roman" w:cs="Times New Roman"/>
          <w:sz w:val="24"/>
          <w:szCs w:val="24"/>
        </w:rPr>
        <w:t xml:space="preserve">. UNIDO, 2020, </w:t>
      </w:r>
    </w:p>
    <w:p w14:paraId="116D366E" w14:textId="3AD14B49" w:rsidR="00F67485" w:rsidRPr="00781769" w:rsidRDefault="00780AFD" w:rsidP="00781769">
      <w:pPr>
        <w:jc w:val="both"/>
        <w:rPr>
          <w:rFonts w:ascii="Times New Roman" w:hAnsi="Times New Roman" w:cs="Times New Roman"/>
          <w:sz w:val="24"/>
          <w:szCs w:val="24"/>
          <w:lang w:val="en-US" w:eastAsia="pt-BR"/>
        </w:rPr>
      </w:pPr>
      <w:r>
        <w:rPr>
          <w:rFonts w:ascii="Times New Roman" w:hAnsi="Times New Roman" w:cs="Times New Roman"/>
          <w:sz w:val="24"/>
          <w:szCs w:val="24"/>
        </w:rPr>
        <w:t>ZINI</w:t>
      </w:r>
      <w:r w:rsidRPr="00800081">
        <w:rPr>
          <w:rFonts w:ascii="Times New Roman" w:hAnsi="Times New Roman" w:cs="Times New Roman"/>
          <w:sz w:val="24"/>
          <w:szCs w:val="24"/>
        </w:rPr>
        <w:t xml:space="preserve">, Á. A. </w:t>
      </w:r>
      <w:r w:rsidRPr="001F4DF9">
        <w:rPr>
          <w:rFonts w:ascii="Times New Roman" w:hAnsi="Times New Roman" w:cs="Times New Roman"/>
          <w:b/>
          <w:sz w:val="24"/>
          <w:szCs w:val="24"/>
        </w:rPr>
        <w:t>Taxa de câmbio e política cambial no Brasil</w:t>
      </w:r>
      <w:r w:rsidRPr="00800081">
        <w:rPr>
          <w:rFonts w:ascii="Times New Roman" w:hAnsi="Times New Roman" w:cs="Times New Roman"/>
          <w:sz w:val="24"/>
          <w:szCs w:val="24"/>
        </w:rPr>
        <w:t>. Sã</w:t>
      </w:r>
      <w:r>
        <w:rPr>
          <w:rFonts w:ascii="Times New Roman" w:hAnsi="Times New Roman" w:cs="Times New Roman"/>
          <w:sz w:val="24"/>
          <w:szCs w:val="24"/>
        </w:rPr>
        <w:t>o Paulo: EDUSP/BMF, 1993.</w:t>
      </w:r>
    </w:p>
    <w:sectPr w:rsidR="00F67485" w:rsidRPr="00781769" w:rsidSect="007D057A">
      <w:headerReference w:type="default" r:id="rId2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6E7A0" w14:textId="77777777" w:rsidR="002625BA" w:rsidRDefault="002625BA" w:rsidP="00537AA3">
      <w:pPr>
        <w:spacing w:after="0" w:line="240" w:lineRule="auto"/>
      </w:pPr>
      <w:r>
        <w:separator/>
      </w:r>
    </w:p>
  </w:endnote>
  <w:endnote w:type="continuationSeparator" w:id="0">
    <w:p w14:paraId="4A5EB408" w14:textId="77777777" w:rsidR="002625BA" w:rsidRDefault="002625BA" w:rsidP="0053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9E2CD" w14:textId="77777777" w:rsidR="002625BA" w:rsidRDefault="002625BA" w:rsidP="00537AA3">
      <w:pPr>
        <w:spacing w:after="0" w:line="240" w:lineRule="auto"/>
      </w:pPr>
      <w:r>
        <w:separator/>
      </w:r>
    </w:p>
  </w:footnote>
  <w:footnote w:type="continuationSeparator" w:id="0">
    <w:p w14:paraId="05470AAB" w14:textId="77777777" w:rsidR="002625BA" w:rsidRDefault="002625BA" w:rsidP="0053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844365"/>
      <w:docPartObj>
        <w:docPartGallery w:val="Page Numbers (Top of Page)"/>
        <w:docPartUnique/>
      </w:docPartObj>
    </w:sdtPr>
    <w:sdtEndPr/>
    <w:sdtContent>
      <w:p w14:paraId="406BEA36" w14:textId="2B79F4A4" w:rsidR="00730F4E" w:rsidRDefault="00730F4E">
        <w:pPr>
          <w:pStyle w:val="Cabealho"/>
          <w:jc w:val="right"/>
        </w:pPr>
        <w:r>
          <w:fldChar w:fldCharType="begin"/>
        </w:r>
        <w:r>
          <w:instrText>PAGE   \* MERGEFORMAT</w:instrText>
        </w:r>
        <w:r>
          <w:fldChar w:fldCharType="separate"/>
        </w:r>
        <w:r w:rsidR="0080780C">
          <w:rPr>
            <w:noProof/>
          </w:rPr>
          <w:t>11</w:t>
        </w:r>
        <w:r>
          <w:fldChar w:fldCharType="end"/>
        </w:r>
      </w:p>
    </w:sdtContent>
  </w:sdt>
  <w:p w14:paraId="1CC350EB" w14:textId="77777777" w:rsidR="00730F4E" w:rsidRDefault="00730F4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92119"/>
    <w:multiLevelType w:val="hybridMultilevel"/>
    <w:tmpl w:val="758CE9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D0C281B"/>
    <w:multiLevelType w:val="hybridMultilevel"/>
    <w:tmpl w:val="89D6677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733D4AAC"/>
    <w:multiLevelType w:val="hybridMultilevel"/>
    <w:tmpl w:val="BFC6ACFA"/>
    <w:lvl w:ilvl="0" w:tplc="0ECE5BE4">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3" w15:restartNumberingAfterBreak="0">
    <w:nsid w:val="7B703F5C"/>
    <w:multiLevelType w:val="hybridMultilevel"/>
    <w:tmpl w:val="F23EDFEA"/>
    <w:lvl w:ilvl="0" w:tplc="68FCE4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48"/>
    <w:rsid w:val="00002236"/>
    <w:rsid w:val="0000657B"/>
    <w:rsid w:val="0002357E"/>
    <w:rsid w:val="00041F45"/>
    <w:rsid w:val="00064852"/>
    <w:rsid w:val="00073143"/>
    <w:rsid w:val="000A615D"/>
    <w:rsid w:val="000B53FE"/>
    <w:rsid w:val="000C7818"/>
    <w:rsid w:val="000D1C48"/>
    <w:rsid w:val="000E309E"/>
    <w:rsid w:val="0011281B"/>
    <w:rsid w:val="00116932"/>
    <w:rsid w:val="001368EB"/>
    <w:rsid w:val="00145F77"/>
    <w:rsid w:val="0015117D"/>
    <w:rsid w:val="001B3019"/>
    <w:rsid w:val="001B58C7"/>
    <w:rsid w:val="001B6268"/>
    <w:rsid w:val="001B68C3"/>
    <w:rsid w:val="001C26C0"/>
    <w:rsid w:val="001D48AE"/>
    <w:rsid w:val="001D55D3"/>
    <w:rsid w:val="001E16F8"/>
    <w:rsid w:val="001F3E07"/>
    <w:rsid w:val="001F4852"/>
    <w:rsid w:val="001F4DF9"/>
    <w:rsid w:val="00201074"/>
    <w:rsid w:val="002050E7"/>
    <w:rsid w:val="00224F6C"/>
    <w:rsid w:val="00234B71"/>
    <w:rsid w:val="00234EBC"/>
    <w:rsid w:val="00246090"/>
    <w:rsid w:val="0025141A"/>
    <w:rsid w:val="0026216E"/>
    <w:rsid w:val="002625BA"/>
    <w:rsid w:val="00270AF1"/>
    <w:rsid w:val="00276E2E"/>
    <w:rsid w:val="00277241"/>
    <w:rsid w:val="002778D4"/>
    <w:rsid w:val="0028085C"/>
    <w:rsid w:val="00285EF7"/>
    <w:rsid w:val="0029329D"/>
    <w:rsid w:val="002C1BA6"/>
    <w:rsid w:val="002D1255"/>
    <w:rsid w:val="002E0130"/>
    <w:rsid w:val="002E7A48"/>
    <w:rsid w:val="002E7E11"/>
    <w:rsid w:val="002F2E5F"/>
    <w:rsid w:val="00317D86"/>
    <w:rsid w:val="00334423"/>
    <w:rsid w:val="00342DC4"/>
    <w:rsid w:val="00351C82"/>
    <w:rsid w:val="003562A2"/>
    <w:rsid w:val="0036077A"/>
    <w:rsid w:val="00364AF0"/>
    <w:rsid w:val="00365E85"/>
    <w:rsid w:val="00390855"/>
    <w:rsid w:val="00393ABA"/>
    <w:rsid w:val="0039477A"/>
    <w:rsid w:val="0039508E"/>
    <w:rsid w:val="003B2C16"/>
    <w:rsid w:val="003C3BDB"/>
    <w:rsid w:val="003D6E9A"/>
    <w:rsid w:val="00451E44"/>
    <w:rsid w:val="00452AE0"/>
    <w:rsid w:val="00457C57"/>
    <w:rsid w:val="00477DEC"/>
    <w:rsid w:val="004B4495"/>
    <w:rsid w:val="004E06CE"/>
    <w:rsid w:val="0050311A"/>
    <w:rsid w:val="00537AA3"/>
    <w:rsid w:val="00563B0C"/>
    <w:rsid w:val="00586FC6"/>
    <w:rsid w:val="00593085"/>
    <w:rsid w:val="005A4CAA"/>
    <w:rsid w:val="005A4E32"/>
    <w:rsid w:val="005B4D26"/>
    <w:rsid w:val="005C39F3"/>
    <w:rsid w:val="005C5CD8"/>
    <w:rsid w:val="005C760B"/>
    <w:rsid w:val="005D0AF0"/>
    <w:rsid w:val="005D37AA"/>
    <w:rsid w:val="005E6360"/>
    <w:rsid w:val="00604C05"/>
    <w:rsid w:val="0060712E"/>
    <w:rsid w:val="00622ADF"/>
    <w:rsid w:val="00627A94"/>
    <w:rsid w:val="00633912"/>
    <w:rsid w:val="00663C0E"/>
    <w:rsid w:val="006847FD"/>
    <w:rsid w:val="0068519B"/>
    <w:rsid w:val="00692958"/>
    <w:rsid w:val="006A3DEC"/>
    <w:rsid w:val="006C55EB"/>
    <w:rsid w:val="006E58DD"/>
    <w:rsid w:val="0071102C"/>
    <w:rsid w:val="00726A66"/>
    <w:rsid w:val="00730F4E"/>
    <w:rsid w:val="0073298C"/>
    <w:rsid w:val="00752E2F"/>
    <w:rsid w:val="00757371"/>
    <w:rsid w:val="00762465"/>
    <w:rsid w:val="00765274"/>
    <w:rsid w:val="007667DD"/>
    <w:rsid w:val="0077120F"/>
    <w:rsid w:val="007729ED"/>
    <w:rsid w:val="00780AFD"/>
    <w:rsid w:val="00781769"/>
    <w:rsid w:val="00783F10"/>
    <w:rsid w:val="00785099"/>
    <w:rsid w:val="007C5CF6"/>
    <w:rsid w:val="007D057A"/>
    <w:rsid w:val="007D1BDF"/>
    <w:rsid w:val="007F6E13"/>
    <w:rsid w:val="0080780C"/>
    <w:rsid w:val="00813F64"/>
    <w:rsid w:val="00822917"/>
    <w:rsid w:val="008412DD"/>
    <w:rsid w:val="008637C4"/>
    <w:rsid w:val="00863D2F"/>
    <w:rsid w:val="00864B12"/>
    <w:rsid w:val="00865A9B"/>
    <w:rsid w:val="00894C47"/>
    <w:rsid w:val="008A6B21"/>
    <w:rsid w:val="008B3F40"/>
    <w:rsid w:val="008C05CC"/>
    <w:rsid w:val="008C16D5"/>
    <w:rsid w:val="008C538C"/>
    <w:rsid w:val="008D5406"/>
    <w:rsid w:val="0090236B"/>
    <w:rsid w:val="009172FE"/>
    <w:rsid w:val="00952213"/>
    <w:rsid w:val="00963C81"/>
    <w:rsid w:val="00964F59"/>
    <w:rsid w:val="00980B93"/>
    <w:rsid w:val="0098250D"/>
    <w:rsid w:val="009826B5"/>
    <w:rsid w:val="009905DB"/>
    <w:rsid w:val="009A71E5"/>
    <w:rsid w:val="009B0871"/>
    <w:rsid w:val="009B19C0"/>
    <w:rsid w:val="009C5B8D"/>
    <w:rsid w:val="009E3527"/>
    <w:rsid w:val="009E35EE"/>
    <w:rsid w:val="009E57F5"/>
    <w:rsid w:val="009E5DB2"/>
    <w:rsid w:val="009E7B6D"/>
    <w:rsid w:val="00A14D0B"/>
    <w:rsid w:val="00A33E6B"/>
    <w:rsid w:val="00A379E2"/>
    <w:rsid w:val="00A42662"/>
    <w:rsid w:val="00A530E1"/>
    <w:rsid w:val="00A549F9"/>
    <w:rsid w:val="00A65610"/>
    <w:rsid w:val="00A7240A"/>
    <w:rsid w:val="00A85978"/>
    <w:rsid w:val="00AB222C"/>
    <w:rsid w:val="00AE0C94"/>
    <w:rsid w:val="00AE64B7"/>
    <w:rsid w:val="00AF2901"/>
    <w:rsid w:val="00B05F91"/>
    <w:rsid w:val="00B06CA5"/>
    <w:rsid w:val="00B21A88"/>
    <w:rsid w:val="00B23DDE"/>
    <w:rsid w:val="00B3012C"/>
    <w:rsid w:val="00B52FAF"/>
    <w:rsid w:val="00B5504C"/>
    <w:rsid w:val="00B658CE"/>
    <w:rsid w:val="00B66CC5"/>
    <w:rsid w:val="00B67013"/>
    <w:rsid w:val="00B95905"/>
    <w:rsid w:val="00B95A0A"/>
    <w:rsid w:val="00BA0AB9"/>
    <w:rsid w:val="00BC406A"/>
    <w:rsid w:val="00BC745A"/>
    <w:rsid w:val="00BD1CA6"/>
    <w:rsid w:val="00BE1CEF"/>
    <w:rsid w:val="00BF5611"/>
    <w:rsid w:val="00C0341E"/>
    <w:rsid w:val="00C30E11"/>
    <w:rsid w:val="00C3525A"/>
    <w:rsid w:val="00C46D8A"/>
    <w:rsid w:val="00C50FF4"/>
    <w:rsid w:val="00C53203"/>
    <w:rsid w:val="00C60339"/>
    <w:rsid w:val="00C67BD8"/>
    <w:rsid w:val="00C85B77"/>
    <w:rsid w:val="00CA50ED"/>
    <w:rsid w:val="00CD1365"/>
    <w:rsid w:val="00CD632B"/>
    <w:rsid w:val="00CE1239"/>
    <w:rsid w:val="00CE6A57"/>
    <w:rsid w:val="00CF085E"/>
    <w:rsid w:val="00CF6539"/>
    <w:rsid w:val="00D03B7F"/>
    <w:rsid w:val="00D046D2"/>
    <w:rsid w:val="00D05BB6"/>
    <w:rsid w:val="00D17BB3"/>
    <w:rsid w:val="00D33BEA"/>
    <w:rsid w:val="00D36E85"/>
    <w:rsid w:val="00D370AA"/>
    <w:rsid w:val="00D46842"/>
    <w:rsid w:val="00D51A98"/>
    <w:rsid w:val="00D51F4B"/>
    <w:rsid w:val="00D60430"/>
    <w:rsid w:val="00D72936"/>
    <w:rsid w:val="00D81435"/>
    <w:rsid w:val="00D81BBA"/>
    <w:rsid w:val="00D966EB"/>
    <w:rsid w:val="00DA6461"/>
    <w:rsid w:val="00DA6F89"/>
    <w:rsid w:val="00DB426E"/>
    <w:rsid w:val="00DC3E21"/>
    <w:rsid w:val="00DD64CE"/>
    <w:rsid w:val="00E04B4B"/>
    <w:rsid w:val="00E055E4"/>
    <w:rsid w:val="00E15DA8"/>
    <w:rsid w:val="00E30535"/>
    <w:rsid w:val="00E367F3"/>
    <w:rsid w:val="00E70517"/>
    <w:rsid w:val="00E745BA"/>
    <w:rsid w:val="00E83B9A"/>
    <w:rsid w:val="00EA2340"/>
    <w:rsid w:val="00EB386D"/>
    <w:rsid w:val="00EB506C"/>
    <w:rsid w:val="00EB5790"/>
    <w:rsid w:val="00EB78FE"/>
    <w:rsid w:val="00EB79F1"/>
    <w:rsid w:val="00EC2285"/>
    <w:rsid w:val="00EC284A"/>
    <w:rsid w:val="00ED0414"/>
    <w:rsid w:val="00ED439E"/>
    <w:rsid w:val="00EE72AC"/>
    <w:rsid w:val="00EF24CB"/>
    <w:rsid w:val="00F45301"/>
    <w:rsid w:val="00F54621"/>
    <w:rsid w:val="00F65682"/>
    <w:rsid w:val="00F66DEB"/>
    <w:rsid w:val="00F67485"/>
    <w:rsid w:val="00F70E51"/>
    <w:rsid w:val="00F82CC5"/>
    <w:rsid w:val="00FA071C"/>
    <w:rsid w:val="00FB781A"/>
    <w:rsid w:val="00FC56FF"/>
    <w:rsid w:val="00FD55BE"/>
    <w:rsid w:val="00FE33F3"/>
    <w:rsid w:val="00FF19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BFF5"/>
  <w15:chartTrackingRefBased/>
  <w15:docId w15:val="{08C62AF7-5AB5-4540-9D89-EB150865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674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002236"/>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5274"/>
    <w:pPr>
      <w:ind w:left="720"/>
      <w:contextualSpacing/>
    </w:pPr>
  </w:style>
  <w:style w:type="character" w:styleId="Hyperlink">
    <w:name w:val="Hyperlink"/>
    <w:basedOn w:val="Fontepargpadro"/>
    <w:uiPriority w:val="99"/>
    <w:unhideWhenUsed/>
    <w:rsid w:val="00B95A0A"/>
    <w:rPr>
      <w:color w:val="0563C1" w:themeColor="hyperlink"/>
      <w:u w:val="single"/>
    </w:rPr>
  </w:style>
  <w:style w:type="character" w:customStyle="1" w:styleId="UnresolvedMention">
    <w:name w:val="Unresolved Mention"/>
    <w:basedOn w:val="Fontepargpadro"/>
    <w:uiPriority w:val="99"/>
    <w:semiHidden/>
    <w:unhideWhenUsed/>
    <w:rsid w:val="00B95A0A"/>
    <w:rPr>
      <w:color w:val="605E5C"/>
      <w:shd w:val="clear" w:color="auto" w:fill="E1DFDD"/>
    </w:rPr>
  </w:style>
  <w:style w:type="table" w:styleId="Tabelacomgrade">
    <w:name w:val="Table Grid"/>
    <w:basedOn w:val="Tabelanormal"/>
    <w:uiPriority w:val="39"/>
    <w:rsid w:val="0073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37AA3"/>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537AA3"/>
  </w:style>
  <w:style w:type="paragraph" w:styleId="Rodap">
    <w:name w:val="footer"/>
    <w:basedOn w:val="Normal"/>
    <w:link w:val="RodapChar"/>
    <w:uiPriority w:val="99"/>
    <w:unhideWhenUsed/>
    <w:rsid w:val="00537AA3"/>
    <w:pPr>
      <w:tabs>
        <w:tab w:val="center" w:pos="4513"/>
        <w:tab w:val="right" w:pos="9026"/>
      </w:tabs>
      <w:spacing w:after="0" w:line="240" w:lineRule="auto"/>
    </w:pPr>
  </w:style>
  <w:style w:type="character" w:customStyle="1" w:styleId="RodapChar">
    <w:name w:val="Rodapé Char"/>
    <w:basedOn w:val="Fontepargpadro"/>
    <w:link w:val="Rodap"/>
    <w:uiPriority w:val="99"/>
    <w:rsid w:val="00537AA3"/>
  </w:style>
  <w:style w:type="paragraph" w:styleId="NormalWeb">
    <w:name w:val="Normal (Web)"/>
    <w:basedOn w:val="Normal"/>
    <w:uiPriority w:val="99"/>
    <w:semiHidden/>
    <w:unhideWhenUsed/>
    <w:rsid w:val="003C3B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3C3BDB"/>
    <w:pPr>
      <w:spacing w:after="0" w:line="240" w:lineRule="auto"/>
    </w:pPr>
  </w:style>
  <w:style w:type="paragraph" w:styleId="Legenda">
    <w:name w:val="caption"/>
    <w:basedOn w:val="Normal"/>
    <w:next w:val="Normal"/>
    <w:uiPriority w:val="35"/>
    <w:unhideWhenUsed/>
    <w:qFormat/>
    <w:rsid w:val="00D72936"/>
    <w:pPr>
      <w:spacing w:after="200" w:line="240" w:lineRule="auto"/>
    </w:pPr>
    <w:rPr>
      <w:b/>
      <w:bCs/>
      <w:color w:val="4472C4" w:themeColor="accent1"/>
      <w:sz w:val="18"/>
      <w:szCs w:val="18"/>
    </w:rPr>
  </w:style>
  <w:style w:type="paragraph" w:customStyle="1" w:styleId="Figura">
    <w:name w:val="Figura"/>
    <w:basedOn w:val="Normal"/>
    <w:next w:val="Normal"/>
    <w:qFormat/>
    <w:rsid w:val="00FC56FF"/>
    <w:pPr>
      <w:spacing w:after="0" w:line="240" w:lineRule="auto"/>
      <w:jc w:val="both"/>
    </w:pPr>
    <w:rPr>
      <w:rFonts w:ascii="Times New Roman" w:eastAsiaTheme="minorEastAsia" w:hAnsi="Times New Roman" w:cs="Times New Roman"/>
      <w:sz w:val="24"/>
      <w:szCs w:val="24"/>
      <w:lang w:eastAsia="pt-BR"/>
    </w:rPr>
  </w:style>
  <w:style w:type="character" w:customStyle="1" w:styleId="apple-converted-space">
    <w:name w:val="apple-converted-space"/>
    <w:basedOn w:val="Fontepargpadro"/>
    <w:rsid w:val="00F82CC5"/>
  </w:style>
  <w:style w:type="character" w:styleId="Forte">
    <w:name w:val="Strong"/>
    <w:basedOn w:val="Fontepargpadro"/>
    <w:uiPriority w:val="22"/>
    <w:qFormat/>
    <w:rsid w:val="00F82CC5"/>
    <w:rPr>
      <w:b/>
      <w:bCs/>
    </w:rPr>
  </w:style>
  <w:style w:type="character" w:customStyle="1" w:styleId="Ttulo2Char">
    <w:name w:val="Título 2 Char"/>
    <w:basedOn w:val="Fontepargpadro"/>
    <w:link w:val="Ttulo2"/>
    <w:uiPriority w:val="9"/>
    <w:semiHidden/>
    <w:rsid w:val="00002236"/>
    <w:rPr>
      <w:rFonts w:asciiTheme="majorHAnsi" w:eastAsiaTheme="majorEastAsia" w:hAnsiTheme="majorHAnsi" w:cstheme="majorBidi"/>
      <w:b/>
      <w:bCs/>
      <w:color w:val="4472C4" w:themeColor="accent1"/>
      <w:sz w:val="26"/>
      <w:szCs w:val="26"/>
    </w:rPr>
  </w:style>
  <w:style w:type="character" w:customStyle="1" w:styleId="Ttulo1Char">
    <w:name w:val="Título 1 Char"/>
    <w:basedOn w:val="Fontepargpadro"/>
    <w:link w:val="Ttulo1"/>
    <w:uiPriority w:val="9"/>
    <w:rsid w:val="00F67485"/>
    <w:rPr>
      <w:rFonts w:asciiTheme="majorHAnsi" w:eastAsiaTheme="majorEastAsia" w:hAnsiTheme="majorHAnsi" w:cstheme="majorBidi"/>
      <w:color w:val="2F5496" w:themeColor="accent1" w:themeShade="BF"/>
      <w:sz w:val="32"/>
      <w:szCs w:val="32"/>
    </w:rPr>
  </w:style>
  <w:style w:type="paragraph" w:styleId="Corpodetexto">
    <w:name w:val="Body Text"/>
    <w:basedOn w:val="Normal"/>
    <w:link w:val="CorpodetextoChar"/>
    <w:uiPriority w:val="1"/>
    <w:qFormat/>
    <w:rsid w:val="00F67485"/>
    <w:pPr>
      <w:widowControl w:val="0"/>
      <w:autoSpaceDE w:val="0"/>
      <w:autoSpaceDN w:val="0"/>
      <w:spacing w:after="0" w:line="240" w:lineRule="auto"/>
      <w:ind w:left="402"/>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F67485"/>
    <w:rPr>
      <w:rFonts w:ascii="Times New Roman" w:eastAsia="Times New Roman" w:hAnsi="Times New Roman" w:cs="Times New Roman"/>
      <w:sz w:val="24"/>
      <w:szCs w:val="24"/>
      <w:lang w:val="pt-PT"/>
    </w:rPr>
  </w:style>
  <w:style w:type="paragraph" w:styleId="Textodenotaderodap">
    <w:name w:val="footnote text"/>
    <w:basedOn w:val="Normal"/>
    <w:link w:val="TextodenotaderodapChar"/>
    <w:uiPriority w:val="99"/>
    <w:semiHidden/>
    <w:unhideWhenUsed/>
    <w:rsid w:val="00B23DD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23DDE"/>
    <w:rPr>
      <w:sz w:val="20"/>
      <w:szCs w:val="20"/>
    </w:rPr>
  </w:style>
  <w:style w:type="character" w:styleId="Refdenotaderodap">
    <w:name w:val="footnote reference"/>
    <w:basedOn w:val="Fontepargpadro"/>
    <w:uiPriority w:val="99"/>
    <w:semiHidden/>
    <w:unhideWhenUsed/>
    <w:rsid w:val="00B23D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4205">
      <w:bodyDiv w:val="1"/>
      <w:marLeft w:val="0"/>
      <w:marRight w:val="0"/>
      <w:marTop w:val="0"/>
      <w:marBottom w:val="0"/>
      <w:divBdr>
        <w:top w:val="none" w:sz="0" w:space="0" w:color="auto"/>
        <w:left w:val="none" w:sz="0" w:space="0" w:color="auto"/>
        <w:bottom w:val="none" w:sz="0" w:space="0" w:color="auto"/>
        <w:right w:val="none" w:sz="0" w:space="0" w:color="auto"/>
      </w:divBdr>
    </w:div>
    <w:div w:id="134642737">
      <w:bodyDiv w:val="1"/>
      <w:marLeft w:val="0"/>
      <w:marRight w:val="0"/>
      <w:marTop w:val="0"/>
      <w:marBottom w:val="0"/>
      <w:divBdr>
        <w:top w:val="none" w:sz="0" w:space="0" w:color="auto"/>
        <w:left w:val="none" w:sz="0" w:space="0" w:color="auto"/>
        <w:bottom w:val="none" w:sz="0" w:space="0" w:color="auto"/>
        <w:right w:val="none" w:sz="0" w:space="0" w:color="auto"/>
      </w:divBdr>
    </w:div>
    <w:div w:id="140393717">
      <w:bodyDiv w:val="1"/>
      <w:marLeft w:val="0"/>
      <w:marRight w:val="0"/>
      <w:marTop w:val="0"/>
      <w:marBottom w:val="0"/>
      <w:divBdr>
        <w:top w:val="none" w:sz="0" w:space="0" w:color="auto"/>
        <w:left w:val="none" w:sz="0" w:space="0" w:color="auto"/>
        <w:bottom w:val="none" w:sz="0" w:space="0" w:color="auto"/>
        <w:right w:val="none" w:sz="0" w:space="0" w:color="auto"/>
      </w:divBdr>
    </w:div>
    <w:div w:id="209734502">
      <w:bodyDiv w:val="1"/>
      <w:marLeft w:val="0"/>
      <w:marRight w:val="0"/>
      <w:marTop w:val="0"/>
      <w:marBottom w:val="0"/>
      <w:divBdr>
        <w:top w:val="none" w:sz="0" w:space="0" w:color="auto"/>
        <w:left w:val="none" w:sz="0" w:space="0" w:color="auto"/>
        <w:bottom w:val="none" w:sz="0" w:space="0" w:color="auto"/>
        <w:right w:val="none" w:sz="0" w:space="0" w:color="auto"/>
      </w:divBdr>
    </w:div>
    <w:div w:id="646931916">
      <w:bodyDiv w:val="1"/>
      <w:marLeft w:val="0"/>
      <w:marRight w:val="0"/>
      <w:marTop w:val="0"/>
      <w:marBottom w:val="0"/>
      <w:divBdr>
        <w:top w:val="none" w:sz="0" w:space="0" w:color="auto"/>
        <w:left w:val="none" w:sz="0" w:space="0" w:color="auto"/>
        <w:bottom w:val="none" w:sz="0" w:space="0" w:color="auto"/>
        <w:right w:val="none" w:sz="0" w:space="0" w:color="auto"/>
      </w:divBdr>
    </w:div>
    <w:div w:id="1298342779">
      <w:bodyDiv w:val="1"/>
      <w:marLeft w:val="0"/>
      <w:marRight w:val="0"/>
      <w:marTop w:val="0"/>
      <w:marBottom w:val="0"/>
      <w:divBdr>
        <w:top w:val="none" w:sz="0" w:space="0" w:color="auto"/>
        <w:left w:val="none" w:sz="0" w:space="0" w:color="auto"/>
        <w:bottom w:val="none" w:sz="0" w:space="0" w:color="auto"/>
        <w:right w:val="none" w:sz="0" w:space="0" w:color="auto"/>
      </w:divBdr>
    </w:div>
    <w:div w:id="1333870640">
      <w:bodyDiv w:val="1"/>
      <w:marLeft w:val="0"/>
      <w:marRight w:val="0"/>
      <w:marTop w:val="0"/>
      <w:marBottom w:val="0"/>
      <w:divBdr>
        <w:top w:val="none" w:sz="0" w:space="0" w:color="auto"/>
        <w:left w:val="none" w:sz="0" w:space="0" w:color="auto"/>
        <w:bottom w:val="none" w:sz="0" w:space="0" w:color="auto"/>
        <w:right w:val="none" w:sz="0" w:space="0" w:color="auto"/>
      </w:divBdr>
    </w:div>
    <w:div w:id="1371610294">
      <w:bodyDiv w:val="1"/>
      <w:marLeft w:val="0"/>
      <w:marRight w:val="0"/>
      <w:marTop w:val="0"/>
      <w:marBottom w:val="0"/>
      <w:divBdr>
        <w:top w:val="none" w:sz="0" w:space="0" w:color="auto"/>
        <w:left w:val="none" w:sz="0" w:space="0" w:color="auto"/>
        <w:bottom w:val="none" w:sz="0" w:space="0" w:color="auto"/>
        <w:right w:val="none" w:sz="0" w:space="0" w:color="auto"/>
      </w:divBdr>
    </w:div>
    <w:div w:id="1378972416">
      <w:bodyDiv w:val="1"/>
      <w:marLeft w:val="0"/>
      <w:marRight w:val="0"/>
      <w:marTop w:val="0"/>
      <w:marBottom w:val="0"/>
      <w:divBdr>
        <w:top w:val="none" w:sz="0" w:space="0" w:color="auto"/>
        <w:left w:val="none" w:sz="0" w:space="0" w:color="auto"/>
        <w:bottom w:val="none" w:sz="0" w:space="0" w:color="auto"/>
        <w:right w:val="none" w:sz="0" w:space="0" w:color="auto"/>
      </w:divBdr>
    </w:div>
    <w:div w:id="1564946738">
      <w:bodyDiv w:val="1"/>
      <w:marLeft w:val="0"/>
      <w:marRight w:val="0"/>
      <w:marTop w:val="0"/>
      <w:marBottom w:val="0"/>
      <w:divBdr>
        <w:top w:val="none" w:sz="0" w:space="0" w:color="auto"/>
        <w:left w:val="none" w:sz="0" w:space="0" w:color="auto"/>
        <w:bottom w:val="none" w:sz="0" w:space="0" w:color="auto"/>
        <w:right w:val="none" w:sz="0" w:space="0" w:color="auto"/>
      </w:divBdr>
    </w:div>
    <w:div w:id="1675767119">
      <w:bodyDiv w:val="1"/>
      <w:marLeft w:val="0"/>
      <w:marRight w:val="0"/>
      <w:marTop w:val="0"/>
      <w:marBottom w:val="0"/>
      <w:divBdr>
        <w:top w:val="none" w:sz="0" w:space="0" w:color="auto"/>
        <w:left w:val="none" w:sz="0" w:space="0" w:color="auto"/>
        <w:bottom w:val="none" w:sz="0" w:space="0" w:color="auto"/>
        <w:right w:val="none" w:sz="0" w:space="0" w:color="auto"/>
      </w:divBdr>
    </w:div>
    <w:div w:id="1681201196">
      <w:bodyDiv w:val="1"/>
      <w:marLeft w:val="0"/>
      <w:marRight w:val="0"/>
      <w:marTop w:val="0"/>
      <w:marBottom w:val="0"/>
      <w:divBdr>
        <w:top w:val="none" w:sz="0" w:space="0" w:color="auto"/>
        <w:left w:val="none" w:sz="0" w:space="0" w:color="auto"/>
        <w:bottom w:val="none" w:sz="0" w:space="0" w:color="auto"/>
        <w:right w:val="none" w:sz="0" w:space="0" w:color="auto"/>
      </w:divBdr>
    </w:div>
    <w:div w:id="1687825711">
      <w:bodyDiv w:val="1"/>
      <w:marLeft w:val="0"/>
      <w:marRight w:val="0"/>
      <w:marTop w:val="0"/>
      <w:marBottom w:val="0"/>
      <w:divBdr>
        <w:top w:val="none" w:sz="0" w:space="0" w:color="auto"/>
        <w:left w:val="none" w:sz="0" w:space="0" w:color="auto"/>
        <w:bottom w:val="none" w:sz="0" w:space="0" w:color="auto"/>
        <w:right w:val="none" w:sz="0" w:space="0" w:color="auto"/>
      </w:divBdr>
    </w:div>
    <w:div w:id="1722899530">
      <w:bodyDiv w:val="1"/>
      <w:marLeft w:val="0"/>
      <w:marRight w:val="0"/>
      <w:marTop w:val="0"/>
      <w:marBottom w:val="0"/>
      <w:divBdr>
        <w:top w:val="none" w:sz="0" w:space="0" w:color="auto"/>
        <w:left w:val="none" w:sz="0" w:space="0" w:color="auto"/>
        <w:bottom w:val="none" w:sz="0" w:space="0" w:color="auto"/>
        <w:right w:val="none" w:sz="0" w:space="0" w:color="auto"/>
      </w:divBdr>
    </w:div>
    <w:div w:id="1789620212">
      <w:bodyDiv w:val="1"/>
      <w:marLeft w:val="0"/>
      <w:marRight w:val="0"/>
      <w:marTop w:val="0"/>
      <w:marBottom w:val="0"/>
      <w:divBdr>
        <w:top w:val="none" w:sz="0" w:space="0" w:color="auto"/>
        <w:left w:val="none" w:sz="0" w:space="0" w:color="auto"/>
        <w:bottom w:val="none" w:sz="0" w:space="0" w:color="auto"/>
        <w:right w:val="none" w:sz="0" w:space="0" w:color="auto"/>
      </w:divBdr>
    </w:div>
    <w:div w:id="1813595628">
      <w:bodyDiv w:val="1"/>
      <w:marLeft w:val="0"/>
      <w:marRight w:val="0"/>
      <w:marTop w:val="0"/>
      <w:marBottom w:val="0"/>
      <w:divBdr>
        <w:top w:val="none" w:sz="0" w:space="0" w:color="auto"/>
        <w:left w:val="none" w:sz="0" w:space="0" w:color="auto"/>
        <w:bottom w:val="none" w:sz="0" w:space="0" w:color="auto"/>
        <w:right w:val="none" w:sz="0" w:space="0" w:color="auto"/>
      </w:divBdr>
    </w:div>
    <w:div w:id="1860312650">
      <w:bodyDiv w:val="1"/>
      <w:marLeft w:val="0"/>
      <w:marRight w:val="0"/>
      <w:marTop w:val="0"/>
      <w:marBottom w:val="0"/>
      <w:divBdr>
        <w:top w:val="none" w:sz="0" w:space="0" w:color="auto"/>
        <w:left w:val="none" w:sz="0" w:space="0" w:color="auto"/>
        <w:bottom w:val="none" w:sz="0" w:space="0" w:color="auto"/>
        <w:right w:val="none" w:sz="0" w:space="0" w:color="auto"/>
      </w:divBdr>
    </w:div>
    <w:div w:id="1885171117">
      <w:bodyDiv w:val="1"/>
      <w:marLeft w:val="0"/>
      <w:marRight w:val="0"/>
      <w:marTop w:val="0"/>
      <w:marBottom w:val="0"/>
      <w:divBdr>
        <w:top w:val="none" w:sz="0" w:space="0" w:color="auto"/>
        <w:left w:val="none" w:sz="0" w:space="0" w:color="auto"/>
        <w:bottom w:val="none" w:sz="0" w:space="0" w:color="auto"/>
        <w:right w:val="none" w:sz="0" w:space="0" w:color="auto"/>
      </w:divBdr>
    </w:div>
    <w:div w:id="2048411625">
      <w:bodyDiv w:val="1"/>
      <w:marLeft w:val="0"/>
      <w:marRight w:val="0"/>
      <w:marTop w:val="0"/>
      <w:marBottom w:val="0"/>
      <w:divBdr>
        <w:top w:val="none" w:sz="0" w:space="0" w:color="auto"/>
        <w:left w:val="none" w:sz="0" w:space="0" w:color="auto"/>
        <w:bottom w:val="none" w:sz="0" w:space="0" w:color="auto"/>
        <w:right w:val="none" w:sz="0" w:space="0" w:color="auto"/>
      </w:divBdr>
    </w:div>
    <w:div w:id="2097893972">
      <w:bodyDiv w:val="1"/>
      <w:marLeft w:val="0"/>
      <w:marRight w:val="0"/>
      <w:marTop w:val="0"/>
      <w:marBottom w:val="0"/>
      <w:divBdr>
        <w:top w:val="none" w:sz="0" w:space="0" w:color="auto"/>
        <w:left w:val="none" w:sz="0" w:space="0" w:color="auto"/>
        <w:bottom w:val="none" w:sz="0" w:space="0" w:color="auto"/>
        <w:right w:val="none" w:sz="0" w:space="0" w:color="auto"/>
      </w:divBdr>
    </w:div>
    <w:div w:id="2104064619">
      <w:bodyDiv w:val="1"/>
      <w:marLeft w:val="0"/>
      <w:marRight w:val="0"/>
      <w:marTop w:val="0"/>
      <w:marBottom w:val="0"/>
      <w:divBdr>
        <w:top w:val="none" w:sz="0" w:space="0" w:color="auto"/>
        <w:left w:val="none" w:sz="0" w:space="0" w:color="auto"/>
        <w:bottom w:val="none" w:sz="0" w:space="0" w:color="auto"/>
        <w:right w:val="none" w:sz="0" w:space="0" w:color="auto"/>
      </w:divBdr>
    </w:div>
    <w:div w:id="21271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cario@yahoo.com.br" TargetMode="Externa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yperlink" Target="http://comexstat.mdic.gov.br/pt/geral"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yperlink" Target="mailto:correa.lucas@outlook.com.br"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mailto:wmpereirabr@ufpa.br" TargetMode="External"/><Relationship Id="rId14" Type="http://schemas.openxmlformats.org/officeDocument/2006/relationships/chart" Target="charts/chart3.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edeplar\Dropbox\PRODU&#199;&#195;O_CIENTIFICA\Orienta&#231;&#245;es\Ana_Clara\UFs\SC-VBPI-VT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edeplar\Dropbox\PRODU&#199;&#195;O_CIENTIFICA\Orienta&#231;&#245;es\Ana_Clara\UFs\SC-VBPI-VT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edeplar\Dropbox\PRODU&#199;&#195;O_CIENTIFICA\Capitulo_livro\Livro_comercio_exterior\dados\UF\SC-VBPI-VTI_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edeplar\Dropbox\PRODU&#199;&#195;O_CIENTIFICA\Capitulo_livro\Livro_comercio_exterior\0%20dados-indicadores%20sc%20br%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edeplar\Dropbox\PRODU&#199;&#195;O_CIENTIFICA\Capitulo_livro\Livro_comercio_exterior\0%20dados-indicadores%20sc%20br%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edeplar\Dropbox\PRODU&#199;&#195;O_CIENTIFICA\Capitulo_livro\Livro_comercio_exterior\comercio-exterio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edeplar\Dropbox\PRODU&#199;&#195;O_CIENTIFICA\Capitulo_livro\Livro_comercio_exterior\comercio-exterio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edeplar\Dropbox\PRODU&#199;&#195;O_CIENTIFICA\Capitulo_livro\Livro_comercio_exterior\comercio-exterio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cedeplar\Dropbox\PRODU&#199;&#195;O_CIENTIFICA\Capitulo_livro\Livro_comercio_exterior\dados\UF\SC-VBPI-VTI_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estabelecimentos!$A$44</c:f>
              <c:strCache>
                <c:ptCount val="1"/>
                <c:pt idx="0">
                  <c:v>Baixa</c:v>
                </c:pt>
              </c:strCache>
            </c:strRef>
          </c:tx>
          <c:spPr>
            <a:ln w="28575" cap="rnd">
              <a:solidFill>
                <a:srgbClr val="FF0000"/>
              </a:solidFill>
              <a:round/>
            </a:ln>
            <a:effectLst/>
          </c:spPr>
          <c:marker>
            <c:symbol val="none"/>
          </c:marker>
          <c:cat>
            <c:numRef>
              <c:f>estabelecimentos!$B$42:$V$42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estabelecimentos!$B$44:$V$44</c:f>
              <c:numCache>
                <c:formatCode>#,##0</c:formatCode>
                <c:ptCount val="21"/>
                <c:pt idx="0">
                  <c:v>100</c:v>
                </c:pt>
                <c:pt idx="1">
                  <c:v>114.70894744677685</c:v>
                </c:pt>
                <c:pt idx="2">
                  <c:v>119.5771921988983</c:v>
                </c:pt>
                <c:pt idx="3">
                  <c:v>122.92690189072502</c:v>
                </c:pt>
                <c:pt idx="4">
                  <c:v>125.62155724281673</c:v>
                </c:pt>
                <c:pt idx="5">
                  <c:v>137.45719815393778</c:v>
                </c:pt>
                <c:pt idx="6">
                  <c:v>152.34479678427871</c:v>
                </c:pt>
                <c:pt idx="7">
                  <c:v>144.82655947595651</c:v>
                </c:pt>
                <c:pt idx="8">
                  <c:v>158.83578978710733</c:v>
                </c:pt>
                <c:pt idx="9">
                  <c:v>164.22510049129076</c:v>
                </c:pt>
                <c:pt idx="10">
                  <c:v>163.54027095429507</c:v>
                </c:pt>
                <c:pt idx="11">
                  <c:v>179.90174184903975</c:v>
                </c:pt>
                <c:pt idx="12">
                  <c:v>172.51749292839065</c:v>
                </c:pt>
                <c:pt idx="13">
                  <c:v>176.58180735447374</c:v>
                </c:pt>
                <c:pt idx="14">
                  <c:v>188.22390948340032</c:v>
                </c:pt>
                <c:pt idx="15">
                  <c:v>171.41581062974544</c:v>
                </c:pt>
                <c:pt idx="16">
                  <c:v>174.33377996129224</c:v>
                </c:pt>
                <c:pt idx="17">
                  <c:v>172.33884174482657</c:v>
                </c:pt>
                <c:pt idx="18">
                  <c:v>171.01384546672622</c:v>
                </c:pt>
                <c:pt idx="19">
                  <c:v>170.567217507816</c:v>
                </c:pt>
                <c:pt idx="20">
                  <c:v>171.92198898317702</c:v>
                </c:pt>
              </c:numCache>
            </c:numRef>
          </c:val>
          <c:smooth val="0"/>
          <c:extLst>
            <c:ext xmlns:c16="http://schemas.microsoft.com/office/drawing/2014/chart" uri="{C3380CC4-5D6E-409C-BE32-E72D297353CC}">
              <c16:uniqueId val="{00000001-2BA0-44CF-9A50-87D5FEE146DD}"/>
            </c:ext>
          </c:extLst>
        </c:ser>
        <c:ser>
          <c:idx val="2"/>
          <c:order val="1"/>
          <c:tx>
            <c:strRef>
              <c:f>estabelecimentos!$A$45</c:f>
              <c:strCache>
                <c:ptCount val="1"/>
                <c:pt idx="0">
                  <c:v>Media Baixa</c:v>
                </c:pt>
              </c:strCache>
            </c:strRef>
          </c:tx>
          <c:spPr>
            <a:ln w="28575" cap="rnd">
              <a:solidFill>
                <a:srgbClr val="FFFF00"/>
              </a:solidFill>
              <a:round/>
            </a:ln>
            <a:effectLst/>
          </c:spPr>
          <c:marker>
            <c:symbol val="none"/>
          </c:marker>
          <c:cat>
            <c:numRef>
              <c:f>estabelecimentos!$B$42:$V$42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estabelecimentos!$B$45:$V$45</c:f>
              <c:numCache>
                <c:formatCode>#,##0</c:formatCode>
                <c:ptCount val="21"/>
                <c:pt idx="0">
                  <c:v>100</c:v>
                </c:pt>
                <c:pt idx="1">
                  <c:v>114.30642822619623</c:v>
                </c:pt>
                <c:pt idx="2">
                  <c:v>121.74963750604158</c:v>
                </c:pt>
                <c:pt idx="3">
                  <c:v>129.86950217496377</c:v>
                </c:pt>
                <c:pt idx="4">
                  <c:v>134.79942000966651</c:v>
                </c:pt>
                <c:pt idx="5">
                  <c:v>142.19429676172064</c:v>
                </c:pt>
                <c:pt idx="6">
                  <c:v>154.1807636539391</c:v>
                </c:pt>
                <c:pt idx="7">
                  <c:v>166.98888351860802</c:v>
                </c:pt>
                <c:pt idx="8">
                  <c:v>170.8071532141131</c:v>
                </c:pt>
                <c:pt idx="9">
                  <c:v>170.08216529724504</c:v>
                </c:pt>
                <c:pt idx="10">
                  <c:v>182.31029482841953</c:v>
                </c:pt>
                <c:pt idx="11">
                  <c:v>191.39681005316578</c:v>
                </c:pt>
                <c:pt idx="12">
                  <c:v>202.65828902851618</c:v>
                </c:pt>
                <c:pt idx="13">
                  <c:v>216.86805219913001</c:v>
                </c:pt>
                <c:pt idx="14">
                  <c:v>217.93136781053647</c:v>
                </c:pt>
                <c:pt idx="15">
                  <c:v>199.22667955534075</c:v>
                </c:pt>
                <c:pt idx="16">
                  <c:v>195.16674722087964</c:v>
                </c:pt>
                <c:pt idx="17">
                  <c:v>207.63653939101013</c:v>
                </c:pt>
                <c:pt idx="18">
                  <c:v>201.4016433059449</c:v>
                </c:pt>
                <c:pt idx="19">
                  <c:v>205.12324794586755</c:v>
                </c:pt>
                <c:pt idx="20">
                  <c:v>211.93813436442727</c:v>
                </c:pt>
              </c:numCache>
            </c:numRef>
          </c:val>
          <c:smooth val="0"/>
          <c:extLst>
            <c:ext xmlns:c16="http://schemas.microsoft.com/office/drawing/2014/chart" uri="{C3380CC4-5D6E-409C-BE32-E72D297353CC}">
              <c16:uniqueId val="{00000002-2BA0-44CF-9A50-87D5FEE146DD}"/>
            </c:ext>
          </c:extLst>
        </c:ser>
        <c:ser>
          <c:idx val="3"/>
          <c:order val="2"/>
          <c:tx>
            <c:strRef>
              <c:f>estabelecimentos!$A$46</c:f>
              <c:strCache>
                <c:ptCount val="1"/>
                <c:pt idx="0">
                  <c:v>Media Alta</c:v>
                </c:pt>
              </c:strCache>
            </c:strRef>
          </c:tx>
          <c:spPr>
            <a:ln w="28575" cap="rnd">
              <a:solidFill>
                <a:schemeClr val="accent1">
                  <a:lumMod val="60000"/>
                  <a:lumOff val="40000"/>
                </a:schemeClr>
              </a:solidFill>
              <a:round/>
            </a:ln>
            <a:effectLst/>
          </c:spPr>
          <c:marker>
            <c:symbol val="none"/>
          </c:marker>
          <c:cat>
            <c:numRef>
              <c:f>estabelecimentos!$B$42:$V$42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estabelecimentos!$B$46:$V$46</c:f>
              <c:numCache>
                <c:formatCode>#,##0</c:formatCode>
                <c:ptCount val="21"/>
                <c:pt idx="0">
                  <c:v>100</c:v>
                </c:pt>
                <c:pt idx="1">
                  <c:v>115.06550218340612</c:v>
                </c:pt>
                <c:pt idx="2">
                  <c:v>131.00436681222706</c:v>
                </c:pt>
                <c:pt idx="3">
                  <c:v>142.03056768558952</c:v>
                </c:pt>
                <c:pt idx="4">
                  <c:v>143.34061135371178</c:v>
                </c:pt>
                <c:pt idx="5">
                  <c:v>151.31004366812226</c:v>
                </c:pt>
                <c:pt idx="6">
                  <c:v>171.17903930131004</c:v>
                </c:pt>
                <c:pt idx="7">
                  <c:v>163.1004366812227</c:v>
                </c:pt>
                <c:pt idx="8">
                  <c:v>180.78602620087335</c:v>
                </c:pt>
                <c:pt idx="9">
                  <c:v>190.39301310043669</c:v>
                </c:pt>
                <c:pt idx="10">
                  <c:v>218.88646288209608</c:v>
                </c:pt>
                <c:pt idx="11">
                  <c:v>202.83842794759823</c:v>
                </c:pt>
                <c:pt idx="12">
                  <c:v>215.28384279475983</c:v>
                </c:pt>
                <c:pt idx="13">
                  <c:v>232.42358078602621</c:v>
                </c:pt>
                <c:pt idx="14">
                  <c:v>243.12227074235807</c:v>
                </c:pt>
                <c:pt idx="15">
                  <c:v>247.05240174672488</c:v>
                </c:pt>
                <c:pt idx="16">
                  <c:v>237.44541484716154</c:v>
                </c:pt>
                <c:pt idx="17">
                  <c:v>235.26200873362444</c:v>
                </c:pt>
                <c:pt idx="18">
                  <c:v>246.83406113537117</c:v>
                </c:pt>
                <c:pt idx="19">
                  <c:v>254.14847161572052</c:v>
                </c:pt>
                <c:pt idx="20">
                  <c:v>272.37991266375548</c:v>
                </c:pt>
              </c:numCache>
            </c:numRef>
          </c:val>
          <c:smooth val="0"/>
          <c:extLst>
            <c:ext xmlns:c16="http://schemas.microsoft.com/office/drawing/2014/chart" uri="{C3380CC4-5D6E-409C-BE32-E72D297353CC}">
              <c16:uniqueId val="{00000003-2BA0-44CF-9A50-87D5FEE146DD}"/>
            </c:ext>
          </c:extLst>
        </c:ser>
        <c:ser>
          <c:idx val="4"/>
          <c:order val="3"/>
          <c:tx>
            <c:strRef>
              <c:f>estabelecimentos!$A$47</c:f>
              <c:strCache>
                <c:ptCount val="1"/>
                <c:pt idx="0">
                  <c:v>Alta</c:v>
                </c:pt>
              </c:strCache>
            </c:strRef>
          </c:tx>
          <c:spPr>
            <a:ln w="28575" cap="rnd">
              <a:solidFill>
                <a:schemeClr val="accent1"/>
              </a:solidFill>
              <a:round/>
            </a:ln>
            <a:effectLst/>
          </c:spPr>
          <c:marker>
            <c:symbol val="none"/>
          </c:marker>
          <c:cat>
            <c:numRef>
              <c:f>estabelecimentos!$B$42:$V$42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estabelecimentos!$B$47:$V$47</c:f>
              <c:numCache>
                <c:formatCode>#,##0</c:formatCode>
                <c:ptCount val="21"/>
                <c:pt idx="0">
                  <c:v>100</c:v>
                </c:pt>
                <c:pt idx="1">
                  <c:v>119.78021978021978</c:v>
                </c:pt>
                <c:pt idx="2">
                  <c:v>134.06593406593404</c:v>
                </c:pt>
                <c:pt idx="3">
                  <c:v>150.54945054945054</c:v>
                </c:pt>
                <c:pt idx="4">
                  <c:v>157.14285714285714</c:v>
                </c:pt>
                <c:pt idx="5">
                  <c:v>164.83516483516482</c:v>
                </c:pt>
                <c:pt idx="6">
                  <c:v>179.12087912087912</c:v>
                </c:pt>
                <c:pt idx="7">
                  <c:v>135.16483516483518</c:v>
                </c:pt>
                <c:pt idx="8">
                  <c:v>142.85714285714286</c:v>
                </c:pt>
                <c:pt idx="9">
                  <c:v>135.16483516483518</c:v>
                </c:pt>
                <c:pt idx="10">
                  <c:v>126.37362637362637</c:v>
                </c:pt>
                <c:pt idx="11">
                  <c:v>152.74725274725273</c:v>
                </c:pt>
                <c:pt idx="12">
                  <c:v>153.84615384615387</c:v>
                </c:pt>
                <c:pt idx="13">
                  <c:v>170.32967032967034</c:v>
                </c:pt>
                <c:pt idx="14">
                  <c:v>160.43956043956044</c:v>
                </c:pt>
                <c:pt idx="15">
                  <c:v>156.04395604395606</c:v>
                </c:pt>
                <c:pt idx="16">
                  <c:v>159.34065934065933</c:v>
                </c:pt>
                <c:pt idx="17">
                  <c:v>162.63736263736263</c:v>
                </c:pt>
                <c:pt idx="18">
                  <c:v>175.82417582417582</c:v>
                </c:pt>
                <c:pt idx="19">
                  <c:v>179.12087912087912</c:v>
                </c:pt>
                <c:pt idx="20">
                  <c:v>186.8131868131868</c:v>
                </c:pt>
              </c:numCache>
            </c:numRef>
          </c:val>
          <c:smooth val="0"/>
          <c:extLst>
            <c:ext xmlns:c16="http://schemas.microsoft.com/office/drawing/2014/chart" uri="{C3380CC4-5D6E-409C-BE32-E72D297353CC}">
              <c16:uniqueId val="{00000004-2BA0-44CF-9A50-87D5FEE146DD}"/>
            </c:ext>
          </c:extLst>
        </c:ser>
        <c:dLbls>
          <c:showLegendKey val="0"/>
          <c:showVal val="0"/>
          <c:showCatName val="0"/>
          <c:showSerName val="0"/>
          <c:showPercent val="0"/>
          <c:showBubbleSize val="0"/>
        </c:dLbls>
        <c:smooth val="0"/>
        <c:axId val="465005088"/>
        <c:axId val="465002176"/>
      </c:lineChart>
      <c:catAx>
        <c:axId val="46500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65002176"/>
        <c:crosses val="autoZero"/>
        <c:auto val="1"/>
        <c:lblAlgn val="ctr"/>
        <c:lblOffset val="100"/>
        <c:noMultiLvlLbl val="0"/>
      </c:catAx>
      <c:valAx>
        <c:axId val="465002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pt-BR"/>
          </a:p>
        </c:txPr>
        <c:crossAx val="465005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solidFill>
                <a:latin typeface="+mn-lt"/>
                <a:ea typeface="+mn-ea"/>
                <a:cs typeface="+mn-cs"/>
              </a:defRPr>
            </a:pPr>
            <a:endParaRPr lang="pt-B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emprego!$A$44</c:f>
              <c:strCache>
                <c:ptCount val="1"/>
                <c:pt idx="0">
                  <c:v>Baixa</c:v>
                </c:pt>
              </c:strCache>
            </c:strRef>
          </c:tx>
          <c:spPr>
            <a:ln w="28575" cap="rnd">
              <a:solidFill>
                <a:srgbClr val="FF0000"/>
              </a:solidFill>
              <a:round/>
            </a:ln>
            <a:effectLst/>
          </c:spPr>
          <c:marker>
            <c:symbol val="none"/>
          </c:marker>
          <c:cat>
            <c:numRef>
              <c:f>emprego!$B$42:$V$42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emprego!$B$44:$V$44</c:f>
              <c:numCache>
                <c:formatCode>#,##0</c:formatCode>
                <c:ptCount val="21"/>
                <c:pt idx="0">
                  <c:v>100</c:v>
                </c:pt>
                <c:pt idx="1">
                  <c:v>108.9068710959682</c:v>
                </c:pt>
                <c:pt idx="2">
                  <c:v>113.99529488115519</c:v>
                </c:pt>
                <c:pt idx="3">
                  <c:v>118.52437738298045</c:v>
                </c:pt>
                <c:pt idx="4">
                  <c:v>134.59641437494929</c:v>
                </c:pt>
                <c:pt idx="5">
                  <c:v>135.1533219761499</c:v>
                </c:pt>
                <c:pt idx="6">
                  <c:v>140.55041778210432</c:v>
                </c:pt>
                <c:pt idx="7">
                  <c:v>144.48284254076418</c:v>
                </c:pt>
                <c:pt idx="8">
                  <c:v>150.90167924069115</c:v>
                </c:pt>
                <c:pt idx="9">
                  <c:v>152.08809929423217</c:v>
                </c:pt>
                <c:pt idx="10">
                  <c:v>158.33252210594631</c:v>
                </c:pt>
                <c:pt idx="11">
                  <c:v>156.16816743733267</c:v>
                </c:pt>
                <c:pt idx="12">
                  <c:v>155.23850085178876</c:v>
                </c:pt>
                <c:pt idx="13">
                  <c:v>167.07309158757201</c:v>
                </c:pt>
                <c:pt idx="14">
                  <c:v>171.29877504664557</c:v>
                </c:pt>
                <c:pt idx="15">
                  <c:v>159.63048592520482</c:v>
                </c:pt>
                <c:pt idx="16">
                  <c:v>160.3528839133609</c:v>
                </c:pt>
                <c:pt idx="17">
                  <c:v>161.08136610691977</c:v>
                </c:pt>
                <c:pt idx="18">
                  <c:v>164.42808469213921</c:v>
                </c:pt>
                <c:pt idx="19">
                  <c:v>165.01014034233796</c:v>
                </c:pt>
                <c:pt idx="20">
                  <c:v>168.21651658960008</c:v>
                </c:pt>
              </c:numCache>
            </c:numRef>
          </c:val>
          <c:smooth val="0"/>
          <c:extLst>
            <c:ext xmlns:c16="http://schemas.microsoft.com/office/drawing/2014/chart" uri="{C3380CC4-5D6E-409C-BE32-E72D297353CC}">
              <c16:uniqueId val="{00000001-928F-4ADF-8873-500FB9EE000C}"/>
            </c:ext>
          </c:extLst>
        </c:ser>
        <c:ser>
          <c:idx val="2"/>
          <c:order val="1"/>
          <c:tx>
            <c:strRef>
              <c:f>emprego!$A$45</c:f>
              <c:strCache>
                <c:ptCount val="1"/>
                <c:pt idx="0">
                  <c:v>Media Baixa</c:v>
                </c:pt>
              </c:strCache>
            </c:strRef>
          </c:tx>
          <c:spPr>
            <a:ln w="28575" cap="rnd">
              <a:solidFill>
                <a:srgbClr val="FFFF00"/>
              </a:solidFill>
              <a:round/>
            </a:ln>
            <a:effectLst/>
          </c:spPr>
          <c:marker>
            <c:symbol val="none"/>
          </c:marker>
          <c:cat>
            <c:numRef>
              <c:f>emprego!$B$42:$V$42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emprego!$B$45:$V$45</c:f>
              <c:numCache>
                <c:formatCode>#,##0</c:formatCode>
                <c:ptCount val="21"/>
                <c:pt idx="0">
                  <c:v>100</c:v>
                </c:pt>
                <c:pt idx="1">
                  <c:v>108.05405564033337</c:v>
                </c:pt>
                <c:pt idx="2">
                  <c:v>105.89564502875923</c:v>
                </c:pt>
                <c:pt idx="3">
                  <c:v>119.10728958797981</c:v>
                </c:pt>
                <c:pt idx="4">
                  <c:v>134.52870055170794</c:v>
                </c:pt>
                <c:pt idx="5">
                  <c:v>126.02711585866886</c:v>
                </c:pt>
                <c:pt idx="6">
                  <c:v>137.25055757718042</c:v>
                </c:pt>
                <c:pt idx="7">
                  <c:v>152.41225495950229</c:v>
                </c:pt>
                <c:pt idx="8">
                  <c:v>163.15441953280902</c:v>
                </c:pt>
                <c:pt idx="9">
                  <c:v>155.75918535039324</c:v>
                </c:pt>
                <c:pt idx="10">
                  <c:v>174.98385960793522</c:v>
                </c:pt>
                <c:pt idx="11">
                  <c:v>183.42821927456274</c:v>
                </c:pt>
                <c:pt idx="12">
                  <c:v>196.50633877215634</c:v>
                </c:pt>
                <c:pt idx="13">
                  <c:v>204.43273858434088</c:v>
                </c:pt>
                <c:pt idx="14">
                  <c:v>200.815823453457</c:v>
                </c:pt>
                <c:pt idx="15">
                  <c:v>186.69738232186876</c:v>
                </c:pt>
                <c:pt idx="16">
                  <c:v>177.3476933912431</c:v>
                </c:pt>
                <c:pt idx="17">
                  <c:v>168.35015846930389</c:v>
                </c:pt>
                <c:pt idx="18">
                  <c:v>173.08809719450639</c:v>
                </c:pt>
                <c:pt idx="19">
                  <c:v>176.30150252377038</c:v>
                </c:pt>
                <c:pt idx="20">
                  <c:v>189.19620847517314</c:v>
                </c:pt>
              </c:numCache>
            </c:numRef>
          </c:val>
          <c:smooth val="0"/>
          <c:extLst>
            <c:ext xmlns:c16="http://schemas.microsoft.com/office/drawing/2014/chart" uri="{C3380CC4-5D6E-409C-BE32-E72D297353CC}">
              <c16:uniqueId val="{00000002-928F-4ADF-8873-500FB9EE000C}"/>
            </c:ext>
          </c:extLst>
        </c:ser>
        <c:ser>
          <c:idx val="3"/>
          <c:order val="2"/>
          <c:tx>
            <c:strRef>
              <c:f>emprego!$A$46</c:f>
              <c:strCache>
                <c:ptCount val="1"/>
                <c:pt idx="0">
                  <c:v>Media Alta</c:v>
                </c:pt>
              </c:strCache>
            </c:strRef>
          </c:tx>
          <c:spPr>
            <a:ln w="28575" cap="rnd">
              <a:solidFill>
                <a:schemeClr val="accent1">
                  <a:lumMod val="60000"/>
                  <a:lumOff val="40000"/>
                </a:schemeClr>
              </a:solidFill>
              <a:round/>
            </a:ln>
            <a:effectLst/>
          </c:spPr>
          <c:marker>
            <c:symbol val="none"/>
          </c:marker>
          <c:cat>
            <c:numRef>
              <c:f>emprego!$B$42:$V$42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emprego!$B$46:$V$46</c:f>
              <c:numCache>
                <c:formatCode>#,##0</c:formatCode>
                <c:ptCount val="21"/>
                <c:pt idx="0">
                  <c:v>100</c:v>
                </c:pt>
                <c:pt idx="1">
                  <c:v>111.09199531137747</c:v>
                </c:pt>
                <c:pt idx="2">
                  <c:v>121.37671569554203</c:v>
                </c:pt>
                <c:pt idx="3">
                  <c:v>128.50039702045601</c:v>
                </c:pt>
                <c:pt idx="4">
                  <c:v>145.55904261352893</c:v>
                </c:pt>
                <c:pt idx="5">
                  <c:v>140.20871932544335</c:v>
                </c:pt>
                <c:pt idx="6">
                  <c:v>154.44284796007108</c:v>
                </c:pt>
                <c:pt idx="7">
                  <c:v>135.72427874617159</c:v>
                </c:pt>
                <c:pt idx="8">
                  <c:v>138.09694861420957</c:v>
                </c:pt>
                <c:pt idx="9">
                  <c:v>157.77214806972435</c:v>
                </c:pt>
                <c:pt idx="10">
                  <c:v>165.40628426664651</c:v>
                </c:pt>
                <c:pt idx="11">
                  <c:v>164.78995727303663</c:v>
                </c:pt>
                <c:pt idx="12">
                  <c:v>178.85771543086173</c:v>
                </c:pt>
                <c:pt idx="13">
                  <c:v>191.34684463266154</c:v>
                </c:pt>
                <c:pt idx="14">
                  <c:v>197.55548833516087</c:v>
                </c:pt>
                <c:pt idx="15">
                  <c:v>175.59269482360949</c:v>
                </c:pt>
                <c:pt idx="16">
                  <c:v>165.16240027224259</c:v>
                </c:pt>
                <c:pt idx="17">
                  <c:v>171.44477634514311</c:v>
                </c:pt>
                <c:pt idx="18">
                  <c:v>184.03410594774454</c:v>
                </c:pt>
                <c:pt idx="19">
                  <c:v>191.16345899345862</c:v>
                </c:pt>
                <c:pt idx="20">
                  <c:v>199.51601315839224</c:v>
                </c:pt>
              </c:numCache>
            </c:numRef>
          </c:val>
          <c:smooth val="0"/>
          <c:extLst>
            <c:ext xmlns:c16="http://schemas.microsoft.com/office/drawing/2014/chart" uri="{C3380CC4-5D6E-409C-BE32-E72D297353CC}">
              <c16:uniqueId val="{00000003-928F-4ADF-8873-500FB9EE000C}"/>
            </c:ext>
          </c:extLst>
        </c:ser>
        <c:ser>
          <c:idx val="4"/>
          <c:order val="3"/>
          <c:tx>
            <c:strRef>
              <c:f>emprego!$A$47</c:f>
              <c:strCache>
                <c:ptCount val="1"/>
                <c:pt idx="0">
                  <c:v>Alta</c:v>
                </c:pt>
              </c:strCache>
            </c:strRef>
          </c:tx>
          <c:spPr>
            <a:ln w="28575" cap="rnd">
              <a:solidFill>
                <a:schemeClr val="accent1">
                  <a:lumMod val="75000"/>
                </a:schemeClr>
              </a:solidFill>
              <a:round/>
            </a:ln>
            <a:effectLst/>
          </c:spPr>
          <c:marker>
            <c:symbol val="none"/>
          </c:marker>
          <c:cat>
            <c:numRef>
              <c:f>emprego!$B$42:$V$42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emprego!$B$47:$V$47</c:f>
              <c:numCache>
                <c:formatCode>#,##0</c:formatCode>
                <c:ptCount val="21"/>
                <c:pt idx="0">
                  <c:v>100</c:v>
                </c:pt>
                <c:pt idx="1">
                  <c:v>108.77754086709311</c:v>
                </c:pt>
                <c:pt idx="2">
                  <c:v>115.35181236673775</c:v>
                </c:pt>
                <c:pt idx="3">
                  <c:v>125.3553660270078</c:v>
                </c:pt>
                <c:pt idx="4">
                  <c:v>114.26794598436389</c:v>
                </c:pt>
                <c:pt idx="5">
                  <c:v>130.01066098081026</c:v>
                </c:pt>
                <c:pt idx="6">
                  <c:v>130.98791755508174</c:v>
                </c:pt>
                <c:pt idx="7">
                  <c:v>100.30206112295666</c:v>
                </c:pt>
                <c:pt idx="8">
                  <c:v>183.95522388059703</c:v>
                </c:pt>
                <c:pt idx="9">
                  <c:v>116.15138592750533</c:v>
                </c:pt>
                <c:pt idx="10">
                  <c:v>132.64036958066811</c:v>
                </c:pt>
                <c:pt idx="11">
                  <c:v>194.7228144989339</c:v>
                </c:pt>
                <c:pt idx="12">
                  <c:v>156.27221037668798</c:v>
                </c:pt>
                <c:pt idx="13">
                  <c:v>106.27221037668799</c:v>
                </c:pt>
                <c:pt idx="14">
                  <c:v>91.57782515991471</c:v>
                </c:pt>
                <c:pt idx="15">
                  <c:v>85.660980810234548</c:v>
                </c:pt>
                <c:pt idx="16">
                  <c:v>81.46766169154229</c:v>
                </c:pt>
                <c:pt idx="17">
                  <c:v>92.146410803127225</c:v>
                </c:pt>
                <c:pt idx="18">
                  <c:v>106.50319829424306</c:v>
                </c:pt>
                <c:pt idx="19">
                  <c:v>102.57640369580668</c:v>
                </c:pt>
                <c:pt idx="20">
                  <c:v>126.03056147832268</c:v>
                </c:pt>
              </c:numCache>
            </c:numRef>
          </c:val>
          <c:smooth val="0"/>
          <c:extLst>
            <c:ext xmlns:c16="http://schemas.microsoft.com/office/drawing/2014/chart" uri="{C3380CC4-5D6E-409C-BE32-E72D297353CC}">
              <c16:uniqueId val="{00000004-928F-4ADF-8873-500FB9EE000C}"/>
            </c:ext>
          </c:extLst>
        </c:ser>
        <c:dLbls>
          <c:showLegendKey val="0"/>
          <c:showVal val="0"/>
          <c:showCatName val="0"/>
          <c:showSerName val="0"/>
          <c:showPercent val="0"/>
          <c:showBubbleSize val="0"/>
        </c:dLbls>
        <c:smooth val="0"/>
        <c:axId val="464996768"/>
        <c:axId val="464999264"/>
      </c:lineChart>
      <c:catAx>
        <c:axId val="46499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64999264"/>
        <c:crosses val="autoZero"/>
        <c:auto val="1"/>
        <c:lblAlgn val="ctr"/>
        <c:lblOffset val="100"/>
        <c:noMultiLvlLbl val="0"/>
      </c:catAx>
      <c:valAx>
        <c:axId val="464999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pt-BR"/>
          </a:p>
        </c:txPr>
        <c:crossAx val="4649967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solidFill>
                <a:latin typeface="+mn-lt"/>
                <a:ea typeface="+mn-ea"/>
                <a:cs typeface="+mn-cs"/>
              </a:defRPr>
            </a:pPr>
            <a:endParaRPr lang="pt-B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'VTI-VBPI'!$A$2</c:f>
              <c:strCache>
                <c:ptCount val="1"/>
                <c:pt idx="0">
                  <c:v>A</c:v>
                </c:pt>
              </c:strCache>
            </c:strRef>
          </c:tx>
          <c:spPr>
            <a:ln w="22225" cap="rnd">
              <a:solidFill>
                <a:srgbClr val="0070C0"/>
              </a:solidFill>
              <a:round/>
            </a:ln>
            <a:effectLst/>
          </c:spPr>
          <c:marker>
            <c:symbol val="none"/>
          </c:marker>
          <c:cat>
            <c:numRef>
              <c:f>'VTI-VBPI'!$B$1:$V$1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'VTI-VBPI'!$B$2:$V$2</c:f>
              <c:numCache>
                <c:formatCode>#,##0.00</c:formatCode>
                <c:ptCount val="21"/>
                <c:pt idx="0">
                  <c:v>0.5770087231961758</c:v>
                </c:pt>
                <c:pt idx="1">
                  <c:v>0.53881831479101105</c:v>
                </c:pt>
                <c:pt idx="2">
                  <c:v>0.53233582785940392</c:v>
                </c:pt>
                <c:pt idx="3">
                  <c:v>0.50986141287151687</c:v>
                </c:pt>
                <c:pt idx="4">
                  <c:v>0.51373337242786987</c:v>
                </c:pt>
                <c:pt idx="5">
                  <c:v>0.56360066430280542</c:v>
                </c:pt>
                <c:pt idx="6">
                  <c:v>0.57510964774483808</c:v>
                </c:pt>
                <c:pt idx="7">
                  <c:v>0.49806284085848274</c:v>
                </c:pt>
                <c:pt idx="8">
                  <c:v>0.51219746925681697</c:v>
                </c:pt>
                <c:pt idx="9">
                  <c:v>0.5738764288536089</c:v>
                </c:pt>
                <c:pt idx="10">
                  <c:v>0.49764269723829346</c:v>
                </c:pt>
                <c:pt idx="11">
                  <c:v>0.52269432475657085</c:v>
                </c:pt>
                <c:pt idx="12">
                  <c:v>0.55878100802088959</c:v>
                </c:pt>
                <c:pt idx="13">
                  <c:v>0.58928169448026246</c:v>
                </c:pt>
                <c:pt idx="14">
                  <c:v>0.54610002938321289</c:v>
                </c:pt>
                <c:pt idx="15">
                  <c:v>0.54965779934363301</c:v>
                </c:pt>
                <c:pt idx="16">
                  <c:v>0.4802648602994587</c:v>
                </c:pt>
                <c:pt idx="17">
                  <c:v>0.49498760247238732</c:v>
                </c:pt>
                <c:pt idx="18">
                  <c:v>0.54618012717803055</c:v>
                </c:pt>
                <c:pt idx="19">
                  <c:v>0.4195653339160767</c:v>
                </c:pt>
                <c:pt idx="20">
                  <c:v>0.36138261819112311</c:v>
                </c:pt>
              </c:numCache>
            </c:numRef>
          </c:val>
          <c:smooth val="0"/>
          <c:extLst>
            <c:ext xmlns:c16="http://schemas.microsoft.com/office/drawing/2014/chart" uri="{C3380CC4-5D6E-409C-BE32-E72D297353CC}">
              <c16:uniqueId val="{00000000-BC6D-4F5C-A2D4-F109A8818EE3}"/>
            </c:ext>
          </c:extLst>
        </c:ser>
        <c:ser>
          <c:idx val="1"/>
          <c:order val="1"/>
          <c:tx>
            <c:strRef>
              <c:f>'VTI-VBPI'!$A$3</c:f>
              <c:strCache>
                <c:ptCount val="1"/>
                <c:pt idx="0">
                  <c:v>MA</c:v>
                </c:pt>
              </c:strCache>
            </c:strRef>
          </c:tx>
          <c:spPr>
            <a:ln w="22225" cap="rnd">
              <a:solidFill>
                <a:schemeClr val="accent1">
                  <a:lumMod val="60000"/>
                  <a:lumOff val="40000"/>
                </a:schemeClr>
              </a:solidFill>
              <a:round/>
            </a:ln>
            <a:effectLst/>
          </c:spPr>
          <c:marker>
            <c:symbol val="none"/>
          </c:marker>
          <c:cat>
            <c:numRef>
              <c:f>'VTI-VBPI'!$B$1:$V$1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'VTI-VBPI'!$B$3:$V$3</c:f>
              <c:numCache>
                <c:formatCode>#,##0.00</c:formatCode>
                <c:ptCount val="21"/>
                <c:pt idx="0">
                  <c:v>0.48287535241271712</c:v>
                </c:pt>
                <c:pt idx="1">
                  <c:v>0.49282423600636721</c:v>
                </c:pt>
                <c:pt idx="2">
                  <c:v>0.4624034254357195</c:v>
                </c:pt>
                <c:pt idx="3">
                  <c:v>0.41172886427591332</c:v>
                </c:pt>
                <c:pt idx="4">
                  <c:v>0.40160591807860718</c:v>
                </c:pt>
                <c:pt idx="5">
                  <c:v>0.39837073792074218</c:v>
                </c:pt>
                <c:pt idx="6">
                  <c:v>0.40487485641956217</c:v>
                </c:pt>
                <c:pt idx="7">
                  <c:v>0.43919068819373008</c:v>
                </c:pt>
                <c:pt idx="8">
                  <c:v>0.42182609555268502</c:v>
                </c:pt>
                <c:pt idx="9">
                  <c:v>0.43161996514895301</c:v>
                </c:pt>
                <c:pt idx="10">
                  <c:v>0.43222028343885455</c:v>
                </c:pt>
                <c:pt idx="11">
                  <c:v>0.47691335032903143</c:v>
                </c:pt>
                <c:pt idx="12">
                  <c:v>0.47247184798036546</c:v>
                </c:pt>
                <c:pt idx="13">
                  <c:v>0.49418634943776585</c:v>
                </c:pt>
                <c:pt idx="14">
                  <c:v>0.47916985153147545</c:v>
                </c:pt>
                <c:pt idx="15">
                  <c:v>0.44571663997103073</c:v>
                </c:pt>
                <c:pt idx="16">
                  <c:v>0.41958350769067176</c:v>
                </c:pt>
                <c:pt idx="17">
                  <c:v>0.42652959626242604</c:v>
                </c:pt>
                <c:pt idx="18">
                  <c:v>0.40548684060960516</c:v>
                </c:pt>
                <c:pt idx="19">
                  <c:v>0.37966530670252507</c:v>
                </c:pt>
                <c:pt idx="20">
                  <c:v>0.38620054186548231</c:v>
                </c:pt>
              </c:numCache>
            </c:numRef>
          </c:val>
          <c:smooth val="0"/>
          <c:extLst>
            <c:ext xmlns:c16="http://schemas.microsoft.com/office/drawing/2014/chart" uri="{C3380CC4-5D6E-409C-BE32-E72D297353CC}">
              <c16:uniqueId val="{00000001-BC6D-4F5C-A2D4-F109A8818EE3}"/>
            </c:ext>
          </c:extLst>
        </c:ser>
        <c:ser>
          <c:idx val="2"/>
          <c:order val="2"/>
          <c:tx>
            <c:strRef>
              <c:f>'VTI-VBPI'!$A$4</c:f>
              <c:strCache>
                <c:ptCount val="1"/>
                <c:pt idx="0">
                  <c:v>MB</c:v>
                </c:pt>
              </c:strCache>
            </c:strRef>
          </c:tx>
          <c:spPr>
            <a:ln w="22225" cap="rnd">
              <a:solidFill>
                <a:srgbClr val="FFFF00"/>
              </a:solidFill>
              <a:round/>
            </a:ln>
            <a:effectLst/>
          </c:spPr>
          <c:marker>
            <c:symbol val="none"/>
          </c:marker>
          <c:cat>
            <c:numRef>
              <c:f>'VTI-VBPI'!$B$1:$V$1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'VTI-VBPI'!$B$4:$V$4</c:f>
              <c:numCache>
                <c:formatCode>#,##0.00</c:formatCode>
                <c:ptCount val="21"/>
                <c:pt idx="0">
                  <c:v>0.43710469301778598</c:v>
                </c:pt>
                <c:pt idx="1">
                  <c:v>0.42785309408125366</c:v>
                </c:pt>
                <c:pt idx="2">
                  <c:v>0.44401129574511267</c:v>
                </c:pt>
                <c:pt idx="3">
                  <c:v>0.39141697895083688</c:v>
                </c:pt>
                <c:pt idx="4">
                  <c:v>0.39943466323286086</c:v>
                </c:pt>
                <c:pt idx="5">
                  <c:v>0.37024429659602831</c:v>
                </c:pt>
                <c:pt idx="6">
                  <c:v>0.38640810544228649</c:v>
                </c:pt>
                <c:pt idx="7">
                  <c:v>0.41047589657769828</c:v>
                </c:pt>
                <c:pt idx="8">
                  <c:v>0.41300748451512936</c:v>
                </c:pt>
                <c:pt idx="9">
                  <c:v>0.43453661958930451</c:v>
                </c:pt>
                <c:pt idx="10">
                  <c:v>0.43712837583475511</c:v>
                </c:pt>
                <c:pt idx="11">
                  <c:v>0.44471656515585212</c:v>
                </c:pt>
                <c:pt idx="12">
                  <c:v>0.4075608386194598</c:v>
                </c:pt>
                <c:pt idx="13">
                  <c:v>0.43268868425983797</c:v>
                </c:pt>
                <c:pt idx="14">
                  <c:v>0.42275065676676843</c:v>
                </c:pt>
                <c:pt idx="15">
                  <c:v>0.44172585553670757</c:v>
                </c:pt>
                <c:pt idx="16">
                  <c:v>0.44867537148870001</c:v>
                </c:pt>
                <c:pt idx="17">
                  <c:v>0.42776374656613614</c:v>
                </c:pt>
                <c:pt idx="18">
                  <c:v>0.39337632209571582</c:v>
                </c:pt>
                <c:pt idx="19">
                  <c:v>0.39778630119209746</c:v>
                </c:pt>
                <c:pt idx="20">
                  <c:v>0.38025594764313791</c:v>
                </c:pt>
              </c:numCache>
            </c:numRef>
          </c:val>
          <c:smooth val="0"/>
          <c:extLst>
            <c:ext xmlns:c16="http://schemas.microsoft.com/office/drawing/2014/chart" uri="{C3380CC4-5D6E-409C-BE32-E72D297353CC}">
              <c16:uniqueId val="{00000002-BC6D-4F5C-A2D4-F109A8818EE3}"/>
            </c:ext>
          </c:extLst>
        </c:ser>
        <c:ser>
          <c:idx val="3"/>
          <c:order val="3"/>
          <c:tx>
            <c:strRef>
              <c:f>'VTI-VBPI'!$A$5</c:f>
              <c:strCache>
                <c:ptCount val="1"/>
                <c:pt idx="0">
                  <c:v>B</c:v>
                </c:pt>
              </c:strCache>
            </c:strRef>
          </c:tx>
          <c:spPr>
            <a:ln w="22225" cap="rnd">
              <a:solidFill>
                <a:srgbClr val="FF0000"/>
              </a:solidFill>
              <a:round/>
            </a:ln>
            <a:effectLst/>
          </c:spPr>
          <c:marker>
            <c:symbol val="none"/>
          </c:marker>
          <c:cat>
            <c:numRef>
              <c:f>'VTI-VBPI'!$B$1:$V$1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'VTI-VBPI'!$B$5:$V$5</c:f>
              <c:numCache>
                <c:formatCode>#,##0.00</c:formatCode>
                <c:ptCount val="21"/>
                <c:pt idx="0">
                  <c:v>0.43366707180781444</c:v>
                </c:pt>
                <c:pt idx="1">
                  <c:v>0.46064588162714121</c:v>
                </c:pt>
                <c:pt idx="2">
                  <c:v>0.44919078995838652</c:v>
                </c:pt>
                <c:pt idx="3">
                  <c:v>0.47659790191821844</c:v>
                </c:pt>
                <c:pt idx="4">
                  <c:v>0.44318231769676553</c:v>
                </c:pt>
                <c:pt idx="5">
                  <c:v>0.43377499274805575</c:v>
                </c:pt>
                <c:pt idx="6">
                  <c:v>0.45603647506258521</c:v>
                </c:pt>
                <c:pt idx="7">
                  <c:v>0.422581225537012</c:v>
                </c:pt>
                <c:pt idx="8">
                  <c:v>0.40463516483640644</c:v>
                </c:pt>
                <c:pt idx="9">
                  <c:v>0.4239903180824996</c:v>
                </c:pt>
                <c:pt idx="10">
                  <c:v>0.45264970363492096</c:v>
                </c:pt>
                <c:pt idx="11">
                  <c:v>0.43105395278006142</c:v>
                </c:pt>
                <c:pt idx="12">
                  <c:v>0.4268551304353988</c:v>
                </c:pt>
                <c:pt idx="13">
                  <c:v>0.43262619545366449</c:v>
                </c:pt>
                <c:pt idx="14">
                  <c:v>0.44315738636448304</c:v>
                </c:pt>
                <c:pt idx="15">
                  <c:v>0.43275232827656734</c:v>
                </c:pt>
                <c:pt idx="16">
                  <c:v>0.42447108766447256</c:v>
                </c:pt>
                <c:pt idx="17">
                  <c:v>0.44203794894646026</c:v>
                </c:pt>
                <c:pt idx="18">
                  <c:v>0.41270893902092753</c:v>
                </c:pt>
                <c:pt idx="19">
                  <c:v>0.40867771286849724</c:v>
                </c:pt>
                <c:pt idx="20">
                  <c:v>0.40362503783155501</c:v>
                </c:pt>
              </c:numCache>
            </c:numRef>
          </c:val>
          <c:smooth val="0"/>
          <c:extLst>
            <c:ext xmlns:c16="http://schemas.microsoft.com/office/drawing/2014/chart" uri="{C3380CC4-5D6E-409C-BE32-E72D297353CC}">
              <c16:uniqueId val="{00000003-BC6D-4F5C-A2D4-F109A8818EE3}"/>
            </c:ext>
          </c:extLst>
        </c:ser>
        <c:ser>
          <c:idx val="5"/>
          <c:order val="4"/>
          <c:tx>
            <c:strRef>
              <c:f>'VTI-VBPI'!$A$7</c:f>
              <c:strCache>
                <c:ptCount val="1"/>
                <c:pt idx="0">
                  <c:v>Total IT</c:v>
                </c:pt>
              </c:strCache>
            </c:strRef>
          </c:tx>
          <c:spPr>
            <a:ln w="22225" cap="rnd">
              <a:solidFill>
                <a:schemeClr val="tx1"/>
              </a:solidFill>
              <a:round/>
            </a:ln>
            <a:effectLst/>
          </c:spPr>
          <c:marker>
            <c:symbol val="none"/>
          </c:marker>
          <c:cat>
            <c:numRef>
              <c:f>'VTI-VBPI'!$B$1:$V$1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'VTI-VBPI'!$B$7:$V$7</c:f>
              <c:numCache>
                <c:formatCode>#,##0.00</c:formatCode>
                <c:ptCount val="21"/>
                <c:pt idx="0">
                  <c:v>0.44762473450050172</c:v>
                </c:pt>
                <c:pt idx="1">
                  <c:v>0.46405113766315603</c:v>
                </c:pt>
                <c:pt idx="2">
                  <c:v>0.45306140127703826</c:v>
                </c:pt>
                <c:pt idx="3">
                  <c:v>0.4483126108794509</c:v>
                </c:pt>
                <c:pt idx="4">
                  <c:v>0.42676431766775563</c:v>
                </c:pt>
                <c:pt idx="5">
                  <c:v>0.41547235159736789</c:v>
                </c:pt>
                <c:pt idx="6">
                  <c:v>0.4318389816665123</c:v>
                </c:pt>
                <c:pt idx="7">
                  <c:v>0.42448381636498883</c:v>
                </c:pt>
                <c:pt idx="8">
                  <c:v>0.41216936222231587</c:v>
                </c:pt>
                <c:pt idx="9">
                  <c:v>0.42991520108470288</c:v>
                </c:pt>
                <c:pt idx="10">
                  <c:v>0.44544932951660743</c:v>
                </c:pt>
                <c:pt idx="11">
                  <c:v>0.44487904546255558</c:v>
                </c:pt>
                <c:pt idx="12">
                  <c:v>0.43286363643180914</c:v>
                </c:pt>
                <c:pt idx="13">
                  <c:v>0.44635300047509519</c:v>
                </c:pt>
                <c:pt idx="14">
                  <c:v>0.44616349731818722</c:v>
                </c:pt>
                <c:pt idx="15">
                  <c:v>0.43804259952423902</c:v>
                </c:pt>
                <c:pt idx="16">
                  <c:v>0.42879281466248242</c:v>
                </c:pt>
                <c:pt idx="17">
                  <c:v>0.43648155923720749</c:v>
                </c:pt>
                <c:pt idx="18">
                  <c:v>0.40831643897777137</c:v>
                </c:pt>
                <c:pt idx="19">
                  <c:v>0.40037395757547073</c:v>
                </c:pt>
                <c:pt idx="20">
                  <c:v>0.39475667969318246</c:v>
                </c:pt>
              </c:numCache>
            </c:numRef>
          </c:val>
          <c:smooth val="0"/>
          <c:extLst>
            <c:ext xmlns:c16="http://schemas.microsoft.com/office/drawing/2014/chart" uri="{C3380CC4-5D6E-409C-BE32-E72D297353CC}">
              <c16:uniqueId val="{00000004-BC6D-4F5C-A2D4-F109A8818EE3}"/>
            </c:ext>
          </c:extLst>
        </c:ser>
        <c:dLbls>
          <c:showLegendKey val="0"/>
          <c:showVal val="0"/>
          <c:showCatName val="0"/>
          <c:showSerName val="0"/>
          <c:showPercent val="0"/>
          <c:showBubbleSize val="0"/>
        </c:dLbls>
        <c:smooth val="0"/>
        <c:axId val="1410329792"/>
        <c:axId val="1410326048"/>
      </c:lineChart>
      <c:catAx>
        <c:axId val="14103297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pt-BR"/>
          </a:p>
        </c:txPr>
        <c:crossAx val="1410326048"/>
        <c:crosses val="autoZero"/>
        <c:auto val="1"/>
        <c:lblAlgn val="ctr"/>
        <c:lblOffset val="100"/>
        <c:noMultiLvlLbl val="0"/>
      </c:catAx>
      <c:valAx>
        <c:axId val="141032604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pt-BR"/>
          </a:p>
        </c:txPr>
        <c:crossAx val="1410329792"/>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solidFill>
                <a:latin typeface="+mn-lt"/>
                <a:ea typeface="+mn-ea"/>
                <a:cs typeface="+mn-cs"/>
              </a:defRPr>
            </a:pPr>
            <a:endParaRPr lang="pt-BR"/>
          </a:p>
        </c:txPr>
      </c:dTable>
      <c:spPr>
        <a:no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 dados-indicadores sc br (1).xlsx]DADOS SC'!$B$91</c:f>
              <c:strCache>
                <c:ptCount val="1"/>
                <c:pt idx="0">
                  <c:v>Alta</c:v>
                </c:pt>
              </c:strCache>
            </c:strRef>
          </c:tx>
          <c:spPr>
            <a:solidFill>
              <a:schemeClr val="accent1">
                <a:lumMod val="75000"/>
              </a:schemeClr>
            </a:solidFill>
            <a:ln>
              <a:solidFill>
                <a:schemeClr val="accent1">
                  <a:lumMod val="75000"/>
                </a:schemeClr>
              </a:solidFill>
            </a:ln>
            <a:effectLst/>
          </c:spPr>
          <c:invertIfNegative val="0"/>
          <c:cat>
            <c:numRef>
              <c:f>'[0 dados-indicadores sc br (1).xlsx]DADOS SC'!$C$90:$W$90</c:f>
              <c:numCache>
                <c:formatCode>0</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'[0 dados-indicadores sc br (1).xlsx]DADOS SC'!$C$91:$W$91</c:f>
              <c:numCache>
                <c:formatCode>#,##0.00</c:formatCode>
                <c:ptCount val="21"/>
                <c:pt idx="0">
                  <c:v>0.12921787325453971</c:v>
                </c:pt>
                <c:pt idx="1">
                  <c:v>0.12187104160057856</c:v>
                </c:pt>
                <c:pt idx="2">
                  <c:v>0.18667882023501567</c:v>
                </c:pt>
                <c:pt idx="3">
                  <c:v>0.25953121737491724</c:v>
                </c:pt>
                <c:pt idx="4">
                  <c:v>0.66375189981858107</c:v>
                </c:pt>
                <c:pt idx="5">
                  <c:v>0.46792704815471436</c:v>
                </c:pt>
                <c:pt idx="6">
                  <c:v>0.66217996415141844</c:v>
                </c:pt>
                <c:pt idx="7">
                  <c:v>0.86524176386326401</c:v>
                </c:pt>
                <c:pt idx="8">
                  <c:v>0.87638417260712809</c:v>
                </c:pt>
                <c:pt idx="9">
                  <c:v>0.88684437652195447</c:v>
                </c:pt>
                <c:pt idx="10">
                  <c:v>1.2753834202750538</c:v>
                </c:pt>
                <c:pt idx="11">
                  <c:v>1.1991599278442844</c:v>
                </c:pt>
                <c:pt idx="12">
                  <c:v>1.3662278787400617</c:v>
                </c:pt>
                <c:pt idx="13">
                  <c:v>1.229377651907368</c:v>
                </c:pt>
                <c:pt idx="14">
                  <c:v>1.281664396229039</c:v>
                </c:pt>
                <c:pt idx="15">
                  <c:v>1.3238084546751925</c:v>
                </c:pt>
                <c:pt idx="16">
                  <c:v>1.2914694083830225</c:v>
                </c:pt>
                <c:pt idx="17">
                  <c:v>1.3229597770637331</c:v>
                </c:pt>
                <c:pt idx="18">
                  <c:v>1.2240869129635588</c:v>
                </c:pt>
                <c:pt idx="19">
                  <c:v>1.2966250571775273</c:v>
                </c:pt>
                <c:pt idx="20">
                  <c:v>1.8586063933713211</c:v>
                </c:pt>
              </c:numCache>
            </c:numRef>
          </c:val>
          <c:extLst>
            <c:ext xmlns:c16="http://schemas.microsoft.com/office/drawing/2014/chart" uri="{C3380CC4-5D6E-409C-BE32-E72D297353CC}">
              <c16:uniqueId val="{00000000-C671-47CE-BE0E-D8BC4103CDE9}"/>
            </c:ext>
          </c:extLst>
        </c:ser>
        <c:ser>
          <c:idx val="1"/>
          <c:order val="1"/>
          <c:tx>
            <c:strRef>
              <c:f>'[0 dados-indicadores sc br (1).xlsx]DADOS SC'!$B$92</c:f>
              <c:strCache>
                <c:ptCount val="1"/>
                <c:pt idx="0">
                  <c:v>Média Alta</c:v>
                </c:pt>
              </c:strCache>
            </c:strRef>
          </c:tx>
          <c:spPr>
            <a:solidFill>
              <a:schemeClr val="accent1">
                <a:lumMod val="60000"/>
                <a:lumOff val="40000"/>
              </a:schemeClr>
            </a:solidFill>
            <a:ln>
              <a:solidFill>
                <a:schemeClr val="accent1">
                  <a:lumMod val="60000"/>
                  <a:lumOff val="40000"/>
                </a:schemeClr>
              </a:solidFill>
            </a:ln>
            <a:effectLst/>
          </c:spPr>
          <c:invertIfNegative val="0"/>
          <c:cat>
            <c:numRef>
              <c:f>'[0 dados-indicadores sc br (1).xlsx]DADOS SC'!$C$90:$W$90</c:f>
              <c:numCache>
                <c:formatCode>0</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'[0 dados-indicadores sc br (1).xlsx]DADOS SC'!$C$92:$W$92</c:f>
              <c:numCache>
                <c:formatCode>#,##0.00</c:formatCode>
                <c:ptCount val="21"/>
                <c:pt idx="0">
                  <c:v>4.1326256222601749</c:v>
                </c:pt>
                <c:pt idx="1">
                  <c:v>4.2824165186136387</c:v>
                </c:pt>
                <c:pt idx="2">
                  <c:v>4.6193021402606504</c:v>
                </c:pt>
                <c:pt idx="3">
                  <c:v>4.8157976016407904</c:v>
                </c:pt>
                <c:pt idx="4">
                  <c:v>4.5979419801900407</c:v>
                </c:pt>
                <c:pt idx="5">
                  <c:v>4.0727304629882841</c:v>
                </c:pt>
                <c:pt idx="6">
                  <c:v>4.6371777788319894</c:v>
                </c:pt>
                <c:pt idx="7">
                  <c:v>4.8755341789056867</c:v>
                </c:pt>
                <c:pt idx="8">
                  <c:v>4.9264309733810911</c:v>
                </c:pt>
                <c:pt idx="9">
                  <c:v>5.0270783037844984</c:v>
                </c:pt>
                <c:pt idx="10">
                  <c:v>4.7305454664320763</c:v>
                </c:pt>
                <c:pt idx="11">
                  <c:v>5.1175576777053955</c:v>
                </c:pt>
                <c:pt idx="12">
                  <c:v>5.155843798174133</c:v>
                </c:pt>
                <c:pt idx="13">
                  <c:v>5.2289726736982951</c:v>
                </c:pt>
                <c:pt idx="14">
                  <c:v>5.8690286695989409</c:v>
                </c:pt>
                <c:pt idx="15">
                  <c:v>5.4199628525093786</c:v>
                </c:pt>
                <c:pt idx="16">
                  <c:v>5.3592305886841922</c:v>
                </c:pt>
                <c:pt idx="17">
                  <c:v>4.9609146372369652</c:v>
                </c:pt>
                <c:pt idx="18">
                  <c:v>4.7161339659853221</c:v>
                </c:pt>
                <c:pt idx="19">
                  <c:v>5.5219799445711821</c:v>
                </c:pt>
                <c:pt idx="20">
                  <c:v>6.4592637044892545</c:v>
                </c:pt>
              </c:numCache>
            </c:numRef>
          </c:val>
          <c:extLst>
            <c:ext xmlns:c16="http://schemas.microsoft.com/office/drawing/2014/chart" uri="{C3380CC4-5D6E-409C-BE32-E72D297353CC}">
              <c16:uniqueId val="{00000001-C671-47CE-BE0E-D8BC4103CDE9}"/>
            </c:ext>
          </c:extLst>
        </c:ser>
        <c:ser>
          <c:idx val="2"/>
          <c:order val="2"/>
          <c:tx>
            <c:strRef>
              <c:f>'[0 dados-indicadores sc br (1).xlsx]DADOS SC'!$B$93</c:f>
              <c:strCache>
                <c:ptCount val="1"/>
                <c:pt idx="0">
                  <c:v>Média Baixa</c:v>
                </c:pt>
              </c:strCache>
            </c:strRef>
          </c:tx>
          <c:spPr>
            <a:solidFill>
              <a:srgbClr val="FFFF00"/>
            </a:solidFill>
            <a:ln>
              <a:solidFill>
                <a:srgbClr val="FFFF00"/>
              </a:solidFill>
            </a:ln>
            <a:effectLst/>
          </c:spPr>
          <c:invertIfNegative val="0"/>
          <c:cat>
            <c:numRef>
              <c:f>'[0 dados-indicadores sc br (1).xlsx]DADOS SC'!$C$90:$W$90</c:f>
              <c:numCache>
                <c:formatCode>0</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'[0 dados-indicadores sc br (1).xlsx]DADOS SC'!$C$93:$W$93</c:f>
              <c:numCache>
                <c:formatCode>#,##0.00</c:formatCode>
                <c:ptCount val="21"/>
                <c:pt idx="0">
                  <c:v>2.6362782276514336</c:v>
                </c:pt>
                <c:pt idx="1">
                  <c:v>2.5670720479946394</c:v>
                </c:pt>
                <c:pt idx="2">
                  <c:v>2.3037245019226056</c:v>
                </c:pt>
                <c:pt idx="3">
                  <c:v>2.1825195004267903</c:v>
                </c:pt>
                <c:pt idx="4">
                  <c:v>2.3534660319343157</c:v>
                </c:pt>
                <c:pt idx="5">
                  <c:v>2.1494485883682848</c:v>
                </c:pt>
                <c:pt idx="6">
                  <c:v>1.9265392852814416</c:v>
                </c:pt>
                <c:pt idx="7">
                  <c:v>1.7748537445076664</c:v>
                </c:pt>
                <c:pt idx="8">
                  <c:v>1.631020003510419</c:v>
                </c:pt>
                <c:pt idx="9">
                  <c:v>1.7119592240980248</c:v>
                </c:pt>
                <c:pt idx="10">
                  <c:v>1.9800447163074097</c:v>
                </c:pt>
                <c:pt idx="11">
                  <c:v>1.6366111833695069</c:v>
                </c:pt>
                <c:pt idx="12">
                  <c:v>1.4836047025510481</c:v>
                </c:pt>
                <c:pt idx="13">
                  <c:v>1.9515310326401996</c:v>
                </c:pt>
                <c:pt idx="14">
                  <c:v>1.9774976016634276</c:v>
                </c:pt>
                <c:pt idx="15">
                  <c:v>1.9596824000999986</c:v>
                </c:pt>
                <c:pt idx="16">
                  <c:v>1.8294379453817642</c:v>
                </c:pt>
                <c:pt idx="17">
                  <c:v>2.1251228784958864</c:v>
                </c:pt>
                <c:pt idx="18">
                  <c:v>2.0709548830686511</c:v>
                </c:pt>
                <c:pt idx="19">
                  <c:v>1.6675865573185695</c:v>
                </c:pt>
                <c:pt idx="20">
                  <c:v>1.5639847419311022</c:v>
                </c:pt>
              </c:numCache>
            </c:numRef>
          </c:val>
          <c:extLst>
            <c:ext xmlns:c16="http://schemas.microsoft.com/office/drawing/2014/chart" uri="{C3380CC4-5D6E-409C-BE32-E72D297353CC}">
              <c16:uniqueId val="{00000002-C671-47CE-BE0E-D8BC4103CDE9}"/>
            </c:ext>
          </c:extLst>
        </c:ser>
        <c:ser>
          <c:idx val="3"/>
          <c:order val="3"/>
          <c:tx>
            <c:strRef>
              <c:f>'[0 dados-indicadores sc br (1).xlsx]DADOS SC'!$B$94</c:f>
              <c:strCache>
                <c:ptCount val="1"/>
                <c:pt idx="0">
                  <c:v>Baixa</c:v>
                </c:pt>
              </c:strCache>
            </c:strRef>
          </c:tx>
          <c:spPr>
            <a:solidFill>
              <a:srgbClr val="FF0000"/>
            </a:solidFill>
            <a:ln>
              <a:solidFill>
                <a:srgbClr val="FF0000"/>
              </a:solidFill>
            </a:ln>
            <a:effectLst/>
          </c:spPr>
          <c:invertIfNegative val="0"/>
          <c:cat>
            <c:numRef>
              <c:f>'[0 dados-indicadores sc br (1).xlsx]DADOS SC'!$C$90:$W$90</c:f>
              <c:numCache>
                <c:formatCode>0</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'[0 dados-indicadores sc br (1).xlsx]DADOS SC'!$C$94:$W$94</c:f>
              <c:numCache>
                <c:formatCode>#,##0.00</c:formatCode>
                <c:ptCount val="21"/>
                <c:pt idx="0">
                  <c:v>10.420194750854792</c:v>
                </c:pt>
                <c:pt idx="1">
                  <c:v>10.808423113125476</c:v>
                </c:pt>
                <c:pt idx="2">
                  <c:v>10.846509133715955</c:v>
                </c:pt>
                <c:pt idx="3">
                  <c:v>10.150372784779989</c:v>
                </c:pt>
                <c:pt idx="4">
                  <c:v>10.421322237201959</c:v>
                </c:pt>
                <c:pt idx="5">
                  <c:v>10.608717449391383</c:v>
                </c:pt>
                <c:pt idx="6">
                  <c:v>9.47959748716743</c:v>
                </c:pt>
                <c:pt idx="7">
                  <c:v>9.883246563212591</c:v>
                </c:pt>
                <c:pt idx="8">
                  <c:v>9.7052862175023265</c:v>
                </c:pt>
                <c:pt idx="9">
                  <c:v>9.2258122060993237</c:v>
                </c:pt>
                <c:pt idx="10">
                  <c:v>8.6931793544210567</c:v>
                </c:pt>
                <c:pt idx="11">
                  <c:v>8.825577640129799</c:v>
                </c:pt>
                <c:pt idx="12">
                  <c:v>8.7287174079666912</c:v>
                </c:pt>
                <c:pt idx="13">
                  <c:v>8.1308159430020659</c:v>
                </c:pt>
                <c:pt idx="14">
                  <c:v>8.4075804915756436</c:v>
                </c:pt>
                <c:pt idx="15">
                  <c:v>8.2982544389534265</c:v>
                </c:pt>
                <c:pt idx="16">
                  <c:v>8.1114234395910927</c:v>
                </c:pt>
                <c:pt idx="17">
                  <c:v>8.4141023392127359</c:v>
                </c:pt>
                <c:pt idx="18">
                  <c:v>9.8896037756649839</c:v>
                </c:pt>
                <c:pt idx="19">
                  <c:v>10.21509070737134</c:v>
                </c:pt>
                <c:pt idx="20">
                  <c:v>9.1595206364777209</c:v>
                </c:pt>
              </c:numCache>
            </c:numRef>
          </c:val>
          <c:extLst>
            <c:ext xmlns:c16="http://schemas.microsoft.com/office/drawing/2014/chart" uri="{C3380CC4-5D6E-409C-BE32-E72D297353CC}">
              <c16:uniqueId val="{00000003-C671-47CE-BE0E-D8BC4103CDE9}"/>
            </c:ext>
          </c:extLst>
        </c:ser>
        <c:dLbls>
          <c:showLegendKey val="0"/>
          <c:showVal val="0"/>
          <c:showCatName val="0"/>
          <c:showSerName val="0"/>
          <c:showPercent val="0"/>
          <c:showBubbleSize val="0"/>
        </c:dLbls>
        <c:gapWidth val="150"/>
        <c:axId val="1818367616"/>
        <c:axId val="1818376768"/>
      </c:barChart>
      <c:lineChart>
        <c:grouping val="standard"/>
        <c:varyColors val="0"/>
        <c:ser>
          <c:idx val="4"/>
          <c:order val="4"/>
          <c:tx>
            <c:strRef>
              <c:f>'[0 dados-indicadores sc br (1).xlsx]DADOS SC'!$B$95</c:f>
              <c:strCache>
                <c:ptCount val="1"/>
                <c:pt idx="0">
                  <c:v>Total</c:v>
                </c:pt>
              </c:strCache>
            </c:strRef>
          </c:tx>
          <c:spPr>
            <a:ln w="28575" cap="rnd">
              <a:solidFill>
                <a:schemeClr val="tx1"/>
              </a:solidFill>
              <a:round/>
            </a:ln>
            <a:effectLst/>
          </c:spPr>
          <c:marker>
            <c:symbol val="none"/>
          </c:marker>
          <c:cat>
            <c:numRef>
              <c:f>'[0 dados-indicadores sc br (1).xlsx]DADOS SC'!$C$90:$W$90</c:f>
              <c:numCache>
                <c:formatCode>0</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'[0 dados-indicadores sc br (1).xlsx]DADOS SC'!$C$95:$W$95</c:f>
              <c:numCache>
                <c:formatCode>#,##0.00</c:formatCode>
                <c:ptCount val="21"/>
                <c:pt idx="0">
                  <c:v>5.8465149254339588</c:v>
                </c:pt>
                <c:pt idx="1">
                  <c:v>6.2939718580250572</c:v>
                </c:pt>
                <c:pt idx="2">
                  <c:v>6.3982100014469694</c:v>
                </c:pt>
                <c:pt idx="3">
                  <c:v>6.2212186570086025</c:v>
                </c:pt>
                <c:pt idx="4">
                  <c:v>6.249299488816396</c:v>
                </c:pt>
                <c:pt idx="5">
                  <c:v>5.835712520260155</c:v>
                </c:pt>
                <c:pt idx="6">
                  <c:v>5.5197862749570072</c:v>
                </c:pt>
                <c:pt idx="7">
                  <c:v>5.7954108956288701</c:v>
                </c:pt>
                <c:pt idx="8">
                  <c:v>5.7569343438847724</c:v>
                </c:pt>
                <c:pt idx="9">
                  <c:v>5.9752204569963707</c:v>
                </c:pt>
                <c:pt idx="10">
                  <c:v>5.773636027249049</c:v>
                </c:pt>
                <c:pt idx="11">
                  <c:v>5.7909524312385088</c:v>
                </c:pt>
                <c:pt idx="12">
                  <c:v>5.7351394554987598</c:v>
                </c:pt>
                <c:pt idx="13">
                  <c:v>5.7111737957062623</c:v>
                </c:pt>
                <c:pt idx="14">
                  <c:v>6.0235716077439907</c:v>
                </c:pt>
                <c:pt idx="15">
                  <c:v>5.83818500473265</c:v>
                </c:pt>
                <c:pt idx="16">
                  <c:v>5.7910013582636877</c:v>
                </c:pt>
                <c:pt idx="17">
                  <c:v>5.7573591459630542</c:v>
                </c:pt>
                <c:pt idx="18">
                  <c:v>6.1326107009885202</c:v>
                </c:pt>
                <c:pt idx="19">
                  <c:v>6.3885119947200444</c:v>
                </c:pt>
                <c:pt idx="20">
                  <c:v>6.3908009299374289</c:v>
                </c:pt>
              </c:numCache>
            </c:numRef>
          </c:val>
          <c:smooth val="0"/>
          <c:extLst>
            <c:ext xmlns:c16="http://schemas.microsoft.com/office/drawing/2014/chart" uri="{C3380CC4-5D6E-409C-BE32-E72D297353CC}">
              <c16:uniqueId val="{00000004-C671-47CE-BE0E-D8BC4103CDE9}"/>
            </c:ext>
          </c:extLst>
        </c:ser>
        <c:dLbls>
          <c:showLegendKey val="0"/>
          <c:showVal val="0"/>
          <c:showCatName val="0"/>
          <c:showSerName val="0"/>
          <c:showPercent val="0"/>
          <c:showBubbleSize val="0"/>
        </c:dLbls>
        <c:marker val="1"/>
        <c:smooth val="0"/>
        <c:axId val="1818367616"/>
        <c:axId val="1818376768"/>
      </c:lineChart>
      <c:catAx>
        <c:axId val="181836761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pt-BR"/>
          </a:p>
        </c:txPr>
        <c:crossAx val="1818376768"/>
        <c:crosses val="autoZero"/>
        <c:auto val="1"/>
        <c:lblAlgn val="ctr"/>
        <c:lblOffset val="100"/>
        <c:noMultiLvlLbl val="0"/>
      </c:catAx>
      <c:valAx>
        <c:axId val="1818376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solidFill>
                    <a:latin typeface="+mn-lt"/>
                    <a:ea typeface="+mn-ea"/>
                    <a:cs typeface="+mn-cs"/>
                  </a:defRPr>
                </a:pPr>
                <a:r>
                  <a:rPr lang="pt-BR" sz="700" baseline="0">
                    <a:solidFill>
                      <a:schemeClr val="tx1"/>
                    </a:solidFill>
                  </a:rPr>
                  <a: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pt-BR"/>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pt-BR"/>
          </a:p>
        </c:txPr>
        <c:crossAx val="18183676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solidFill>
                <a:latin typeface="+mn-lt"/>
                <a:ea typeface="+mn-ea"/>
                <a:cs typeface="+mn-cs"/>
              </a:defRPr>
            </a:pPr>
            <a:endParaRPr lang="pt-B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 dados-indicadores sc br (1).xlsx]DADOS SC'!$B$83</c:f>
              <c:strCache>
                <c:ptCount val="1"/>
                <c:pt idx="0">
                  <c:v>Alta</c:v>
                </c:pt>
              </c:strCache>
            </c:strRef>
          </c:tx>
          <c:spPr>
            <a:solidFill>
              <a:schemeClr val="accent1">
                <a:lumMod val="75000"/>
              </a:schemeClr>
            </a:solidFill>
            <a:ln>
              <a:solidFill>
                <a:schemeClr val="accent1">
                  <a:lumMod val="75000"/>
                </a:schemeClr>
              </a:solidFill>
            </a:ln>
            <a:effectLst/>
          </c:spPr>
          <c:invertIfNegative val="0"/>
          <c:cat>
            <c:numRef>
              <c:f>'[0 dados-indicadores sc br (1).xlsx]DADOS SC'!$C$82:$W$82</c:f>
              <c:numCache>
                <c:formatCode>0</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'[0 dados-indicadores sc br (1).xlsx]DADOS SC'!$C$83:$W$83</c:f>
              <c:numCache>
                <c:formatCode>#,##0.00</c:formatCode>
                <c:ptCount val="21"/>
                <c:pt idx="0">
                  <c:v>0.60657744540328251</c:v>
                </c:pt>
                <c:pt idx="1">
                  <c:v>0.64621292920647067</c:v>
                </c:pt>
                <c:pt idx="2">
                  <c:v>0.62816425990694624</c:v>
                </c:pt>
                <c:pt idx="3">
                  <c:v>0.63546325913801094</c:v>
                </c:pt>
                <c:pt idx="4">
                  <c:v>0.72717911526015477</c:v>
                </c:pt>
                <c:pt idx="5">
                  <c:v>1.1783414255225741</c:v>
                </c:pt>
                <c:pt idx="6">
                  <c:v>1.7707945009421078</c:v>
                </c:pt>
                <c:pt idx="7">
                  <c:v>2.2782692500160144</c:v>
                </c:pt>
                <c:pt idx="8">
                  <c:v>2.6583624736710498</c:v>
                </c:pt>
                <c:pt idx="9">
                  <c:v>3.8062568230729896</c:v>
                </c:pt>
                <c:pt idx="10">
                  <c:v>3.6793227957373711</c:v>
                </c:pt>
                <c:pt idx="11">
                  <c:v>3.7983704434699201</c:v>
                </c:pt>
                <c:pt idx="12">
                  <c:v>3.760509845132594</c:v>
                </c:pt>
                <c:pt idx="13">
                  <c:v>3.4701369459510794</c:v>
                </c:pt>
                <c:pt idx="14">
                  <c:v>3.977888785425344</c:v>
                </c:pt>
                <c:pt idx="15">
                  <c:v>4.1645231604270156</c:v>
                </c:pt>
                <c:pt idx="16">
                  <c:v>4.0555284524366844</c:v>
                </c:pt>
                <c:pt idx="17">
                  <c:v>3.8481920709470554</c:v>
                </c:pt>
                <c:pt idx="18">
                  <c:v>4.0993685163737821</c:v>
                </c:pt>
                <c:pt idx="19">
                  <c:v>4.5773332512069738</c:v>
                </c:pt>
                <c:pt idx="20">
                  <c:v>5.6566125420326463</c:v>
                </c:pt>
              </c:numCache>
            </c:numRef>
          </c:val>
          <c:extLst>
            <c:ext xmlns:c16="http://schemas.microsoft.com/office/drawing/2014/chart" uri="{C3380CC4-5D6E-409C-BE32-E72D297353CC}">
              <c16:uniqueId val="{00000000-F0A8-4F44-84C7-8EF2EB11A1CA}"/>
            </c:ext>
          </c:extLst>
        </c:ser>
        <c:ser>
          <c:idx val="1"/>
          <c:order val="1"/>
          <c:tx>
            <c:strRef>
              <c:f>'[0 dados-indicadores sc br (1).xlsx]DADOS SC'!$B$84</c:f>
              <c:strCache>
                <c:ptCount val="1"/>
                <c:pt idx="0">
                  <c:v>Média Alta</c:v>
                </c:pt>
              </c:strCache>
            </c:strRef>
          </c:tx>
          <c:spPr>
            <a:solidFill>
              <a:schemeClr val="accent1">
                <a:lumMod val="60000"/>
                <a:lumOff val="40000"/>
              </a:schemeClr>
            </a:solidFill>
            <a:ln>
              <a:solidFill>
                <a:schemeClr val="accent1">
                  <a:lumMod val="60000"/>
                  <a:lumOff val="40000"/>
                </a:schemeClr>
              </a:solidFill>
            </a:ln>
            <a:effectLst/>
          </c:spPr>
          <c:invertIfNegative val="0"/>
          <c:cat>
            <c:numRef>
              <c:f>'[0 dados-indicadores sc br (1).xlsx]DADOS SC'!$C$82:$W$82</c:f>
              <c:numCache>
                <c:formatCode>0</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'[0 dados-indicadores sc br (1).xlsx]DADOS SC'!$C$84:$W$84</c:f>
              <c:numCache>
                <c:formatCode>#,##0.00</c:formatCode>
                <c:ptCount val="21"/>
                <c:pt idx="0">
                  <c:v>2.1660085764399555</c:v>
                </c:pt>
                <c:pt idx="1">
                  <c:v>1.7819072960422313</c:v>
                </c:pt>
                <c:pt idx="2">
                  <c:v>2.4871375861509097</c:v>
                </c:pt>
                <c:pt idx="3">
                  <c:v>2.3634429542805844</c:v>
                </c:pt>
                <c:pt idx="4">
                  <c:v>2.9147157273803423</c:v>
                </c:pt>
                <c:pt idx="5">
                  <c:v>3.2536139179095036</c:v>
                </c:pt>
                <c:pt idx="6">
                  <c:v>3.7835764839479924</c:v>
                </c:pt>
                <c:pt idx="7">
                  <c:v>4.0267984086288644</c:v>
                </c:pt>
                <c:pt idx="8">
                  <c:v>4.0311639630593268</c:v>
                </c:pt>
                <c:pt idx="9">
                  <c:v>4.5949044027462929</c:v>
                </c:pt>
                <c:pt idx="10">
                  <c:v>5.2223468471109387</c:v>
                </c:pt>
                <c:pt idx="11">
                  <c:v>5.1041682935534221</c:v>
                </c:pt>
                <c:pt idx="12">
                  <c:v>4.8908715605825632</c:v>
                </c:pt>
                <c:pt idx="13">
                  <c:v>5.1854584186770269</c:v>
                </c:pt>
                <c:pt idx="14">
                  <c:v>6.3344536646344265</c:v>
                </c:pt>
                <c:pt idx="15">
                  <c:v>6.4102974077387378</c:v>
                </c:pt>
                <c:pt idx="16">
                  <c:v>6.4246734759261805</c:v>
                </c:pt>
                <c:pt idx="17">
                  <c:v>7.0993545955954307</c:v>
                </c:pt>
                <c:pt idx="18">
                  <c:v>7.5630616008713512</c:v>
                </c:pt>
                <c:pt idx="19">
                  <c:v>8.1860344776951983</c:v>
                </c:pt>
                <c:pt idx="20">
                  <c:v>8.628604717348022</c:v>
                </c:pt>
              </c:numCache>
            </c:numRef>
          </c:val>
          <c:extLst>
            <c:ext xmlns:c16="http://schemas.microsoft.com/office/drawing/2014/chart" uri="{C3380CC4-5D6E-409C-BE32-E72D297353CC}">
              <c16:uniqueId val="{00000001-F0A8-4F44-84C7-8EF2EB11A1CA}"/>
            </c:ext>
          </c:extLst>
        </c:ser>
        <c:ser>
          <c:idx val="2"/>
          <c:order val="2"/>
          <c:tx>
            <c:strRef>
              <c:f>'[0 dados-indicadores sc br (1).xlsx]DADOS SC'!$B$85</c:f>
              <c:strCache>
                <c:ptCount val="1"/>
                <c:pt idx="0">
                  <c:v>Média Baixa</c:v>
                </c:pt>
              </c:strCache>
            </c:strRef>
          </c:tx>
          <c:spPr>
            <a:solidFill>
              <a:srgbClr val="FFFF00"/>
            </a:solidFill>
            <a:ln>
              <a:solidFill>
                <a:srgbClr val="FFFF00"/>
              </a:solidFill>
            </a:ln>
            <a:effectLst/>
          </c:spPr>
          <c:invertIfNegative val="0"/>
          <c:cat>
            <c:numRef>
              <c:f>'[0 dados-indicadores sc br (1).xlsx]DADOS SC'!$C$82:$W$82</c:f>
              <c:numCache>
                <c:formatCode>0</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'[0 dados-indicadores sc br (1).xlsx]DADOS SC'!$C$85:$W$85</c:f>
              <c:numCache>
                <c:formatCode>#,##0.00</c:formatCode>
                <c:ptCount val="21"/>
                <c:pt idx="0">
                  <c:v>0.95939297516877198</c:v>
                </c:pt>
                <c:pt idx="1">
                  <c:v>1.0381399478917108</c:v>
                </c:pt>
                <c:pt idx="2">
                  <c:v>1.0851673799550832</c:v>
                </c:pt>
                <c:pt idx="3">
                  <c:v>1.3708292805278144</c:v>
                </c:pt>
                <c:pt idx="4">
                  <c:v>2.8545718344479551</c:v>
                </c:pt>
                <c:pt idx="5">
                  <c:v>4.1223542238144759</c:v>
                </c:pt>
                <c:pt idx="6">
                  <c:v>6.0198472280023401</c:v>
                </c:pt>
                <c:pt idx="7">
                  <c:v>6.588401460469032</c:v>
                </c:pt>
                <c:pt idx="8">
                  <c:v>8.1094668011226059</c:v>
                </c:pt>
                <c:pt idx="9">
                  <c:v>9.4896108388585176</c:v>
                </c:pt>
                <c:pt idx="10">
                  <c:v>10.93706430671282</c:v>
                </c:pt>
                <c:pt idx="11">
                  <c:v>10.524695930684736</c:v>
                </c:pt>
                <c:pt idx="12">
                  <c:v>10.690541492234782</c:v>
                </c:pt>
                <c:pt idx="13">
                  <c:v>9.0648898024216145</c:v>
                </c:pt>
                <c:pt idx="14">
                  <c:v>9.5981255853368079</c:v>
                </c:pt>
                <c:pt idx="15">
                  <c:v>10.360880284132216</c:v>
                </c:pt>
                <c:pt idx="16">
                  <c:v>10.328320053506387</c:v>
                </c:pt>
                <c:pt idx="17">
                  <c:v>10.429974197822974</c:v>
                </c:pt>
                <c:pt idx="18">
                  <c:v>10.866441628883674</c:v>
                </c:pt>
                <c:pt idx="19">
                  <c:v>11.526516700268626</c:v>
                </c:pt>
                <c:pt idx="20">
                  <c:v>14.352854203838358</c:v>
                </c:pt>
              </c:numCache>
            </c:numRef>
          </c:val>
          <c:extLst>
            <c:ext xmlns:c16="http://schemas.microsoft.com/office/drawing/2014/chart" uri="{C3380CC4-5D6E-409C-BE32-E72D297353CC}">
              <c16:uniqueId val="{00000002-F0A8-4F44-84C7-8EF2EB11A1CA}"/>
            </c:ext>
          </c:extLst>
        </c:ser>
        <c:ser>
          <c:idx val="3"/>
          <c:order val="3"/>
          <c:tx>
            <c:strRef>
              <c:f>'[0 dados-indicadores sc br (1).xlsx]DADOS SC'!$B$86</c:f>
              <c:strCache>
                <c:ptCount val="1"/>
                <c:pt idx="0">
                  <c:v>Baixa</c:v>
                </c:pt>
              </c:strCache>
            </c:strRef>
          </c:tx>
          <c:spPr>
            <a:solidFill>
              <a:srgbClr val="FF0000"/>
            </a:solidFill>
            <a:ln>
              <a:solidFill>
                <a:srgbClr val="FF0000"/>
              </a:solidFill>
            </a:ln>
            <a:effectLst/>
          </c:spPr>
          <c:invertIfNegative val="0"/>
          <c:cat>
            <c:numRef>
              <c:f>'[0 dados-indicadores sc br (1).xlsx]DADOS SC'!$C$82:$W$82</c:f>
              <c:numCache>
                <c:formatCode>0</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'[0 dados-indicadores sc br (1).xlsx]DADOS SC'!$C$86:$W$86</c:f>
              <c:numCache>
                <c:formatCode>#,##0.00</c:formatCode>
                <c:ptCount val="21"/>
                <c:pt idx="0">
                  <c:v>3.596853694049587</c:v>
                </c:pt>
                <c:pt idx="1">
                  <c:v>3.7967525663748711</c:v>
                </c:pt>
                <c:pt idx="2">
                  <c:v>4.5450789979257769</c:v>
                </c:pt>
                <c:pt idx="3">
                  <c:v>5.1951810563991563</c:v>
                </c:pt>
                <c:pt idx="4">
                  <c:v>6.1202552191317956</c:v>
                </c:pt>
                <c:pt idx="5">
                  <c:v>7.7194597422805673</c:v>
                </c:pt>
                <c:pt idx="6">
                  <c:v>9.208473676723516</c:v>
                </c:pt>
                <c:pt idx="7">
                  <c:v>10.418047020538177</c:v>
                </c:pt>
                <c:pt idx="8">
                  <c:v>11.854062028891112</c:v>
                </c:pt>
                <c:pt idx="9">
                  <c:v>14.625495712360891</c:v>
                </c:pt>
                <c:pt idx="10">
                  <c:v>15.070492768902385</c:v>
                </c:pt>
                <c:pt idx="11">
                  <c:v>16.714989099522711</c:v>
                </c:pt>
                <c:pt idx="12">
                  <c:v>17.923826041242901</c:v>
                </c:pt>
                <c:pt idx="13">
                  <c:v>19.236718178248204</c:v>
                </c:pt>
                <c:pt idx="14">
                  <c:v>20.345668002973312</c:v>
                </c:pt>
                <c:pt idx="15">
                  <c:v>20.213335063219525</c:v>
                </c:pt>
                <c:pt idx="16">
                  <c:v>18.97991173529536</c:v>
                </c:pt>
                <c:pt idx="17">
                  <c:v>20.65777593662191</c:v>
                </c:pt>
                <c:pt idx="18">
                  <c:v>23.244472601456696</c:v>
                </c:pt>
                <c:pt idx="19">
                  <c:v>25.544947487660508</c:v>
                </c:pt>
                <c:pt idx="20">
                  <c:v>25.576932496037447</c:v>
                </c:pt>
              </c:numCache>
            </c:numRef>
          </c:val>
          <c:extLst>
            <c:ext xmlns:c16="http://schemas.microsoft.com/office/drawing/2014/chart" uri="{C3380CC4-5D6E-409C-BE32-E72D297353CC}">
              <c16:uniqueId val="{00000003-F0A8-4F44-84C7-8EF2EB11A1CA}"/>
            </c:ext>
          </c:extLst>
        </c:ser>
        <c:dLbls>
          <c:showLegendKey val="0"/>
          <c:showVal val="0"/>
          <c:showCatName val="0"/>
          <c:showSerName val="0"/>
          <c:showPercent val="0"/>
          <c:showBubbleSize val="0"/>
        </c:dLbls>
        <c:gapWidth val="150"/>
        <c:axId val="1680893776"/>
        <c:axId val="1680897936"/>
      </c:barChart>
      <c:lineChart>
        <c:grouping val="standard"/>
        <c:varyColors val="0"/>
        <c:ser>
          <c:idx val="4"/>
          <c:order val="4"/>
          <c:tx>
            <c:strRef>
              <c:f>'[0 dados-indicadores sc br (1).xlsx]DADOS SC'!$B$87</c:f>
              <c:strCache>
                <c:ptCount val="1"/>
                <c:pt idx="0">
                  <c:v>Total</c:v>
                </c:pt>
              </c:strCache>
            </c:strRef>
          </c:tx>
          <c:spPr>
            <a:ln w="28575" cap="rnd">
              <a:solidFill>
                <a:schemeClr val="tx1"/>
              </a:solidFill>
              <a:round/>
            </a:ln>
            <a:effectLst/>
          </c:spPr>
          <c:marker>
            <c:symbol val="none"/>
          </c:marker>
          <c:cat>
            <c:numRef>
              <c:f>'[0 dados-indicadores sc br (1).xlsx]DADOS SC'!$C$82:$W$82</c:f>
              <c:numCache>
                <c:formatCode>0</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'[0 dados-indicadores sc br (1).xlsx]DADOS SC'!$C$87:$W$87</c:f>
              <c:numCache>
                <c:formatCode>#,##0.00</c:formatCode>
                <c:ptCount val="21"/>
                <c:pt idx="0">
                  <c:v>1.7127470193085783</c:v>
                </c:pt>
                <c:pt idx="1">
                  <c:v>1.5542341604627741</c:v>
                </c:pt>
                <c:pt idx="2">
                  <c:v>2.019483066303879</c:v>
                </c:pt>
                <c:pt idx="3">
                  <c:v>2.0444902078801523</c:v>
                </c:pt>
                <c:pt idx="4">
                  <c:v>2.6613616783650227</c:v>
                </c:pt>
                <c:pt idx="5">
                  <c:v>3.263970914419803</c:v>
                </c:pt>
                <c:pt idx="6">
                  <c:v>4.187825434825748</c:v>
                </c:pt>
                <c:pt idx="7">
                  <c:v>4.7007798686215265</c:v>
                </c:pt>
                <c:pt idx="8">
                  <c:v>5.2219158192983857</c:v>
                </c:pt>
                <c:pt idx="9">
                  <c:v>6.2087605789637763</c:v>
                </c:pt>
                <c:pt idx="10">
                  <c:v>7.0446580030763135</c:v>
                </c:pt>
                <c:pt idx="11">
                  <c:v>7.1063427216903019</c:v>
                </c:pt>
                <c:pt idx="12">
                  <c:v>7.1496469733723593</c:v>
                </c:pt>
                <c:pt idx="13">
                  <c:v>6.941047537449629</c:v>
                </c:pt>
                <c:pt idx="14">
                  <c:v>7.9309402634392416</c:v>
                </c:pt>
                <c:pt idx="15">
                  <c:v>8.1283224863410695</c:v>
                </c:pt>
                <c:pt idx="16">
                  <c:v>7.9487654423239285</c:v>
                </c:pt>
                <c:pt idx="17">
                  <c:v>8.4893484827831234</c:v>
                </c:pt>
                <c:pt idx="18">
                  <c:v>8.9779137151414119</c:v>
                </c:pt>
                <c:pt idx="19">
                  <c:v>9.659649600059856</c:v>
                </c:pt>
                <c:pt idx="20">
                  <c:v>10.573365190342223</c:v>
                </c:pt>
              </c:numCache>
            </c:numRef>
          </c:val>
          <c:smooth val="0"/>
          <c:extLst>
            <c:ext xmlns:c16="http://schemas.microsoft.com/office/drawing/2014/chart" uri="{C3380CC4-5D6E-409C-BE32-E72D297353CC}">
              <c16:uniqueId val="{00000004-F0A8-4F44-84C7-8EF2EB11A1CA}"/>
            </c:ext>
          </c:extLst>
        </c:ser>
        <c:dLbls>
          <c:showLegendKey val="0"/>
          <c:showVal val="0"/>
          <c:showCatName val="0"/>
          <c:showSerName val="0"/>
          <c:showPercent val="0"/>
          <c:showBubbleSize val="0"/>
        </c:dLbls>
        <c:marker val="1"/>
        <c:smooth val="0"/>
        <c:axId val="1680893776"/>
        <c:axId val="1680897936"/>
      </c:lineChart>
      <c:catAx>
        <c:axId val="168089377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pt-BR"/>
          </a:p>
        </c:txPr>
        <c:crossAx val="1680897936"/>
        <c:crosses val="autoZero"/>
        <c:auto val="1"/>
        <c:lblAlgn val="ctr"/>
        <c:lblOffset val="100"/>
        <c:noMultiLvlLbl val="0"/>
      </c:catAx>
      <c:valAx>
        <c:axId val="1680897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pt-BR" sz="700" baseline="0">
                    <a:solidFill>
                      <a:schemeClr val="tx1"/>
                    </a:solidFill>
                  </a:rPr>
                  <a: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pt-BR"/>
          </a:p>
        </c:txPr>
        <c:crossAx val="16808937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solidFill>
                <a:latin typeface="+mn-lt"/>
                <a:ea typeface="+mn-ea"/>
                <a:cs typeface="+mn-cs"/>
              </a:defRPr>
            </a:pPr>
            <a:endParaRPr lang="pt-B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'Export-Import'!$A$26</c:f>
              <c:strCache>
                <c:ptCount val="1"/>
                <c:pt idx="0">
                  <c:v>Alta</c:v>
                </c:pt>
              </c:strCache>
            </c:strRef>
          </c:tx>
          <c:spPr>
            <a:solidFill>
              <a:srgbClr val="0070C0"/>
            </a:solidFill>
            <a:ln>
              <a:solidFill>
                <a:srgbClr val="0070C0"/>
              </a:solidFill>
            </a:ln>
            <a:effectLst/>
          </c:spPr>
          <c:invertIfNegative val="0"/>
          <c:cat>
            <c:numRef>
              <c:f>'Export-Import'!$B$25:$V$25</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'Export-Import'!$B$26:$V$26</c:f>
              <c:numCache>
                <c:formatCode>#,##0.00</c:formatCode>
                <c:ptCount val="21"/>
                <c:pt idx="0">
                  <c:v>0.51913253314382013</c:v>
                </c:pt>
                <c:pt idx="1">
                  <c:v>0.36228880681997344</c:v>
                </c:pt>
                <c:pt idx="2">
                  <c:v>0.47425108101936608</c:v>
                </c:pt>
                <c:pt idx="3">
                  <c:v>0.52426806141070847</c:v>
                </c:pt>
                <c:pt idx="4">
                  <c:v>0.7351519653959715</c:v>
                </c:pt>
                <c:pt idx="5">
                  <c:v>0.75096026139767613</c:v>
                </c:pt>
                <c:pt idx="6">
                  <c:v>0.9616248323998926</c:v>
                </c:pt>
                <c:pt idx="7">
                  <c:v>1.021529847835988</c:v>
                </c:pt>
                <c:pt idx="8">
                  <c:v>0.87291756814294308</c:v>
                </c:pt>
                <c:pt idx="9">
                  <c:v>0.91093440530422132</c:v>
                </c:pt>
                <c:pt idx="10">
                  <c:v>1.0407777805544294</c:v>
                </c:pt>
                <c:pt idx="11">
                  <c:v>0.85625007869326653</c:v>
                </c:pt>
                <c:pt idx="12">
                  <c:v>0.8695843668491049</c:v>
                </c:pt>
                <c:pt idx="13">
                  <c:v>0.79831461576631479</c:v>
                </c:pt>
                <c:pt idx="14">
                  <c:v>0.78711292822939516</c:v>
                </c:pt>
                <c:pt idx="15">
                  <c:v>0.81564873748565525</c:v>
                </c:pt>
                <c:pt idx="16">
                  <c:v>0.68817346070541396</c:v>
                </c:pt>
                <c:pt idx="17">
                  <c:v>0.6545520855434831</c:v>
                </c:pt>
                <c:pt idx="18">
                  <c:v>0.6021703623486917</c:v>
                </c:pt>
                <c:pt idx="19">
                  <c:v>0.65848421354670483</c:v>
                </c:pt>
                <c:pt idx="20">
                  <c:v>0.74615743994040218</c:v>
                </c:pt>
              </c:numCache>
            </c:numRef>
          </c:val>
          <c:extLst>
            <c:ext xmlns:c16="http://schemas.microsoft.com/office/drawing/2014/chart" uri="{C3380CC4-5D6E-409C-BE32-E72D297353CC}">
              <c16:uniqueId val="{00000000-6436-4888-9C65-D4DB63DAEF4F}"/>
            </c:ext>
          </c:extLst>
        </c:ser>
        <c:ser>
          <c:idx val="1"/>
          <c:order val="1"/>
          <c:tx>
            <c:strRef>
              <c:f>'Export-Import'!$A$27</c:f>
              <c:strCache>
                <c:ptCount val="1"/>
                <c:pt idx="0">
                  <c:v>Média Alta</c:v>
                </c:pt>
              </c:strCache>
            </c:strRef>
          </c:tx>
          <c:spPr>
            <a:solidFill>
              <a:schemeClr val="accent1">
                <a:lumMod val="60000"/>
                <a:lumOff val="40000"/>
              </a:schemeClr>
            </a:solidFill>
            <a:ln>
              <a:solidFill>
                <a:schemeClr val="accent1">
                  <a:lumMod val="60000"/>
                  <a:lumOff val="40000"/>
                </a:schemeClr>
              </a:solidFill>
            </a:ln>
            <a:effectLst/>
          </c:spPr>
          <c:invertIfNegative val="0"/>
          <c:cat>
            <c:numRef>
              <c:f>'Export-Import'!$B$25:$V$25</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'Export-Import'!$B$27:$V$27</c:f>
              <c:numCache>
                <c:formatCode>#,##0.00</c:formatCode>
                <c:ptCount val="21"/>
                <c:pt idx="0">
                  <c:v>25.887807277647255</c:v>
                </c:pt>
                <c:pt idx="1">
                  <c:v>23.531170215369691</c:v>
                </c:pt>
                <c:pt idx="2">
                  <c:v>23.758892785963436</c:v>
                </c:pt>
                <c:pt idx="3">
                  <c:v>25.238777973763586</c:v>
                </c:pt>
                <c:pt idx="4">
                  <c:v>25.648706528206137</c:v>
                </c:pt>
                <c:pt idx="5">
                  <c:v>25.174887948751962</c:v>
                </c:pt>
                <c:pt idx="6">
                  <c:v>29.92352588559503</c:v>
                </c:pt>
                <c:pt idx="7">
                  <c:v>30.166101261429013</c:v>
                </c:pt>
                <c:pt idx="8">
                  <c:v>29.947102458426755</c:v>
                </c:pt>
                <c:pt idx="9">
                  <c:v>26.436201261927216</c:v>
                </c:pt>
                <c:pt idx="10">
                  <c:v>27.05197350180396</c:v>
                </c:pt>
                <c:pt idx="11">
                  <c:v>28.940972356826432</c:v>
                </c:pt>
                <c:pt idx="12">
                  <c:v>30.097244233791461</c:v>
                </c:pt>
                <c:pt idx="13">
                  <c:v>30.414561981022111</c:v>
                </c:pt>
                <c:pt idx="14">
                  <c:v>29.901924032947729</c:v>
                </c:pt>
                <c:pt idx="15">
                  <c:v>29.199341142981812</c:v>
                </c:pt>
                <c:pt idx="16">
                  <c:v>30.153750851889573</c:v>
                </c:pt>
                <c:pt idx="17">
                  <c:v>28.950762269853701</c:v>
                </c:pt>
                <c:pt idx="18">
                  <c:v>25.243967752522018</c:v>
                </c:pt>
                <c:pt idx="19">
                  <c:v>25.620439894965731</c:v>
                </c:pt>
                <c:pt idx="20">
                  <c:v>24.563760949247051</c:v>
                </c:pt>
              </c:numCache>
            </c:numRef>
          </c:val>
          <c:extLst>
            <c:ext xmlns:c16="http://schemas.microsoft.com/office/drawing/2014/chart" uri="{C3380CC4-5D6E-409C-BE32-E72D297353CC}">
              <c16:uniqueId val="{00000001-6436-4888-9C65-D4DB63DAEF4F}"/>
            </c:ext>
          </c:extLst>
        </c:ser>
        <c:ser>
          <c:idx val="2"/>
          <c:order val="2"/>
          <c:tx>
            <c:strRef>
              <c:f>'Export-Import'!$A$28</c:f>
              <c:strCache>
                <c:ptCount val="1"/>
                <c:pt idx="0">
                  <c:v>Média Baixa</c:v>
                </c:pt>
              </c:strCache>
            </c:strRef>
          </c:tx>
          <c:spPr>
            <a:solidFill>
              <a:srgbClr val="FFFF00"/>
            </a:solidFill>
            <a:ln>
              <a:solidFill>
                <a:srgbClr val="FFFF00"/>
              </a:solidFill>
            </a:ln>
            <a:effectLst/>
          </c:spPr>
          <c:invertIfNegative val="0"/>
          <c:cat>
            <c:numRef>
              <c:f>'Export-Import'!$B$25:$V$25</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'Export-Import'!$B$28:$V$28</c:f>
              <c:numCache>
                <c:formatCode>#,##0.00</c:formatCode>
                <c:ptCount val="21"/>
                <c:pt idx="0">
                  <c:v>8.7802791426151607</c:v>
                </c:pt>
                <c:pt idx="1">
                  <c:v>7.3199422814881592</c:v>
                </c:pt>
                <c:pt idx="2">
                  <c:v>6.9344904604371562</c:v>
                </c:pt>
                <c:pt idx="3">
                  <c:v>6.9241270313329411</c:v>
                </c:pt>
                <c:pt idx="4">
                  <c:v>7.6071382299103787</c:v>
                </c:pt>
                <c:pt idx="5">
                  <c:v>7.6617509827690791</c:v>
                </c:pt>
                <c:pt idx="6">
                  <c:v>7.6543208834091656</c:v>
                </c:pt>
                <c:pt idx="7">
                  <c:v>6.6133214368025719</c:v>
                </c:pt>
                <c:pt idx="8">
                  <c:v>6.4620699558547701</c:v>
                </c:pt>
                <c:pt idx="9">
                  <c:v>5.6567977194424213</c:v>
                </c:pt>
                <c:pt idx="10">
                  <c:v>6.4668750795183865</c:v>
                </c:pt>
                <c:pt idx="11">
                  <c:v>5.9288705041005523</c:v>
                </c:pt>
                <c:pt idx="12">
                  <c:v>5.3380680803793021</c:v>
                </c:pt>
                <c:pt idx="13">
                  <c:v>6.7178608219455924</c:v>
                </c:pt>
                <c:pt idx="14">
                  <c:v>6.9235430712277086</c:v>
                </c:pt>
                <c:pt idx="15">
                  <c:v>6.97786622527678</c:v>
                </c:pt>
                <c:pt idx="16">
                  <c:v>6.2488261202738569</c:v>
                </c:pt>
                <c:pt idx="17">
                  <c:v>7.7391513167818369</c:v>
                </c:pt>
                <c:pt idx="18">
                  <c:v>7.9205082739219819</c:v>
                </c:pt>
                <c:pt idx="19">
                  <c:v>6.6580960471829345</c:v>
                </c:pt>
                <c:pt idx="20">
                  <c:v>6.5097674347150507</c:v>
                </c:pt>
              </c:numCache>
            </c:numRef>
          </c:val>
          <c:extLst>
            <c:ext xmlns:c16="http://schemas.microsoft.com/office/drawing/2014/chart" uri="{C3380CC4-5D6E-409C-BE32-E72D297353CC}">
              <c16:uniqueId val="{00000002-6436-4888-9C65-D4DB63DAEF4F}"/>
            </c:ext>
          </c:extLst>
        </c:ser>
        <c:ser>
          <c:idx val="3"/>
          <c:order val="3"/>
          <c:tx>
            <c:strRef>
              <c:f>'Export-Import'!$A$29</c:f>
              <c:strCache>
                <c:ptCount val="1"/>
                <c:pt idx="0">
                  <c:v>Baixa</c:v>
                </c:pt>
              </c:strCache>
            </c:strRef>
          </c:tx>
          <c:spPr>
            <a:solidFill>
              <a:srgbClr val="FF0000"/>
            </a:solidFill>
            <a:ln>
              <a:solidFill>
                <a:srgbClr val="FF0000"/>
              </a:solidFill>
            </a:ln>
            <a:effectLst/>
          </c:spPr>
          <c:invertIfNegative val="0"/>
          <c:cat>
            <c:numRef>
              <c:f>'Export-Import'!$B$25:$V$25</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'Export-Import'!$B$29:$V$29</c:f>
              <c:numCache>
                <c:formatCode>#,##0.00</c:formatCode>
                <c:ptCount val="21"/>
                <c:pt idx="0">
                  <c:v>64.812781046593756</c:v>
                </c:pt>
                <c:pt idx="1">
                  <c:v>68.786598696322159</c:v>
                </c:pt>
                <c:pt idx="2">
                  <c:v>68.832365672580039</c:v>
                </c:pt>
                <c:pt idx="3">
                  <c:v>67.312826933492772</c:v>
                </c:pt>
                <c:pt idx="4">
                  <c:v>66.009003276487505</c:v>
                </c:pt>
                <c:pt idx="5">
                  <c:v>66.412400807081283</c:v>
                </c:pt>
                <c:pt idx="6">
                  <c:v>61.460528398595905</c:v>
                </c:pt>
                <c:pt idx="7">
                  <c:v>62.19904745393243</c:v>
                </c:pt>
                <c:pt idx="8">
                  <c:v>62.71791001757552</c:v>
                </c:pt>
                <c:pt idx="9">
                  <c:v>66.99606661332615</c:v>
                </c:pt>
                <c:pt idx="10">
                  <c:v>65.440373638123233</c:v>
                </c:pt>
                <c:pt idx="11">
                  <c:v>64.273907060379756</c:v>
                </c:pt>
                <c:pt idx="12">
                  <c:v>63.695103318980131</c:v>
                </c:pt>
                <c:pt idx="13">
                  <c:v>62.069262581265981</c:v>
                </c:pt>
                <c:pt idx="14">
                  <c:v>62.387419967595171</c:v>
                </c:pt>
                <c:pt idx="15">
                  <c:v>63.007143894255755</c:v>
                </c:pt>
                <c:pt idx="16">
                  <c:v>62.909249567131155</c:v>
                </c:pt>
                <c:pt idx="17">
                  <c:v>62.65553432782098</c:v>
                </c:pt>
                <c:pt idx="18">
                  <c:v>66.233353611207306</c:v>
                </c:pt>
                <c:pt idx="19">
                  <c:v>67.062979844304635</c:v>
                </c:pt>
                <c:pt idx="20">
                  <c:v>68.180314176097497</c:v>
                </c:pt>
              </c:numCache>
            </c:numRef>
          </c:val>
          <c:extLst>
            <c:ext xmlns:c16="http://schemas.microsoft.com/office/drawing/2014/chart" uri="{C3380CC4-5D6E-409C-BE32-E72D297353CC}">
              <c16:uniqueId val="{00000003-6436-4888-9C65-D4DB63DAEF4F}"/>
            </c:ext>
          </c:extLst>
        </c:ser>
        <c:dLbls>
          <c:showLegendKey val="0"/>
          <c:showVal val="0"/>
          <c:showCatName val="0"/>
          <c:showSerName val="0"/>
          <c:showPercent val="0"/>
          <c:showBubbleSize val="0"/>
        </c:dLbls>
        <c:gapWidth val="150"/>
        <c:overlap val="100"/>
        <c:axId val="747039023"/>
        <c:axId val="747040271"/>
      </c:barChart>
      <c:lineChart>
        <c:grouping val="standard"/>
        <c:varyColors val="0"/>
        <c:ser>
          <c:idx val="4"/>
          <c:order val="4"/>
          <c:tx>
            <c:strRef>
              <c:f>'Export-Import'!$A$30</c:f>
              <c:strCache>
                <c:ptCount val="1"/>
                <c:pt idx="0">
                  <c:v>Total (milhões0</c:v>
                </c:pt>
              </c:strCache>
            </c:strRef>
          </c:tx>
          <c:spPr>
            <a:ln w="28575" cap="rnd">
              <a:solidFill>
                <a:schemeClr val="tx1"/>
              </a:solidFill>
              <a:round/>
            </a:ln>
            <a:effectLst/>
          </c:spPr>
          <c:marker>
            <c:symbol val="none"/>
          </c:marker>
          <c:val>
            <c:numRef>
              <c:f>'Export-Import'!$B$30:$V$30</c:f>
              <c:numCache>
                <c:formatCode>#,##0.00</c:formatCode>
                <c:ptCount val="21"/>
                <c:pt idx="0">
                  <c:v>4319.2784669918501</c:v>
                </c:pt>
                <c:pt idx="1">
                  <c:v>4768.7960006954854</c:v>
                </c:pt>
                <c:pt idx="2">
                  <c:v>5077.790412071975</c:v>
                </c:pt>
                <c:pt idx="3">
                  <c:v>5624.6862375647352</c:v>
                </c:pt>
                <c:pt idx="4">
                  <c:v>6941.7504454496475</c:v>
                </c:pt>
                <c:pt idx="5">
                  <c:v>7483.3476052308861</c:v>
                </c:pt>
                <c:pt idx="6">
                  <c:v>7675.5963536086156</c:v>
                </c:pt>
                <c:pt idx="7">
                  <c:v>8691.8149191625016</c:v>
                </c:pt>
                <c:pt idx="8">
                  <c:v>8998.8916943823097</c:v>
                </c:pt>
                <c:pt idx="9">
                  <c:v>7716.6295660099167</c:v>
                </c:pt>
                <c:pt idx="10">
                  <c:v>8479.961030036271</c:v>
                </c:pt>
                <c:pt idx="11">
                  <c:v>9679.1087190007092</c:v>
                </c:pt>
                <c:pt idx="12">
                  <c:v>9210.6551235853349</c:v>
                </c:pt>
                <c:pt idx="13">
                  <c:v>8739.5452347019036</c:v>
                </c:pt>
                <c:pt idx="14">
                  <c:v>8595.4848598020126</c:v>
                </c:pt>
                <c:pt idx="15">
                  <c:v>7512.2110053813358</c:v>
                </c:pt>
                <c:pt idx="16">
                  <c:v>7395.633230378894</c:v>
                </c:pt>
                <c:pt idx="17">
                  <c:v>8038.7222378858278</c:v>
                </c:pt>
                <c:pt idx="18">
                  <c:v>8350.2521207205609</c:v>
                </c:pt>
                <c:pt idx="19">
                  <c:v>8123.126606505778</c:v>
                </c:pt>
                <c:pt idx="20">
                  <c:v>7290.1530009999997</c:v>
                </c:pt>
              </c:numCache>
            </c:numRef>
          </c:val>
          <c:smooth val="0"/>
          <c:extLst>
            <c:ext xmlns:c16="http://schemas.microsoft.com/office/drawing/2014/chart" uri="{C3380CC4-5D6E-409C-BE32-E72D297353CC}">
              <c16:uniqueId val="{00000004-6436-4888-9C65-D4DB63DAEF4F}"/>
            </c:ext>
          </c:extLst>
        </c:ser>
        <c:dLbls>
          <c:showLegendKey val="0"/>
          <c:showVal val="0"/>
          <c:showCatName val="0"/>
          <c:showSerName val="0"/>
          <c:showPercent val="0"/>
          <c:showBubbleSize val="0"/>
        </c:dLbls>
        <c:marker val="1"/>
        <c:smooth val="0"/>
        <c:axId val="623332543"/>
        <c:axId val="623341695"/>
      </c:lineChart>
      <c:catAx>
        <c:axId val="747039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solidFill>
                <a:latin typeface="+mn-lt"/>
                <a:ea typeface="+mn-ea"/>
                <a:cs typeface="+mn-cs"/>
              </a:defRPr>
            </a:pPr>
            <a:endParaRPr lang="pt-BR"/>
          </a:p>
        </c:txPr>
        <c:crossAx val="747040271"/>
        <c:crosses val="autoZero"/>
        <c:auto val="1"/>
        <c:lblAlgn val="ctr"/>
        <c:lblOffset val="100"/>
        <c:noMultiLvlLbl val="0"/>
      </c:catAx>
      <c:valAx>
        <c:axId val="7470402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mn-lt"/>
                <a:ea typeface="+mn-ea"/>
                <a:cs typeface="+mn-cs"/>
              </a:defRPr>
            </a:pPr>
            <a:endParaRPr lang="pt-BR"/>
          </a:p>
        </c:txPr>
        <c:crossAx val="747039023"/>
        <c:crosses val="autoZero"/>
        <c:crossBetween val="between"/>
      </c:valAx>
      <c:valAx>
        <c:axId val="623341695"/>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mn-lt"/>
                <a:ea typeface="+mn-ea"/>
                <a:cs typeface="+mn-cs"/>
              </a:defRPr>
            </a:pPr>
            <a:endParaRPr lang="pt-BR"/>
          </a:p>
        </c:txPr>
        <c:crossAx val="623332543"/>
        <c:crosses val="max"/>
        <c:crossBetween val="between"/>
      </c:valAx>
      <c:catAx>
        <c:axId val="623332543"/>
        <c:scaling>
          <c:orientation val="minMax"/>
        </c:scaling>
        <c:delete val="1"/>
        <c:axPos val="b"/>
        <c:majorTickMark val="out"/>
        <c:minorTickMark val="none"/>
        <c:tickLblPos val="nextTo"/>
        <c:crossAx val="623341695"/>
        <c:crosses val="autoZero"/>
        <c:auto val="1"/>
        <c:lblAlgn val="ctr"/>
        <c:lblOffset val="100"/>
        <c:noMultiLvlLbl val="0"/>
      </c:catAx>
      <c:spPr>
        <a:noFill/>
        <a:ln>
          <a:noFill/>
        </a:ln>
        <a:effectLst/>
      </c:spPr>
    </c:plotArea>
    <c:legend>
      <c:legendPos val="b"/>
      <c:layout>
        <c:manualLayout>
          <c:xMode val="edge"/>
          <c:yMode val="edge"/>
          <c:x val="3.67578011081948E-2"/>
          <c:y val="0.78929233810512756"/>
          <c:w val="0.94037328667249931"/>
          <c:h val="0.16839454482858193"/>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'Export-Import'!$A$34</c:f>
              <c:strCache>
                <c:ptCount val="1"/>
                <c:pt idx="0">
                  <c:v>Alta</c:v>
                </c:pt>
              </c:strCache>
            </c:strRef>
          </c:tx>
          <c:spPr>
            <a:solidFill>
              <a:srgbClr val="0070C0"/>
            </a:solidFill>
            <a:ln>
              <a:solidFill>
                <a:srgbClr val="0070C0"/>
              </a:solidFill>
            </a:ln>
            <a:effectLst/>
          </c:spPr>
          <c:invertIfNegative val="0"/>
          <c:cat>
            <c:numRef>
              <c:f>'Export-Import'!$B$33:$V$33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'Export-Import'!$B$34:$V$34</c:f>
              <c:numCache>
                <c:formatCode>#,##0.00</c:formatCode>
                <c:ptCount val="21"/>
                <c:pt idx="0">
                  <c:v>8.0845433588977667</c:v>
                </c:pt>
                <c:pt idx="1">
                  <c:v>10.108464164505271</c:v>
                </c:pt>
                <c:pt idx="2">
                  <c:v>6.8817091653246036</c:v>
                </c:pt>
                <c:pt idx="3">
                  <c:v>7.0511769008855332</c:v>
                </c:pt>
                <c:pt idx="4">
                  <c:v>6.140291049340175</c:v>
                </c:pt>
                <c:pt idx="5">
                  <c:v>8.4377511215604262</c:v>
                </c:pt>
                <c:pt idx="6">
                  <c:v>10.202329796669121</c:v>
                </c:pt>
                <c:pt idx="7">
                  <c:v>10.213812243290505</c:v>
                </c:pt>
                <c:pt idx="8">
                  <c:v>9.8173217319982076</c:v>
                </c:pt>
                <c:pt idx="9">
                  <c:v>12.543547394334414</c:v>
                </c:pt>
                <c:pt idx="10">
                  <c:v>10.223735164119677</c:v>
                </c:pt>
                <c:pt idx="11">
                  <c:v>10.037532051967879</c:v>
                </c:pt>
                <c:pt idx="12">
                  <c:v>10.099647899760415</c:v>
                </c:pt>
                <c:pt idx="13">
                  <c:v>9.63363687743432</c:v>
                </c:pt>
                <c:pt idx="14">
                  <c:v>9.8137114933653198</c:v>
                </c:pt>
                <c:pt idx="15">
                  <c:v>10.004177634164082</c:v>
                </c:pt>
                <c:pt idx="16">
                  <c:v>10.771775321324338</c:v>
                </c:pt>
                <c:pt idx="17">
                  <c:v>10.272839113143064</c:v>
                </c:pt>
                <c:pt idx="18">
                  <c:v>9.7847668265036418</c:v>
                </c:pt>
                <c:pt idx="19">
                  <c:v>9.9047550503031125</c:v>
                </c:pt>
                <c:pt idx="20">
                  <c:v>11.893126555651927</c:v>
                </c:pt>
              </c:numCache>
            </c:numRef>
          </c:val>
          <c:extLst>
            <c:ext xmlns:c16="http://schemas.microsoft.com/office/drawing/2014/chart" uri="{C3380CC4-5D6E-409C-BE32-E72D297353CC}">
              <c16:uniqueId val="{00000000-AAB9-4FCE-8B86-F24984D42A17}"/>
            </c:ext>
          </c:extLst>
        </c:ser>
        <c:ser>
          <c:idx val="1"/>
          <c:order val="1"/>
          <c:tx>
            <c:strRef>
              <c:f>'Export-Import'!$A$35</c:f>
              <c:strCache>
                <c:ptCount val="1"/>
                <c:pt idx="0">
                  <c:v>Média Alta</c:v>
                </c:pt>
              </c:strCache>
            </c:strRef>
          </c:tx>
          <c:spPr>
            <a:solidFill>
              <a:schemeClr val="accent1">
                <a:lumMod val="60000"/>
                <a:lumOff val="40000"/>
              </a:schemeClr>
            </a:solidFill>
            <a:ln>
              <a:solidFill>
                <a:schemeClr val="accent1">
                  <a:lumMod val="60000"/>
                  <a:lumOff val="40000"/>
                </a:schemeClr>
              </a:solidFill>
            </a:ln>
            <a:effectLst/>
          </c:spPr>
          <c:invertIfNegative val="0"/>
          <c:cat>
            <c:numRef>
              <c:f>'Export-Import'!$B$33:$V$33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'Export-Import'!$B$35:$V$35</c:f>
              <c:numCache>
                <c:formatCode>#,##0.00</c:formatCode>
                <c:ptCount val="21"/>
                <c:pt idx="0">
                  <c:v>63.160601699097455</c:v>
                </c:pt>
                <c:pt idx="1">
                  <c:v>60.075356927858039</c:v>
                </c:pt>
                <c:pt idx="2">
                  <c:v>65.689253402767207</c:v>
                </c:pt>
                <c:pt idx="3">
                  <c:v>61.914126074064768</c:v>
                </c:pt>
                <c:pt idx="4">
                  <c:v>58.023607261230481</c:v>
                </c:pt>
                <c:pt idx="5">
                  <c:v>51.442569107726399</c:v>
                </c:pt>
                <c:pt idx="6">
                  <c:v>44.00760510974753</c:v>
                </c:pt>
                <c:pt idx="7">
                  <c:v>43.323854912947347</c:v>
                </c:pt>
                <c:pt idx="8">
                  <c:v>40.414381976980174</c:v>
                </c:pt>
                <c:pt idx="9">
                  <c:v>38.71318040406608</c:v>
                </c:pt>
                <c:pt idx="10">
                  <c:v>36.834609711736647</c:v>
                </c:pt>
                <c:pt idx="11">
                  <c:v>36.284855240115789</c:v>
                </c:pt>
                <c:pt idx="12">
                  <c:v>34.857099315714073</c:v>
                </c:pt>
                <c:pt idx="13">
                  <c:v>38.479860072118264</c:v>
                </c:pt>
                <c:pt idx="14">
                  <c:v>40.044107484055544</c:v>
                </c:pt>
                <c:pt idx="15">
                  <c:v>41.648067324966867</c:v>
                </c:pt>
                <c:pt idx="16">
                  <c:v>42.875098255575047</c:v>
                </c:pt>
                <c:pt idx="17">
                  <c:v>41.395022809603837</c:v>
                </c:pt>
                <c:pt idx="18">
                  <c:v>43.810665409776263</c:v>
                </c:pt>
                <c:pt idx="19">
                  <c:v>44.881190103182611</c:v>
                </c:pt>
                <c:pt idx="20">
                  <c:v>43.537547644725763</c:v>
                </c:pt>
              </c:numCache>
            </c:numRef>
          </c:val>
          <c:extLst>
            <c:ext xmlns:c16="http://schemas.microsoft.com/office/drawing/2014/chart" uri="{C3380CC4-5D6E-409C-BE32-E72D297353CC}">
              <c16:uniqueId val="{00000001-AAB9-4FCE-8B86-F24984D42A17}"/>
            </c:ext>
          </c:extLst>
        </c:ser>
        <c:ser>
          <c:idx val="2"/>
          <c:order val="2"/>
          <c:tx>
            <c:strRef>
              <c:f>'Export-Import'!$A$36</c:f>
              <c:strCache>
                <c:ptCount val="1"/>
                <c:pt idx="0">
                  <c:v>Média Baixa</c:v>
                </c:pt>
              </c:strCache>
            </c:strRef>
          </c:tx>
          <c:spPr>
            <a:solidFill>
              <a:srgbClr val="FFFF00"/>
            </a:solidFill>
            <a:ln>
              <a:solidFill>
                <a:srgbClr val="FFFF00"/>
              </a:solidFill>
            </a:ln>
            <a:effectLst/>
          </c:spPr>
          <c:invertIfNegative val="0"/>
          <c:cat>
            <c:numRef>
              <c:f>'Export-Import'!$B$33:$V$33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'Export-Import'!$B$36:$V$36</c:f>
              <c:numCache>
                <c:formatCode>#,##0.00</c:formatCode>
                <c:ptCount val="21"/>
                <c:pt idx="0">
                  <c:v>10.037189979994363</c:v>
                </c:pt>
                <c:pt idx="1">
                  <c:v>11.278845625513352</c:v>
                </c:pt>
                <c:pt idx="2">
                  <c:v>9.053335943122585</c:v>
                </c:pt>
                <c:pt idx="3">
                  <c:v>11.557636849143679</c:v>
                </c:pt>
                <c:pt idx="4">
                  <c:v>18.936687846725032</c:v>
                </c:pt>
                <c:pt idx="5">
                  <c:v>22.803808607769156</c:v>
                </c:pt>
                <c:pt idx="6">
                  <c:v>28.460218839251134</c:v>
                </c:pt>
                <c:pt idx="7">
                  <c:v>28.421303525426673</c:v>
                </c:pt>
                <c:pt idx="8">
                  <c:v>32.225481113663577</c:v>
                </c:pt>
                <c:pt idx="9">
                  <c:v>27.107922984077522</c:v>
                </c:pt>
                <c:pt idx="10">
                  <c:v>34.80510255258973</c:v>
                </c:pt>
                <c:pt idx="11">
                  <c:v>33.569502553548297</c:v>
                </c:pt>
                <c:pt idx="12">
                  <c:v>32.404850130144141</c:v>
                </c:pt>
                <c:pt idx="13">
                  <c:v>27.569150733377157</c:v>
                </c:pt>
                <c:pt idx="14">
                  <c:v>26.242641049676056</c:v>
                </c:pt>
                <c:pt idx="15">
                  <c:v>23.423104445868191</c:v>
                </c:pt>
                <c:pt idx="16">
                  <c:v>22.265365254546545</c:v>
                </c:pt>
                <c:pt idx="17">
                  <c:v>24.207779592280829</c:v>
                </c:pt>
                <c:pt idx="18">
                  <c:v>23.45506815505858</c:v>
                </c:pt>
                <c:pt idx="19">
                  <c:v>22.40672559695631</c:v>
                </c:pt>
                <c:pt idx="20">
                  <c:v>22.80006230783534</c:v>
                </c:pt>
              </c:numCache>
            </c:numRef>
          </c:val>
          <c:extLst>
            <c:ext xmlns:c16="http://schemas.microsoft.com/office/drawing/2014/chart" uri="{C3380CC4-5D6E-409C-BE32-E72D297353CC}">
              <c16:uniqueId val="{00000002-AAB9-4FCE-8B86-F24984D42A17}"/>
            </c:ext>
          </c:extLst>
        </c:ser>
        <c:ser>
          <c:idx val="3"/>
          <c:order val="3"/>
          <c:tx>
            <c:strRef>
              <c:f>'Export-Import'!$A$37</c:f>
              <c:strCache>
                <c:ptCount val="1"/>
                <c:pt idx="0">
                  <c:v>Baixa</c:v>
                </c:pt>
              </c:strCache>
            </c:strRef>
          </c:tx>
          <c:spPr>
            <a:solidFill>
              <a:srgbClr val="FF0000"/>
            </a:solidFill>
            <a:ln>
              <a:solidFill>
                <a:srgbClr val="FF0000"/>
              </a:solidFill>
            </a:ln>
            <a:effectLst/>
          </c:spPr>
          <c:invertIfNegative val="0"/>
          <c:cat>
            <c:numRef>
              <c:f>'Export-Import'!$B$33:$V$33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'Export-Import'!$B$37:$V$37</c:f>
              <c:numCache>
                <c:formatCode>#,##0.00</c:formatCode>
                <c:ptCount val="21"/>
                <c:pt idx="0">
                  <c:v>18.717664962010431</c:v>
                </c:pt>
                <c:pt idx="1">
                  <c:v>18.537333282123335</c:v>
                </c:pt>
                <c:pt idx="2">
                  <c:v>18.375701488785623</c:v>
                </c:pt>
                <c:pt idx="3">
                  <c:v>19.477060175906015</c:v>
                </c:pt>
                <c:pt idx="4">
                  <c:v>16.899413842704313</c:v>
                </c:pt>
                <c:pt idx="5">
                  <c:v>17.315871162944021</c:v>
                </c:pt>
                <c:pt idx="6">
                  <c:v>17.329846254332217</c:v>
                </c:pt>
                <c:pt idx="7">
                  <c:v>18.041029318335479</c:v>
                </c:pt>
                <c:pt idx="8">
                  <c:v>17.542815177358044</c:v>
                </c:pt>
                <c:pt idx="9">
                  <c:v>21.635349217521981</c:v>
                </c:pt>
                <c:pt idx="10">
                  <c:v>18.136552571553956</c:v>
                </c:pt>
                <c:pt idx="11">
                  <c:v>20.108110154368042</c:v>
                </c:pt>
                <c:pt idx="12">
                  <c:v>22.638402654381377</c:v>
                </c:pt>
                <c:pt idx="13">
                  <c:v>24.317352317070256</c:v>
                </c:pt>
                <c:pt idx="14">
                  <c:v>23.899539972903078</c:v>
                </c:pt>
                <c:pt idx="15">
                  <c:v>24.924650595000848</c:v>
                </c:pt>
                <c:pt idx="16">
                  <c:v>24.087761168554074</c:v>
                </c:pt>
                <c:pt idx="17">
                  <c:v>24.124358484972269</c:v>
                </c:pt>
                <c:pt idx="18">
                  <c:v>22.949499608661522</c:v>
                </c:pt>
                <c:pt idx="19">
                  <c:v>22.807329249557966</c:v>
                </c:pt>
                <c:pt idx="20">
                  <c:v>21.769263491786965</c:v>
                </c:pt>
              </c:numCache>
            </c:numRef>
          </c:val>
          <c:extLst>
            <c:ext xmlns:c16="http://schemas.microsoft.com/office/drawing/2014/chart" uri="{C3380CC4-5D6E-409C-BE32-E72D297353CC}">
              <c16:uniqueId val="{00000003-AAB9-4FCE-8B86-F24984D42A17}"/>
            </c:ext>
          </c:extLst>
        </c:ser>
        <c:dLbls>
          <c:showLegendKey val="0"/>
          <c:showVal val="0"/>
          <c:showCatName val="0"/>
          <c:showSerName val="0"/>
          <c:showPercent val="0"/>
          <c:showBubbleSize val="0"/>
        </c:dLbls>
        <c:gapWidth val="150"/>
        <c:overlap val="100"/>
        <c:axId val="814260095"/>
        <c:axId val="814273407"/>
      </c:barChart>
      <c:lineChart>
        <c:grouping val="standard"/>
        <c:varyColors val="0"/>
        <c:ser>
          <c:idx val="4"/>
          <c:order val="4"/>
          <c:tx>
            <c:strRef>
              <c:f>'Export-Import'!$A$38</c:f>
              <c:strCache>
                <c:ptCount val="1"/>
                <c:pt idx="0">
                  <c:v>Total (milhões)</c:v>
                </c:pt>
              </c:strCache>
            </c:strRef>
          </c:tx>
          <c:spPr>
            <a:ln w="28575" cap="rnd">
              <a:solidFill>
                <a:schemeClr val="tx1"/>
              </a:solidFill>
              <a:round/>
            </a:ln>
            <a:effectLst/>
          </c:spPr>
          <c:marker>
            <c:symbol val="none"/>
          </c:marker>
          <c:val>
            <c:numRef>
              <c:f>'Export-Import'!$B$38:$V$38</c:f>
              <c:numCache>
                <c:formatCode>#,##0.00</c:formatCode>
                <c:ptCount val="21"/>
                <c:pt idx="0">
                  <c:v>1360.1639054158691</c:v>
                </c:pt>
                <c:pt idx="1">
                  <c:v>1219.2144308362842</c:v>
                </c:pt>
                <c:pt idx="2">
                  <c:v>1341.8455428640766</c:v>
                </c:pt>
                <c:pt idx="3">
                  <c:v>1290.4122089396965</c:v>
                </c:pt>
                <c:pt idx="4">
                  <c:v>2014.5027825768366</c:v>
                </c:pt>
                <c:pt idx="5">
                  <c:v>2706.6584000213475</c:v>
                </c:pt>
                <c:pt idx="6">
                  <c:v>4097.6256094850542</c:v>
                </c:pt>
                <c:pt idx="7">
                  <c:v>5841.459699481743</c:v>
                </c:pt>
                <c:pt idx="8">
                  <c:v>8530.1630097298294</c:v>
                </c:pt>
                <c:pt idx="9">
                  <c:v>8502.1276467740263</c:v>
                </c:pt>
                <c:pt idx="10">
                  <c:v>13056.812997199993</c:v>
                </c:pt>
                <c:pt idx="11">
                  <c:v>15675.89435552772</c:v>
                </c:pt>
                <c:pt idx="12">
                  <c:v>15378.416280067062</c:v>
                </c:pt>
                <c:pt idx="13">
                  <c:v>15560.19639246977</c:v>
                </c:pt>
                <c:pt idx="14">
                  <c:v>16822.75447450042</c:v>
                </c:pt>
                <c:pt idx="15">
                  <c:v>13309.78610208427</c:v>
                </c:pt>
                <c:pt idx="16">
                  <c:v>10626.065289266582</c:v>
                </c:pt>
                <c:pt idx="17">
                  <c:v>12724.479498563354</c:v>
                </c:pt>
                <c:pt idx="18">
                  <c:v>15248.991415692284</c:v>
                </c:pt>
                <c:pt idx="19">
                  <c:v>16369.041037856536</c:v>
                </c:pt>
                <c:pt idx="20">
                  <c:v>15453.793167</c:v>
                </c:pt>
              </c:numCache>
            </c:numRef>
          </c:val>
          <c:smooth val="0"/>
          <c:extLst>
            <c:ext xmlns:c16="http://schemas.microsoft.com/office/drawing/2014/chart" uri="{C3380CC4-5D6E-409C-BE32-E72D297353CC}">
              <c16:uniqueId val="{00000004-AAB9-4FCE-8B86-F24984D42A17}"/>
            </c:ext>
          </c:extLst>
        </c:ser>
        <c:dLbls>
          <c:showLegendKey val="0"/>
          <c:showVal val="0"/>
          <c:showCatName val="0"/>
          <c:showSerName val="0"/>
          <c:showPercent val="0"/>
          <c:showBubbleSize val="0"/>
        </c:dLbls>
        <c:marker val="1"/>
        <c:smooth val="0"/>
        <c:axId val="809713823"/>
        <c:axId val="528644335"/>
      </c:lineChart>
      <c:catAx>
        <c:axId val="814260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solidFill>
                <a:latin typeface="+mn-lt"/>
                <a:ea typeface="+mn-ea"/>
                <a:cs typeface="+mn-cs"/>
              </a:defRPr>
            </a:pPr>
            <a:endParaRPr lang="pt-BR"/>
          </a:p>
        </c:txPr>
        <c:crossAx val="814273407"/>
        <c:crosses val="autoZero"/>
        <c:auto val="1"/>
        <c:lblAlgn val="ctr"/>
        <c:lblOffset val="100"/>
        <c:noMultiLvlLbl val="0"/>
      </c:catAx>
      <c:valAx>
        <c:axId val="8142734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mn-lt"/>
                <a:ea typeface="+mn-ea"/>
                <a:cs typeface="+mn-cs"/>
              </a:defRPr>
            </a:pPr>
            <a:endParaRPr lang="pt-BR"/>
          </a:p>
        </c:txPr>
        <c:crossAx val="814260095"/>
        <c:crosses val="autoZero"/>
        <c:crossBetween val="between"/>
      </c:valAx>
      <c:valAx>
        <c:axId val="528644335"/>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mn-lt"/>
                <a:ea typeface="+mn-ea"/>
                <a:cs typeface="+mn-cs"/>
              </a:defRPr>
            </a:pPr>
            <a:endParaRPr lang="pt-BR"/>
          </a:p>
        </c:txPr>
        <c:crossAx val="809713823"/>
        <c:crosses val="max"/>
        <c:crossBetween val="between"/>
      </c:valAx>
      <c:catAx>
        <c:axId val="809713823"/>
        <c:scaling>
          <c:orientation val="minMax"/>
        </c:scaling>
        <c:delete val="1"/>
        <c:axPos val="b"/>
        <c:majorTickMark val="out"/>
        <c:minorTickMark val="none"/>
        <c:tickLblPos val="nextTo"/>
        <c:crossAx val="52864433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500" b="0" i="0" u="none" strike="noStrike" kern="1200" baseline="0">
              <a:solidFill>
                <a:schemeClr val="tx1"/>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saldo!$B$1</c:f>
              <c:strCache>
                <c:ptCount val="1"/>
                <c:pt idx="0">
                  <c:v>Alta</c:v>
                </c:pt>
              </c:strCache>
            </c:strRef>
          </c:tx>
          <c:spPr>
            <a:solidFill>
              <a:srgbClr val="0070C0"/>
            </a:solidFill>
            <a:ln>
              <a:solidFill>
                <a:srgbClr val="0070C0"/>
              </a:solidFill>
            </a:ln>
            <a:effectLst/>
          </c:spPr>
          <c:invertIfNegative val="0"/>
          <c:cat>
            <c:numRef>
              <c:f>saldo!$A$2:$A$22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saldo!$B$2:$B$22</c:f>
              <c:numCache>
                <c:formatCode>General</c:formatCode>
                <c:ptCount val="21"/>
                <c:pt idx="0">
                  <c:v>-87.540260966192776</c:v>
                </c:pt>
                <c:pt idx="1">
                  <c:v>-105.96703969896438</c:v>
                </c:pt>
                <c:pt idx="2">
                  <c:v>-68.260431786627791</c:v>
                </c:pt>
                <c:pt idx="3">
                  <c:v>-61.500814104847088</c:v>
                </c:pt>
                <c:pt idx="4">
                  <c:v>-72.663919214667573</c:v>
                </c:pt>
                <c:pt idx="5">
                  <c:v>-172.18413276707213</c:v>
                </c:pt>
                <c:pt idx="6">
                  <c:v>-344.24283794135727</c:v>
                </c:pt>
                <c:pt idx="7">
                  <c:v>-507.84624225464052</c:v>
                </c:pt>
                <c:pt idx="8">
                  <c:v>-758.88064039065955</c:v>
                </c:pt>
                <c:pt idx="9">
                  <c:v>-996.17497725324699</c:v>
                </c:pt>
                <c:pt idx="10">
                  <c:v>-1246.6364315077919</c:v>
                </c:pt>
                <c:pt idx="11">
                  <c:v>-1490.5955443454679</c:v>
                </c:pt>
                <c:pt idx="12">
                  <c:v>-1473.0714798071224</c:v>
                </c:pt>
                <c:pt idx="13">
                  <c:v>-1429.2437509060385</c:v>
                </c:pt>
                <c:pt idx="14">
                  <c:v>-1583.2804167891743</c:v>
                </c:pt>
                <c:pt idx="15">
                  <c:v>-1270.2613901571426</c:v>
                </c:pt>
                <c:pt idx="16">
                  <c:v>-1093.7210933144513</c:v>
                </c:pt>
                <c:pt idx="17">
                  <c:v>-1254.5476828131571</c:v>
                </c:pt>
                <c:pt idx="18">
                  <c:v>-1441.7955099666742</c:v>
                </c:pt>
                <c:pt idx="19">
                  <c:v>-1567.8239125330317</c:v>
                </c:pt>
                <c:pt idx="20">
                  <c:v>-1783.5431599999999</c:v>
                </c:pt>
              </c:numCache>
            </c:numRef>
          </c:val>
          <c:extLst>
            <c:ext xmlns:c16="http://schemas.microsoft.com/office/drawing/2014/chart" uri="{C3380CC4-5D6E-409C-BE32-E72D297353CC}">
              <c16:uniqueId val="{00000000-48DC-4D95-B629-545640663E24}"/>
            </c:ext>
          </c:extLst>
        </c:ser>
        <c:ser>
          <c:idx val="1"/>
          <c:order val="1"/>
          <c:tx>
            <c:strRef>
              <c:f>saldo!$C$1</c:f>
              <c:strCache>
                <c:ptCount val="1"/>
                <c:pt idx="0">
                  <c:v>Média Alta</c:v>
                </c:pt>
              </c:strCache>
            </c:strRef>
          </c:tx>
          <c:spPr>
            <a:solidFill>
              <a:schemeClr val="accent1">
                <a:lumMod val="60000"/>
                <a:lumOff val="40000"/>
              </a:schemeClr>
            </a:solidFill>
            <a:ln>
              <a:solidFill>
                <a:schemeClr val="accent1">
                  <a:lumMod val="60000"/>
                  <a:lumOff val="40000"/>
                </a:schemeClr>
              </a:solidFill>
            </a:ln>
            <a:effectLst/>
          </c:spPr>
          <c:invertIfNegative val="0"/>
          <c:cat>
            <c:numRef>
              <c:f>saldo!$A$2:$A$22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saldo!$C$2:$C$22</c:f>
              <c:numCache>
                <c:formatCode>General</c:formatCode>
                <c:ptCount val="21"/>
                <c:pt idx="0">
                  <c:v>259.07877856516137</c:v>
                </c:pt>
                <c:pt idx="1">
                  <c:v>389.70608310654654</c:v>
                </c:pt>
                <c:pt idx="2">
                  <c:v>324.978460974391</c:v>
                </c:pt>
                <c:pt idx="3">
                  <c:v>620.65462930175249</c:v>
                </c:pt>
                <c:pt idx="4">
                  <c:v>611.58201684487892</c:v>
                </c:pt>
                <c:pt idx="5">
                  <c:v>491.54975649142551</c:v>
                </c:pt>
                <c:pt idx="6">
                  <c:v>493.54216464779449</c:v>
                </c:pt>
                <c:pt idx="7">
                  <c:v>91.236164968794341</c:v>
                </c:pt>
                <c:pt idx="8">
                  <c:v>-752.50534617175629</c:v>
                </c:pt>
                <c:pt idx="9">
                  <c:v>-1251.4602913718447</c:v>
                </c:pt>
                <c:pt idx="10">
                  <c:v>-2515.4292975012072</c:v>
                </c:pt>
                <c:pt idx="11">
                  <c:v>-2886.7473957435423</c:v>
                </c:pt>
                <c:pt idx="12">
                  <c:v>-2588.316467849213</c:v>
                </c:pt>
                <c:pt idx="13">
                  <c:v>-3329.4473965012876</c:v>
                </c:pt>
                <c:pt idx="14">
                  <c:v>-4166.30653050619</c:v>
                </c:pt>
                <c:pt idx="15">
                  <c:v>-3349.7525577632209</c:v>
                </c:pt>
                <c:pt idx="16">
                  <c:v>-2325.8751152665977</c:v>
                </c:pt>
                <c:pt idx="17">
                  <c:v>-2940.0298262094757</c:v>
                </c:pt>
                <c:pt idx="18">
                  <c:v>-4572.749654885467</c:v>
                </c:pt>
                <c:pt idx="19">
                  <c:v>-5265.4396564565859</c:v>
                </c:pt>
                <c:pt idx="20">
                  <c:v>-4937.4668069999998</c:v>
                </c:pt>
              </c:numCache>
            </c:numRef>
          </c:val>
          <c:extLst>
            <c:ext xmlns:c16="http://schemas.microsoft.com/office/drawing/2014/chart" uri="{C3380CC4-5D6E-409C-BE32-E72D297353CC}">
              <c16:uniqueId val="{00000001-48DC-4D95-B629-545640663E24}"/>
            </c:ext>
          </c:extLst>
        </c:ser>
        <c:ser>
          <c:idx val="2"/>
          <c:order val="2"/>
          <c:tx>
            <c:strRef>
              <c:f>saldo!$D$1</c:f>
              <c:strCache>
                <c:ptCount val="1"/>
                <c:pt idx="0">
                  <c:v>Média Baixa</c:v>
                </c:pt>
              </c:strCache>
            </c:strRef>
          </c:tx>
          <c:spPr>
            <a:solidFill>
              <a:srgbClr val="FFFF00"/>
            </a:solidFill>
            <a:ln>
              <a:solidFill>
                <a:srgbClr val="FFFF00"/>
              </a:solidFill>
            </a:ln>
            <a:effectLst/>
          </c:spPr>
          <c:invertIfNegative val="0"/>
          <c:cat>
            <c:numRef>
              <c:f>saldo!$A$2:$A$22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saldo!$D$2:$D$22</c:f>
              <c:numCache>
                <c:formatCode>General</c:formatCode>
                <c:ptCount val="21"/>
                <c:pt idx="0">
                  <c:v>242.72247112285166</c:v>
                </c:pt>
                <c:pt idx="1">
                  <c:v>211.55980127481942</c:v>
                </c:pt>
                <c:pt idx="2">
                  <c:v>230.63710689282186</c:v>
                </c:pt>
                <c:pt idx="3">
                  <c:v>240.31926323662032</c:v>
                </c:pt>
                <c:pt idx="4">
                  <c:v>146.58844836060882</c:v>
                </c:pt>
                <c:pt idx="5">
                  <c:v>-43.865742519171235</c:v>
                </c:pt>
                <c:pt idx="6">
                  <c:v>-578.67844105218796</c:v>
                </c:pt>
                <c:pt idx="7">
                  <c:v>-1085.401332209005</c:v>
                </c:pt>
                <c:pt idx="8">
                  <c:v>-2167.371393122613</c:v>
                </c:pt>
                <c:pt idx="9">
                  <c:v>-1868.2360891875967</c:v>
                </c:pt>
                <c:pt idx="10">
                  <c:v>-3996.048667171036</c:v>
                </c:pt>
                <c:pt idx="11">
                  <c:v>-4688.4579340697537</c:v>
                </c:pt>
                <c:pt idx="12">
                  <c:v>-4491.6817067994898</c:v>
                </c:pt>
                <c:pt idx="13">
                  <c:v>-3702.7035125112538</c:v>
                </c:pt>
                <c:pt idx="14">
                  <c:v>-3819.6229749622134</c:v>
                </c:pt>
                <c:pt idx="15">
                  <c:v>-2593.3730656968182</c:v>
                </c:pt>
                <c:pt idx="16">
                  <c:v>-1903.791987782223</c:v>
                </c:pt>
                <c:pt idx="17">
                  <c:v>-2458.1850733514025</c:v>
                </c:pt>
                <c:pt idx="18">
                  <c:v>-2915.2789193946396</c:v>
                </c:pt>
                <c:pt idx="19">
                  <c:v>-3126.9205367102559</c:v>
                </c:pt>
                <c:pt idx="20">
                  <c:v>-3048.9024650000001</c:v>
                </c:pt>
              </c:numCache>
            </c:numRef>
          </c:val>
          <c:extLst>
            <c:ext xmlns:c16="http://schemas.microsoft.com/office/drawing/2014/chart" uri="{C3380CC4-5D6E-409C-BE32-E72D297353CC}">
              <c16:uniqueId val="{00000002-48DC-4D95-B629-545640663E24}"/>
            </c:ext>
          </c:extLst>
        </c:ser>
        <c:ser>
          <c:idx val="3"/>
          <c:order val="3"/>
          <c:tx>
            <c:strRef>
              <c:f>saldo!$E$1</c:f>
              <c:strCache>
                <c:ptCount val="1"/>
                <c:pt idx="0">
                  <c:v>Baixa</c:v>
                </c:pt>
              </c:strCache>
            </c:strRef>
          </c:tx>
          <c:spPr>
            <a:solidFill>
              <a:srgbClr val="FF0000"/>
            </a:solidFill>
            <a:ln>
              <a:solidFill>
                <a:srgbClr val="FF0000"/>
              </a:solidFill>
            </a:ln>
            <a:effectLst/>
          </c:spPr>
          <c:invertIfNegative val="0"/>
          <c:cat>
            <c:numRef>
              <c:f>saldo!$A$2:$A$22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saldo!$E$2:$E$22</c:f>
              <c:numCache>
                <c:formatCode>General</c:formatCode>
                <c:ptCount val="21"/>
                <c:pt idx="0">
                  <c:v>2544.8535728541601</c:v>
                </c:pt>
                <c:pt idx="1">
                  <c:v>3054.2827251767994</c:v>
                </c:pt>
                <c:pt idx="2">
                  <c:v>3248.5897331273127</c:v>
                </c:pt>
                <c:pt idx="3">
                  <c:v>3534.8009501915139</c:v>
                </c:pt>
                <c:pt idx="4">
                  <c:v>4241.7411168819917</c:v>
                </c:pt>
                <c:pt idx="5">
                  <c:v>4501.1893240043573</c:v>
                </c:pt>
                <c:pt idx="6">
                  <c:v>4007.3498584693116</c:v>
                </c:pt>
                <c:pt idx="7">
                  <c:v>4352.3666291756117</c:v>
                </c:pt>
                <c:pt idx="8">
                  <c:v>4147.4860643375077</c:v>
                </c:pt>
                <c:pt idx="9">
                  <c:v>3330.3732770485794</c:v>
                </c:pt>
                <c:pt idx="10">
                  <c:v>3181.2624290163117</c:v>
                </c:pt>
                <c:pt idx="11">
                  <c:v>3069.0152376317533</c:v>
                </c:pt>
                <c:pt idx="12">
                  <c:v>2385.3084979740961</c:v>
                </c:pt>
                <c:pt idx="13">
                  <c:v>1640.7435021507129</c:v>
                </c:pt>
                <c:pt idx="14">
                  <c:v>1341.9403075591717</c:v>
                </c:pt>
                <c:pt idx="15">
                  <c:v>1415.8119169142485</c:v>
                </c:pt>
                <c:pt idx="16">
                  <c:v>2092.9561374755831</c:v>
                </c:pt>
                <c:pt idx="17">
                  <c:v>1967.0053216965089</c:v>
                </c:pt>
                <c:pt idx="18">
                  <c:v>2031.084789275056</c:v>
                </c:pt>
                <c:pt idx="19">
                  <c:v>1714.2696743491167</c:v>
                </c:pt>
                <c:pt idx="20">
                  <c:v>1606.2722659999999</c:v>
                </c:pt>
              </c:numCache>
            </c:numRef>
          </c:val>
          <c:extLst>
            <c:ext xmlns:c16="http://schemas.microsoft.com/office/drawing/2014/chart" uri="{C3380CC4-5D6E-409C-BE32-E72D297353CC}">
              <c16:uniqueId val="{00000003-48DC-4D95-B629-545640663E24}"/>
            </c:ext>
          </c:extLst>
        </c:ser>
        <c:dLbls>
          <c:showLegendKey val="0"/>
          <c:showVal val="0"/>
          <c:showCatName val="0"/>
          <c:showSerName val="0"/>
          <c:showPercent val="0"/>
          <c:showBubbleSize val="0"/>
        </c:dLbls>
        <c:gapWidth val="150"/>
        <c:overlap val="100"/>
        <c:axId val="535044687"/>
        <c:axId val="535045103"/>
      </c:barChart>
      <c:lineChart>
        <c:grouping val="standard"/>
        <c:varyColors val="0"/>
        <c:ser>
          <c:idx val="4"/>
          <c:order val="4"/>
          <c:tx>
            <c:strRef>
              <c:f>saldo!$F$1</c:f>
              <c:strCache>
                <c:ptCount val="1"/>
                <c:pt idx="0">
                  <c:v>Câmbio Real</c:v>
                </c:pt>
              </c:strCache>
            </c:strRef>
          </c:tx>
          <c:spPr>
            <a:ln w="28575" cap="rnd">
              <a:solidFill>
                <a:schemeClr val="tx1"/>
              </a:solidFill>
              <a:round/>
            </a:ln>
            <a:effectLst/>
          </c:spPr>
          <c:marker>
            <c:symbol val="none"/>
          </c:marker>
          <c:val>
            <c:numRef>
              <c:f>saldo!$F$2:$F$22</c:f>
              <c:numCache>
                <c:formatCode>0.00</c:formatCode>
                <c:ptCount val="21"/>
                <c:pt idx="0">
                  <c:v>139.25194228165199</c:v>
                </c:pt>
                <c:pt idx="1">
                  <c:v>164.80346029260701</c:v>
                </c:pt>
                <c:pt idx="2">
                  <c:v>189.148518017828</c:v>
                </c:pt>
                <c:pt idx="3">
                  <c:v>183.891765502265</c:v>
                </c:pt>
                <c:pt idx="4">
                  <c:v>175.77784708349901</c:v>
                </c:pt>
                <c:pt idx="5">
                  <c:v>144.15158723112799</c:v>
                </c:pt>
                <c:pt idx="6">
                  <c:v>129.26263107870199</c:v>
                </c:pt>
                <c:pt idx="7">
                  <c:v>119.14333037703101</c:v>
                </c:pt>
                <c:pt idx="8">
                  <c:v>113.500755887821</c:v>
                </c:pt>
                <c:pt idx="9">
                  <c:v>114.90241066273001</c:v>
                </c:pt>
                <c:pt idx="10">
                  <c:v>99.999999999999901</c:v>
                </c:pt>
                <c:pt idx="11">
                  <c:v>96.103588394929901</c:v>
                </c:pt>
                <c:pt idx="12">
                  <c:v>106.904573172055</c:v>
                </c:pt>
                <c:pt idx="13">
                  <c:v>113.584916945448</c:v>
                </c:pt>
                <c:pt idx="14">
                  <c:v>117.649010734378</c:v>
                </c:pt>
                <c:pt idx="15">
                  <c:v>142.18591993369</c:v>
                </c:pt>
                <c:pt idx="16">
                  <c:v>135.41401023482101</c:v>
                </c:pt>
                <c:pt idx="17">
                  <c:v>122.255944584337</c:v>
                </c:pt>
                <c:pt idx="18">
                  <c:v>141.27932307512501</c:v>
                </c:pt>
                <c:pt idx="19">
                  <c:v>145.925680735436</c:v>
                </c:pt>
                <c:pt idx="20">
                  <c:v>184.589433492175</c:v>
                </c:pt>
              </c:numCache>
            </c:numRef>
          </c:val>
          <c:smooth val="0"/>
          <c:extLst>
            <c:ext xmlns:c16="http://schemas.microsoft.com/office/drawing/2014/chart" uri="{C3380CC4-5D6E-409C-BE32-E72D297353CC}">
              <c16:uniqueId val="{00000004-48DC-4D95-B629-545640663E24}"/>
            </c:ext>
          </c:extLst>
        </c:ser>
        <c:dLbls>
          <c:showLegendKey val="0"/>
          <c:showVal val="0"/>
          <c:showCatName val="0"/>
          <c:showSerName val="0"/>
          <c:showPercent val="0"/>
          <c:showBubbleSize val="0"/>
        </c:dLbls>
        <c:marker val="1"/>
        <c:smooth val="0"/>
        <c:axId val="288162911"/>
        <c:axId val="625712671"/>
      </c:lineChart>
      <c:catAx>
        <c:axId val="535044687"/>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535045103"/>
        <c:crosses val="autoZero"/>
        <c:auto val="1"/>
        <c:lblAlgn val="ctr"/>
        <c:lblOffset val="100"/>
        <c:noMultiLvlLbl val="0"/>
      </c:catAx>
      <c:valAx>
        <c:axId val="5350451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baseline="0">
                    <a:solidFill>
                      <a:schemeClr val="tx1"/>
                    </a:solidFill>
                  </a:rPr>
                  <a:t>US$ milões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535044687"/>
        <c:crosses val="autoZero"/>
        <c:crossBetween val="between"/>
      </c:valAx>
      <c:valAx>
        <c:axId val="625712671"/>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baseline="0">
                    <a:solidFill>
                      <a:schemeClr val="tx1"/>
                    </a:solidFill>
                  </a:rPr>
                  <a:t>Taxa de Cãmbio Efetiva Real - INPC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288162911"/>
        <c:crosses val="max"/>
        <c:crossBetween val="between"/>
      </c:valAx>
      <c:catAx>
        <c:axId val="288162911"/>
        <c:scaling>
          <c:orientation val="minMax"/>
        </c:scaling>
        <c:delete val="1"/>
        <c:axPos val="b"/>
        <c:majorTickMark val="out"/>
        <c:minorTickMark val="none"/>
        <c:tickLblPos val="nextTo"/>
        <c:crossAx val="6257126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CPM!$A$23</c:f>
              <c:strCache>
                <c:ptCount val="1"/>
                <c:pt idx="0">
                  <c:v>A</c:v>
                </c:pt>
              </c:strCache>
            </c:strRef>
          </c:tx>
          <c:spPr>
            <a:ln w="28575" cap="rnd">
              <a:solidFill>
                <a:srgbClr val="0070C0"/>
              </a:solidFill>
              <a:round/>
            </a:ln>
            <a:effectLst/>
          </c:spPr>
          <c:marker>
            <c:symbol val="none"/>
          </c:marker>
          <c:cat>
            <c:numRef>
              <c:f>CPM!$B$22:$V$22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CPM!$B$23:$V$23</c:f>
              <c:numCache>
                <c:formatCode>#,##0.00</c:formatCode>
                <c:ptCount val="21"/>
                <c:pt idx="0">
                  <c:v>0.21339290847854347</c:v>
                </c:pt>
                <c:pt idx="1">
                  <c:v>0.25145230843916533</c:v>
                </c:pt>
                <c:pt idx="2">
                  <c:v>0.21175156754742497</c:v>
                </c:pt>
                <c:pt idx="3">
                  <c:v>0.20460469805503465</c:v>
                </c:pt>
                <c:pt idx="4">
                  <c:v>0.29033338241983636</c:v>
                </c:pt>
                <c:pt idx="5">
                  <c:v>0.39409878689355637</c:v>
                </c:pt>
                <c:pt idx="6">
                  <c:v>0.50917181366118214</c:v>
                </c:pt>
                <c:pt idx="7">
                  <c:v>0.57768249225991952</c:v>
                </c:pt>
                <c:pt idx="8">
                  <c:v>0.51523660347663314</c:v>
                </c:pt>
                <c:pt idx="9">
                  <c:v>0.67620190395931024</c:v>
                </c:pt>
                <c:pt idx="10">
                  <c:v>0.68416695151622875</c:v>
                </c:pt>
                <c:pt idx="11">
                  <c:v>0.60103907654618671</c:v>
                </c:pt>
                <c:pt idx="12">
                  <c:v>0.67200488956130433</c:v>
                </c:pt>
                <c:pt idx="13">
                  <c:v>0.7824186347332559</c:v>
                </c:pt>
                <c:pt idx="14">
                  <c:v>0.84558272420006342</c:v>
                </c:pt>
                <c:pt idx="15">
                  <c:v>0.8854418834960297</c:v>
                </c:pt>
                <c:pt idx="16">
                  <c:v>0.86172145940738898</c:v>
                </c:pt>
                <c:pt idx="17">
                  <c:v>0.82370976581738431</c:v>
                </c:pt>
                <c:pt idx="18">
                  <c:v>0.82210891199456937</c:v>
                </c:pt>
                <c:pt idx="19">
                  <c:v>0.86370065580525102</c:v>
                </c:pt>
                <c:pt idx="20">
                  <c:v>0.87126621306506236</c:v>
                </c:pt>
              </c:numCache>
            </c:numRef>
          </c:val>
          <c:smooth val="0"/>
          <c:extLst>
            <c:ext xmlns:c16="http://schemas.microsoft.com/office/drawing/2014/chart" uri="{C3380CC4-5D6E-409C-BE32-E72D297353CC}">
              <c16:uniqueId val="{00000000-65FA-43A8-85AE-0423E820BBAB}"/>
            </c:ext>
          </c:extLst>
        </c:ser>
        <c:ser>
          <c:idx val="1"/>
          <c:order val="1"/>
          <c:tx>
            <c:strRef>
              <c:f>CPM!$A$24</c:f>
              <c:strCache>
                <c:ptCount val="1"/>
                <c:pt idx="0">
                  <c:v>MA</c:v>
                </c:pt>
              </c:strCache>
            </c:strRef>
          </c:tx>
          <c:spPr>
            <a:ln w="28575" cap="rnd">
              <a:solidFill>
                <a:schemeClr val="accent1">
                  <a:lumMod val="60000"/>
                  <a:lumOff val="40000"/>
                </a:schemeClr>
              </a:solidFill>
              <a:round/>
            </a:ln>
            <a:effectLst/>
          </c:spPr>
          <c:marker>
            <c:symbol val="none"/>
          </c:marker>
          <c:cat>
            <c:numRef>
              <c:f>CPM!$B$22:$V$22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CPM!$B$24:$V$24</c:f>
              <c:numCache>
                <c:formatCode>#,##0.00</c:formatCode>
                <c:ptCount val="21"/>
                <c:pt idx="0">
                  <c:v>0.196038699892393</c:v>
                </c:pt>
                <c:pt idx="1">
                  <c:v>0.17260335889638304</c:v>
                </c:pt>
                <c:pt idx="2">
                  <c:v>0.19957224727144435</c:v>
                </c:pt>
                <c:pt idx="3">
                  <c:v>0.18845039044204914</c:v>
                </c:pt>
                <c:pt idx="4">
                  <c:v>0.2228466015712301</c:v>
                </c:pt>
                <c:pt idx="5">
                  <c:v>0.21535970706060009</c:v>
                </c:pt>
                <c:pt idx="6">
                  <c:v>0.22777664913392431</c:v>
                </c:pt>
                <c:pt idx="7">
                  <c:v>0.30687954655773486</c:v>
                </c:pt>
                <c:pt idx="8">
                  <c:v>0.35497165058978253</c:v>
                </c:pt>
                <c:pt idx="9">
                  <c:v>0.31871105522125143</c:v>
                </c:pt>
                <c:pt idx="10">
                  <c:v>0.34671365556606093</c:v>
                </c:pt>
                <c:pt idx="11">
                  <c:v>0.38765465555006207</c:v>
                </c:pt>
                <c:pt idx="12">
                  <c:v>0.39801552277619162</c:v>
                </c:pt>
                <c:pt idx="13">
                  <c:v>0.40428387208020522</c:v>
                </c:pt>
                <c:pt idx="14">
                  <c:v>0.43234452882514907</c:v>
                </c:pt>
                <c:pt idx="15">
                  <c:v>0.47105967572894958</c:v>
                </c:pt>
                <c:pt idx="16">
                  <c:v>0.45043895291865355</c:v>
                </c:pt>
                <c:pt idx="17">
                  <c:v>0.43904218239244269</c:v>
                </c:pt>
                <c:pt idx="18">
                  <c:v>0.49563446836585673</c:v>
                </c:pt>
                <c:pt idx="19">
                  <c:v>0.50796714262053466</c:v>
                </c:pt>
                <c:pt idx="20">
                  <c:v>0.4999728424318991</c:v>
                </c:pt>
              </c:numCache>
            </c:numRef>
          </c:val>
          <c:smooth val="0"/>
          <c:extLst>
            <c:ext xmlns:c16="http://schemas.microsoft.com/office/drawing/2014/chart" uri="{C3380CC4-5D6E-409C-BE32-E72D297353CC}">
              <c16:uniqueId val="{00000001-65FA-43A8-85AE-0423E820BBAB}"/>
            </c:ext>
          </c:extLst>
        </c:ser>
        <c:ser>
          <c:idx val="2"/>
          <c:order val="2"/>
          <c:tx>
            <c:strRef>
              <c:f>CPM!$A$25</c:f>
              <c:strCache>
                <c:ptCount val="1"/>
                <c:pt idx="0">
                  <c:v>MB</c:v>
                </c:pt>
              </c:strCache>
            </c:strRef>
          </c:tx>
          <c:spPr>
            <a:ln w="28575" cap="rnd">
              <a:solidFill>
                <a:srgbClr val="FFFF00"/>
              </a:solidFill>
              <a:round/>
            </a:ln>
            <a:effectLst/>
          </c:spPr>
          <c:marker>
            <c:symbol val="none"/>
          </c:marker>
          <c:cat>
            <c:numRef>
              <c:f>CPM!$B$22:$V$22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CPM!$B$25:$V$25</c:f>
              <c:numCache>
                <c:formatCode>#,##0.00</c:formatCode>
                <c:ptCount val="21"/>
                <c:pt idx="0">
                  <c:v>3.9650529155280979E-2</c:v>
                </c:pt>
                <c:pt idx="1">
                  <c:v>4.3884437088886688E-2</c:v>
                </c:pt>
                <c:pt idx="2">
                  <c:v>4.337642851302273E-2</c:v>
                </c:pt>
                <c:pt idx="3">
                  <c:v>4.4149465258932846E-2</c:v>
                </c:pt>
                <c:pt idx="4">
                  <c:v>8.3883048815601519E-2</c:v>
                </c:pt>
                <c:pt idx="5">
                  <c:v>0.11055325601444625</c:v>
                </c:pt>
                <c:pt idx="6">
                  <c:v>0.16243979342072951</c:v>
                </c:pt>
                <c:pt idx="7">
                  <c:v>0.17264985283741019</c:v>
                </c:pt>
                <c:pt idx="8">
                  <c:v>0.23376984749969903</c:v>
                </c:pt>
                <c:pt idx="9">
                  <c:v>0.20419033189762339</c:v>
                </c:pt>
                <c:pt idx="10">
                  <c:v>0.27686907233948616</c:v>
                </c:pt>
                <c:pt idx="11">
                  <c:v>0.27718724812589346</c:v>
                </c:pt>
                <c:pt idx="12">
                  <c:v>0.27493720153448276</c:v>
                </c:pt>
                <c:pt idx="13">
                  <c:v>0.25046752881270001</c:v>
                </c:pt>
                <c:pt idx="14">
                  <c:v>0.25564956356552454</c:v>
                </c:pt>
                <c:pt idx="15">
                  <c:v>0.2686987374868372</c:v>
                </c:pt>
                <c:pt idx="16">
                  <c:v>0.23242740214477281</c:v>
                </c:pt>
                <c:pt idx="17">
                  <c:v>0.26177299907029328</c:v>
                </c:pt>
                <c:pt idx="18">
                  <c:v>0.29506058626165715</c:v>
                </c:pt>
                <c:pt idx="19">
                  <c:v>0.30815432296835943</c:v>
                </c:pt>
                <c:pt idx="20">
                  <c:v>0.32851964716632864</c:v>
                </c:pt>
              </c:numCache>
            </c:numRef>
          </c:val>
          <c:smooth val="0"/>
          <c:extLst>
            <c:ext xmlns:c16="http://schemas.microsoft.com/office/drawing/2014/chart" uri="{C3380CC4-5D6E-409C-BE32-E72D297353CC}">
              <c16:uniqueId val="{00000002-65FA-43A8-85AE-0423E820BBAB}"/>
            </c:ext>
          </c:extLst>
        </c:ser>
        <c:ser>
          <c:idx val="3"/>
          <c:order val="3"/>
          <c:tx>
            <c:strRef>
              <c:f>CPM!$A$26</c:f>
              <c:strCache>
                <c:ptCount val="1"/>
                <c:pt idx="0">
                  <c:v>B</c:v>
                </c:pt>
              </c:strCache>
            </c:strRef>
          </c:tx>
          <c:spPr>
            <a:ln w="28575" cap="rnd">
              <a:solidFill>
                <a:srgbClr val="FF0000"/>
              </a:solidFill>
              <a:round/>
            </a:ln>
            <a:effectLst/>
          </c:spPr>
          <c:marker>
            <c:symbol val="none"/>
          </c:marker>
          <c:cat>
            <c:numRef>
              <c:f>CPM!$B$22:$V$22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CPM!$B$26:$V$26</c:f>
              <c:numCache>
                <c:formatCode>#,##0.00</c:formatCode>
                <c:ptCount val="21"/>
                <c:pt idx="0">
                  <c:v>2.4564536222479127E-2</c:v>
                </c:pt>
                <c:pt idx="1">
                  <c:v>2.519046285821747E-2</c:v>
                </c:pt>
                <c:pt idx="2">
                  <c:v>2.8533939368976878E-2</c:v>
                </c:pt>
                <c:pt idx="3">
                  <c:v>2.7332130107050465E-2</c:v>
                </c:pt>
                <c:pt idx="4">
                  <c:v>3.1891008593460439E-2</c:v>
                </c:pt>
                <c:pt idx="5">
                  <c:v>3.7827879457773959E-2</c:v>
                </c:pt>
                <c:pt idx="6">
                  <c:v>4.7551512990354129E-2</c:v>
                </c:pt>
                <c:pt idx="7">
                  <c:v>5.9881116593366653E-2</c:v>
                </c:pt>
                <c:pt idx="8">
                  <c:v>7.5175256779243776E-2</c:v>
                </c:pt>
                <c:pt idx="9">
                  <c:v>8.8678469925733083E-2</c:v>
                </c:pt>
                <c:pt idx="10">
                  <c:v>8.7947638534102271E-2</c:v>
                </c:pt>
                <c:pt idx="11">
                  <c:v>0.10362660802010548</c:v>
                </c:pt>
                <c:pt idx="12">
                  <c:v>0.11805976438220735</c:v>
                </c:pt>
                <c:pt idx="13">
                  <c:v>0.1258313157015033</c:v>
                </c:pt>
                <c:pt idx="14">
                  <c:v>0.12755084148458076</c:v>
                </c:pt>
                <c:pt idx="15">
                  <c:v>0.15082597194402372</c:v>
                </c:pt>
                <c:pt idx="16">
                  <c:v>0.11542778743800255</c:v>
                </c:pt>
                <c:pt idx="17">
                  <c:v>0.12104089666450502</c:v>
                </c:pt>
                <c:pt idx="18">
                  <c:v>0.15014446714168173</c:v>
                </c:pt>
                <c:pt idx="19">
                  <c:v>0.16062519070637923</c:v>
                </c:pt>
                <c:pt idx="20">
                  <c:v>0.16497836497194002</c:v>
                </c:pt>
              </c:numCache>
            </c:numRef>
          </c:val>
          <c:smooth val="0"/>
          <c:extLst>
            <c:ext xmlns:c16="http://schemas.microsoft.com/office/drawing/2014/chart" uri="{C3380CC4-5D6E-409C-BE32-E72D297353CC}">
              <c16:uniqueId val="{00000003-65FA-43A8-85AE-0423E820BBAB}"/>
            </c:ext>
          </c:extLst>
        </c:ser>
        <c:ser>
          <c:idx val="4"/>
          <c:order val="4"/>
          <c:tx>
            <c:strRef>
              <c:f>CPM!$A$27</c:f>
              <c:strCache>
                <c:ptCount val="1"/>
                <c:pt idx="0">
                  <c:v>Tot ind</c:v>
                </c:pt>
              </c:strCache>
            </c:strRef>
          </c:tx>
          <c:spPr>
            <a:ln w="28575" cap="rnd">
              <a:solidFill>
                <a:schemeClr val="tx1"/>
              </a:solidFill>
              <a:round/>
            </a:ln>
            <a:effectLst/>
          </c:spPr>
          <c:marker>
            <c:symbol val="none"/>
          </c:marker>
          <c:cat>
            <c:numRef>
              <c:f>CPM!$B$22:$V$22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CPM!$B$27:$V$27</c:f>
              <c:numCache>
                <c:formatCode>#,##0.00</c:formatCode>
                <c:ptCount val="21"/>
                <c:pt idx="0">
                  <c:v>7.2717191235478859E-2</c:v>
                </c:pt>
                <c:pt idx="1">
                  <c:v>7.2403216679975693E-2</c:v>
                </c:pt>
                <c:pt idx="2">
                  <c:v>8.2347948309110158E-2</c:v>
                </c:pt>
                <c:pt idx="3">
                  <c:v>7.4772121747048587E-2</c:v>
                </c:pt>
                <c:pt idx="4">
                  <c:v>9.6414686813220546E-2</c:v>
                </c:pt>
                <c:pt idx="5">
                  <c:v>0.1081896918487045</c:v>
                </c:pt>
                <c:pt idx="6">
                  <c:v>0.13282143229451479</c:v>
                </c:pt>
                <c:pt idx="7">
                  <c:v>0.16006272966852803</c:v>
                </c:pt>
                <c:pt idx="8">
                  <c:v>0.19836678927618029</c:v>
                </c:pt>
                <c:pt idx="9">
                  <c:v>0.19351669109793368</c:v>
                </c:pt>
                <c:pt idx="10">
                  <c:v>0.22069593031314541</c:v>
                </c:pt>
                <c:pt idx="11">
                  <c:v>0.23504367690132172</c:v>
                </c:pt>
                <c:pt idx="12">
                  <c:v>0.24258723225875742</c:v>
                </c:pt>
                <c:pt idx="13">
                  <c:v>0.24341722211510269</c:v>
                </c:pt>
                <c:pt idx="14">
                  <c:v>0.25364605216819208</c:v>
                </c:pt>
                <c:pt idx="15">
                  <c:v>0.28397891804368064</c:v>
                </c:pt>
                <c:pt idx="16">
                  <c:v>0.24262252453890967</c:v>
                </c:pt>
                <c:pt idx="17">
                  <c:v>0.25091584251222088</c:v>
                </c:pt>
                <c:pt idx="18">
                  <c:v>0.30062804707447244</c:v>
                </c:pt>
                <c:pt idx="19">
                  <c:v>0.31793875271709215</c:v>
                </c:pt>
                <c:pt idx="20">
                  <c:v>0.33103278574368622</c:v>
                </c:pt>
              </c:numCache>
            </c:numRef>
          </c:val>
          <c:smooth val="0"/>
          <c:extLst>
            <c:ext xmlns:c16="http://schemas.microsoft.com/office/drawing/2014/chart" uri="{C3380CC4-5D6E-409C-BE32-E72D297353CC}">
              <c16:uniqueId val="{00000004-65FA-43A8-85AE-0423E820BBAB}"/>
            </c:ext>
          </c:extLst>
        </c:ser>
        <c:dLbls>
          <c:showLegendKey val="0"/>
          <c:showVal val="0"/>
          <c:showCatName val="0"/>
          <c:showSerName val="0"/>
          <c:showPercent val="0"/>
          <c:showBubbleSize val="0"/>
        </c:dLbls>
        <c:smooth val="0"/>
        <c:axId val="1349361424"/>
        <c:axId val="1349366000"/>
      </c:lineChart>
      <c:catAx>
        <c:axId val="134936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pt-BR"/>
          </a:p>
        </c:txPr>
        <c:crossAx val="1349366000"/>
        <c:crosses val="autoZero"/>
        <c:auto val="1"/>
        <c:lblAlgn val="ctr"/>
        <c:lblOffset val="100"/>
        <c:noMultiLvlLbl val="0"/>
      </c:catAx>
      <c:valAx>
        <c:axId val="1349366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pt-BR"/>
          </a:p>
        </c:txPr>
        <c:crossAx val="13493614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solidFill>
                <a:latin typeface="+mn-lt"/>
                <a:ea typeface="+mn-ea"/>
                <a:cs typeface="+mn-cs"/>
              </a:defRPr>
            </a:pPr>
            <a:endParaRPr lang="pt-B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aseline="0">
          <a:solidFill>
            <a:schemeClr val="tx1"/>
          </a:solidFill>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2275F-1591-46C2-BAFD-5ADA7E1B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25</Pages>
  <Words>8760</Words>
  <Characters>47310</Characters>
  <Application>Microsoft Office Word</Application>
  <DocSecurity>0</DocSecurity>
  <Lines>394</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Corrêa</dc:creator>
  <cp:keywords/>
  <dc:description/>
  <cp:lastModifiedBy>cedeplar</cp:lastModifiedBy>
  <cp:revision>24</cp:revision>
  <dcterms:created xsi:type="dcterms:W3CDTF">2023-03-20T21:22:00Z</dcterms:created>
  <dcterms:modified xsi:type="dcterms:W3CDTF">2023-03-21T00:39:00Z</dcterms:modified>
</cp:coreProperties>
</file>