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19F19" w14:textId="77777777" w:rsidR="00E5097D" w:rsidRDefault="00E509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26814811" w14:textId="77777777" w:rsidR="00E5097D" w:rsidRDefault="00E5097D">
      <w:pPr>
        <w:jc w:val="center"/>
        <w:rPr>
          <w:b/>
          <w:color w:val="FF0000"/>
          <w:sz w:val="28"/>
          <w:szCs w:val="28"/>
        </w:rPr>
      </w:pPr>
    </w:p>
    <w:p w14:paraId="48B680AD" w14:textId="46E337F8" w:rsidR="00866D5D" w:rsidRDefault="00000000">
      <w:pPr>
        <w:jc w:val="center"/>
      </w:pPr>
      <w:proofErr w:type="spellStart"/>
      <w:r>
        <w:rPr>
          <w:b/>
          <w:bCs/>
          <w:color w:val="000000"/>
          <w:sz w:val="28"/>
          <w:szCs w:val="28"/>
        </w:rPr>
        <w:t>Coinoculation</w:t>
      </w:r>
      <w:proofErr w:type="spellEnd"/>
      <w:r w:rsidRPr="004B07E6">
        <w:rPr>
          <w:b/>
          <w:bCs/>
          <w:color w:val="000000"/>
          <w:sz w:val="28"/>
          <w:szCs w:val="28"/>
        </w:rPr>
        <w:t xml:space="preserve"> of </w:t>
      </w:r>
      <w:r w:rsidRPr="004B07E6">
        <w:rPr>
          <w:b/>
          <w:bCs/>
          <w:i/>
          <w:iCs/>
          <w:color w:val="000000"/>
          <w:sz w:val="28"/>
          <w:szCs w:val="28"/>
        </w:rPr>
        <w:t>Bacillus pumilus</w:t>
      </w:r>
      <w:r w:rsidRPr="004B07E6">
        <w:rPr>
          <w:b/>
          <w:bCs/>
          <w:color w:val="000000"/>
          <w:sz w:val="28"/>
          <w:szCs w:val="28"/>
        </w:rPr>
        <w:t xml:space="preserve"> RS11 and </w:t>
      </w:r>
      <w:proofErr w:type="spellStart"/>
      <w:r w:rsidRPr="004B07E6">
        <w:rPr>
          <w:b/>
          <w:bCs/>
          <w:i/>
          <w:iCs/>
          <w:color w:val="000000"/>
          <w:sz w:val="28"/>
          <w:szCs w:val="28"/>
        </w:rPr>
        <w:t>Bradyrhizobium</w:t>
      </w:r>
      <w:proofErr w:type="spellEnd"/>
      <w:r w:rsidRPr="004B07E6">
        <w:rPr>
          <w:b/>
          <w:bCs/>
          <w:color w:val="000000"/>
          <w:sz w:val="28"/>
          <w:szCs w:val="28"/>
        </w:rPr>
        <w:t>: functional integration between</w:t>
      </w:r>
      <w:r w:rsidR="001319B8">
        <w:rPr>
          <w:b/>
          <w:bCs/>
          <w:color w:val="000000"/>
          <w:sz w:val="28"/>
          <w:szCs w:val="28"/>
        </w:rPr>
        <w:t xml:space="preserve"> </w:t>
      </w:r>
      <w:r w:rsidR="00536C66">
        <w:rPr>
          <w:b/>
          <w:bCs/>
          <w:color w:val="000000"/>
          <w:sz w:val="28"/>
          <w:szCs w:val="28"/>
        </w:rPr>
        <w:t xml:space="preserve">plant </w:t>
      </w:r>
      <w:r w:rsidRPr="004B07E6">
        <w:rPr>
          <w:b/>
          <w:bCs/>
          <w:color w:val="000000"/>
          <w:sz w:val="28"/>
          <w:szCs w:val="28"/>
        </w:rPr>
        <w:t>growth and disease suppression</w:t>
      </w:r>
    </w:p>
    <w:p w14:paraId="1C735826" w14:textId="77777777" w:rsidR="00E5097D" w:rsidRDefault="00E5097D">
      <w:pPr>
        <w:jc w:val="center"/>
      </w:pPr>
    </w:p>
    <w:p w14:paraId="1009617B" w14:textId="77777777" w:rsidR="00E5097D" w:rsidRPr="00C9562D" w:rsidRDefault="00000000" w:rsidP="00866D5D">
      <w:pPr>
        <w:ind w:left="360"/>
        <w:jc w:val="center"/>
        <w:rPr>
          <w:b/>
          <w:sz w:val="22"/>
          <w:szCs w:val="22"/>
          <w:lang w:val="pt-BR"/>
        </w:rPr>
      </w:pPr>
      <w:r w:rsidRPr="00C9562D">
        <w:rPr>
          <w:b/>
          <w:sz w:val="22"/>
          <w:szCs w:val="22"/>
          <w:u w:val="single"/>
          <w:lang w:val="pt-BR"/>
        </w:rPr>
        <w:t>Pedro Lucas Nascimento Solano</w:t>
      </w:r>
      <w:r w:rsidRPr="00C9562D">
        <w:rPr>
          <w:b/>
          <w:sz w:val="22"/>
          <w:szCs w:val="22"/>
          <w:lang w:val="pt-BR"/>
        </w:rPr>
        <w:t>, Sara do Lago Gomes</w:t>
      </w:r>
      <w:r w:rsidR="000E6263" w:rsidRPr="00C9562D">
        <w:rPr>
          <w:b/>
          <w:sz w:val="22"/>
          <w:szCs w:val="22"/>
          <w:lang w:val="pt-BR"/>
        </w:rPr>
        <w:t>, Eduardo dos Santos Lima</w:t>
      </w:r>
      <w:r w:rsidRPr="00C9562D">
        <w:rPr>
          <w:b/>
          <w:sz w:val="22"/>
          <w:szCs w:val="22"/>
          <w:lang w:val="pt-BR"/>
        </w:rPr>
        <w:t>, Francisca Diana da Silva Araujo</w:t>
      </w:r>
      <w:r w:rsidRPr="00C9562D">
        <w:rPr>
          <w:b/>
          <w:sz w:val="22"/>
          <w:szCs w:val="22"/>
          <w:vertAlign w:val="superscript"/>
          <w:lang w:val="pt-BR"/>
        </w:rPr>
        <w:t>*</w:t>
      </w:r>
    </w:p>
    <w:p w14:paraId="52ED5D96" w14:textId="77777777" w:rsidR="00C9562D" w:rsidRPr="00C20852" w:rsidRDefault="00C9562D" w:rsidP="00C9562D">
      <w:pPr>
        <w:jc w:val="center"/>
        <w:rPr>
          <w:i/>
          <w:sz w:val="18"/>
          <w:szCs w:val="18"/>
          <w:lang w:val="pt-BR"/>
        </w:rPr>
      </w:pPr>
      <w:r w:rsidRPr="00C20852">
        <w:rPr>
          <w:i/>
          <w:sz w:val="18"/>
          <w:szCs w:val="18"/>
          <w:lang w:val="pt-BR"/>
        </w:rPr>
        <w:t xml:space="preserve">Campus Professora </w:t>
      </w:r>
      <w:proofErr w:type="spellStart"/>
      <w:r w:rsidRPr="00C20852">
        <w:rPr>
          <w:i/>
          <w:sz w:val="18"/>
          <w:szCs w:val="18"/>
          <w:lang w:val="pt-BR"/>
        </w:rPr>
        <w:t>Cinobelina</w:t>
      </w:r>
      <w:proofErr w:type="spellEnd"/>
      <w:r w:rsidRPr="00C20852">
        <w:rPr>
          <w:i/>
          <w:sz w:val="18"/>
          <w:szCs w:val="18"/>
          <w:lang w:val="pt-BR"/>
        </w:rPr>
        <w:t xml:space="preserve"> Elvas, Federal </w:t>
      </w:r>
      <w:proofErr w:type="spellStart"/>
      <w:r>
        <w:rPr>
          <w:i/>
          <w:sz w:val="18"/>
          <w:szCs w:val="18"/>
          <w:lang w:val="pt-BR"/>
        </w:rPr>
        <w:t>University</w:t>
      </w:r>
      <w:proofErr w:type="spellEnd"/>
      <w:r>
        <w:rPr>
          <w:i/>
          <w:sz w:val="18"/>
          <w:szCs w:val="18"/>
          <w:lang w:val="pt-BR"/>
        </w:rPr>
        <w:t xml:space="preserve"> </w:t>
      </w:r>
      <w:proofErr w:type="spellStart"/>
      <w:r>
        <w:rPr>
          <w:i/>
          <w:sz w:val="18"/>
          <w:szCs w:val="18"/>
          <w:lang w:val="pt-BR"/>
        </w:rPr>
        <w:t>of</w:t>
      </w:r>
      <w:proofErr w:type="spellEnd"/>
      <w:r w:rsidRPr="00C20852">
        <w:rPr>
          <w:i/>
          <w:sz w:val="18"/>
          <w:szCs w:val="18"/>
          <w:lang w:val="pt-BR"/>
        </w:rPr>
        <w:t xml:space="preserve"> Piauí, Bom Jesus, P</w:t>
      </w:r>
      <w:r>
        <w:rPr>
          <w:i/>
          <w:sz w:val="18"/>
          <w:szCs w:val="18"/>
          <w:lang w:val="pt-BR"/>
        </w:rPr>
        <w:t xml:space="preserve">I, </w:t>
      </w:r>
      <w:r w:rsidRPr="00BD56F3">
        <w:rPr>
          <w:i/>
          <w:sz w:val="18"/>
          <w:szCs w:val="18"/>
          <w:lang w:val="pt-BR"/>
        </w:rPr>
        <w:t>64900-000,</w:t>
      </w:r>
      <w:r w:rsidRPr="00C20852">
        <w:rPr>
          <w:i/>
          <w:sz w:val="18"/>
          <w:szCs w:val="18"/>
          <w:lang w:val="pt-BR"/>
        </w:rPr>
        <w:t xml:space="preserve"> </w:t>
      </w:r>
      <w:proofErr w:type="spellStart"/>
      <w:r w:rsidRPr="00C20852">
        <w:rPr>
          <w:i/>
          <w:sz w:val="18"/>
          <w:szCs w:val="18"/>
          <w:lang w:val="pt-BR"/>
        </w:rPr>
        <w:t>Brazil</w:t>
      </w:r>
      <w:proofErr w:type="spellEnd"/>
      <w:r w:rsidRPr="00C20852">
        <w:rPr>
          <w:i/>
          <w:sz w:val="18"/>
          <w:szCs w:val="18"/>
          <w:lang w:val="pt-BR"/>
        </w:rPr>
        <w:t>.</w:t>
      </w:r>
    </w:p>
    <w:p w14:paraId="772C1C47" w14:textId="77777777" w:rsidR="00E5097D" w:rsidRPr="00C9562D" w:rsidRDefault="000E6263">
      <w:pPr>
        <w:jc w:val="center"/>
        <w:rPr>
          <w:i/>
          <w:sz w:val="20"/>
          <w:szCs w:val="20"/>
        </w:rPr>
      </w:pPr>
      <w:r w:rsidRPr="00C9562D">
        <w:rPr>
          <w:i/>
          <w:sz w:val="18"/>
          <w:szCs w:val="18"/>
        </w:rPr>
        <w:t>*diana.araujo@ufpi.edu.br</w:t>
      </w:r>
    </w:p>
    <w:p w14:paraId="7CB08B24" w14:textId="77777777" w:rsidR="00E5097D" w:rsidRDefault="00E5097D">
      <w:pPr>
        <w:jc w:val="center"/>
      </w:pPr>
    </w:p>
    <w:p w14:paraId="1BD6D380" w14:textId="77777777" w:rsidR="00DC4E3F" w:rsidRDefault="00000000">
      <w:pPr>
        <w:tabs>
          <w:tab w:val="left" w:pos="8300"/>
        </w:tabs>
        <w:rPr>
          <w:color w:val="000000"/>
        </w:rPr>
      </w:pPr>
      <w:r w:rsidRPr="004B07E6">
        <w:rPr>
          <w:color w:val="000000"/>
        </w:rPr>
        <w:t xml:space="preserve">Multifunctional </w:t>
      </w:r>
      <w:proofErr w:type="spellStart"/>
      <w:r w:rsidRPr="004B07E6">
        <w:rPr>
          <w:color w:val="000000"/>
        </w:rPr>
        <w:t>bioinputs</w:t>
      </w:r>
      <w:proofErr w:type="spellEnd"/>
      <w:r w:rsidRPr="004B07E6">
        <w:rPr>
          <w:color w:val="000000"/>
        </w:rPr>
        <w:t xml:space="preserve"> have emerged as a promising strategy for sustainable agricultural management. In this context, a bioformulation containing </w:t>
      </w:r>
      <w:r w:rsidRPr="004B07E6">
        <w:rPr>
          <w:i/>
          <w:iCs/>
          <w:color w:val="000000"/>
        </w:rPr>
        <w:t>Bacillus pumilus</w:t>
      </w:r>
      <w:r w:rsidRPr="004B07E6">
        <w:rPr>
          <w:color w:val="000000"/>
        </w:rPr>
        <w:t xml:space="preserve"> RS11 was previously developed and validated, demonstrating high application potential. However, its use under real cultivation conditions requires understanding its interaction with widely used commercial inoculants. Therefore, </w:t>
      </w:r>
      <w:r>
        <w:rPr>
          <w:color w:val="000000"/>
        </w:rPr>
        <w:t xml:space="preserve">in </w:t>
      </w:r>
      <w:r w:rsidRPr="004B07E6">
        <w:rPr>
          <w:color w:val="000000"/>
        </w:rPr>
        <w:t>this study</w:t>
      </w:r>
      <w:r>
        <w:rPr>
          <w:color w:val="000000"/>
        </w:rPr>
        <w:t>,</w:t>
      </w:r>
      <w:r w:rsidRPr="004B07E6">
        <w:rPr>
          <w:color w:val="000000"/>
        </w:rPr>
        <w:t xml:space="preserve"> whether </w:t>
      </w:r>
      <w:r>
        <w:rPr>
          <w:color w:val="000000"/>
        </w:rPr>
        <w:t>a</w:t>
      </w:r>
      <w:r w:rsidRPr="004B07E6">
        <w:rPr>
          <w:color w:val="000000"/>
        </w:rPr>
        <w:t xml:space="preserve"> bioformulation containing </w:t>
      </w:r>
      <w:r w:rsidRPr="004B07E6">
        <w:rPr>
          <w:i/>
          <w:iCs/>
          <w:color w:val="000000"/>
        </w:rPr>
        <w:t>B. pumilus</w:t>
      </w:r>
      <w:r w:rsidRPr="004B07E6">
        <w:rPr>
          <w:color w:val="000000"/>
        </w:rPr>
        <w:t> RS11 maintains its functionality when associated with a commercial </w:t>
      </w:r>
      <w:proofErr w:type="spellStart"/>
      <w:r w:rsidRPr="004B07E6">
        <w:rPr>
          <w:i/>
          <w:iCs/>
          <w:color w:val="000000"/>
        </w:rPr>
        <w:t>Bradyrhizobium</w:t>
      </w:r>
      <w:proofErr w:type="spellEnd"/>
      <w:r w:rsidRPr="004B07E6">
        <w:rPr>
          <w:color w:val="000000"/>
        </w:rPr>
        <w:t>-based product</w:t>
      </w:r>
      <w:r>
        <w:rPr>
          <w:color w:val="000000"/>
        </w:rPr>
        <w:t xml:space="preserve"> was evaluated, and</w:t>
      </w:r>
      <w:r w:rsidRPr="004B07E6">
        <w:rPr>
          <w:color w:val="000000"/>
        </w:rPr>
        <w:t xml:space="preserve"> the compatibility and effects of </w:t>
      </w:r>
      <w:proofErr w:type="spellStart"/>
      <w:r w:rsidRPr="004B07E6">
        <w:rPr>
          <w:color w:val="000000"/>
        </w:rPr>
        <w:t>coinoculation</w:t>
      </w:r>
      <w:proofErr w:type="spellEnd"/>
      <w:r w:rsidRPr="004B07E6">
        <w:rPr>
          <w:color w:val="000000"/>
        </w:rPr>
        <w:t xml:space="preserve"> on soybean plant development under greenhouse conditions</w:t>
      </w:r>
      <w:r>
        <w:rPr>
          <w:color w:val="000000"/>
        </w:rPr>
        <w:t xml:space="preserve"> were investigated</w:t>
      </w:r>
      <w:r w:rsidRPr="004B07E6">
        <w:rPr>
          <w:color w:val="000000"/>
        </w:rPr>
        <w:t xml:space="preserve">. Seeds were previously treated with the commercial inoculant, and treatments with </w:t>
      </w:r>
      <w:r>
        <w:rPr>
          <w:color w:val="000000"/>
        </w:rPr>
        <w:t xml:space="preserve">the </w:t>
      </w:r>
      <w:r w:rsidRPr="004B07E6">
        <w:rPr>
          <w:color w:val="000000"/>
        </w:rPr>
        <w:t>RS11 suspension and bioformulation (10⁷ and 10⁹ CFU mL⁻¹) were evaluated in the presence and absence of the phytopathogen </w:t>
      </w:r>
      <w:proofErr w:type="spellStart"/>
      <w:r w:rsidRPr="004B07E6">
        <w:rPr>
          <w:i/>
          <w:iCs/>
          <w:color w:val="000000"/>
        </w:rPr>
        <w:t>Macrophomina</w:t>
      </w:r>
      <w:proofErr w:type="spellEnd"/>
      <w:r w:rsidRPr="004B07E6">
        <w:rPr>
          <w:i/>
          <w:iCs/>
          <w:color w:val="000000"/>
        </w:rPr>
        <w:t xml:space="preserve"> phaseolina</w:t>
      </w:r>
      <w:r w:rsidRPr="004B07E6">
        <w:rPr>
          <w:color w:val="000000"/>
        </w:rPr>
        <w:t xml:space="preserve">, the causal agent of charcoal rot. Plant height, number of leaves, root length, root biomass, and disease severity were assessed. The results demonstrated that the bioformulation maintained its functionality under </w:t>
      </w:r>
      <w:proofErr w:type="spellStart"/>
      <w:r w:rsidRPr="004B07E6">
        <w:rPr>
          <w:color w:val="000000"/>
        </w:rPr>
        <w:t>coinoculation</w:t>
      </w:r>
      <w:proofErr w:type="spellEnd"/>
      <w:r w:rsidRPr="004B07E6">
        <w:rPr>
          <w:color w:val="000000"/>
        </w:rPr>
        <w:t>, without compromising </w:t>
      </w:r>
      <w:proofErr w:type="spellStart"/>
      <w:r w:rsidRPr="004B07E6">
        <w:rPr>
          <w:i/>
          <w:iCs/>
          <w:color w:val="000000"/>
        </w:rPr>
        <w:t>Bradyrhizobium</w:t>
      </w:r>
      <w:proofErr w:type="spellEnd"/>
      <w:r w:rsidRPr="004B07E6">
        <w:rPr>
          <w:color w:val="000000"/>
        </w:rPr>
        <w:t xml:space="preserve"> performance </w:t>
      </w:r>
      <w:r>
        <w:rPr>
          <w:color w:val="000000"/>
        </w:rPr>
        <w:t>or</w:t>
      </w:r>
      <w:r w:rsidRPr="004B07E6">
        <w:rPr>
          <w:color w:val="000000"/>
        </w:rPr>
        <w:t xml:space="preserve"> preserving plant development. In the absence of stress, </w:t>
      </w:r>
      <w:r>
        <w:rPr>
          <w:color w:val="000000"/>
        </w:rPr>
        <w:t xml:space="preserve">the </w:t>
      </w:r>
      <w:r w:rsidRPr="004B07E6">
        <w:rPr>
          <w:color w:val="000000"/>
        </w:rPr>
        <w:t xml:space="preserve">RS11 treatments promoted plant growth, particularly </w:t>
      </w:r>
      <w:r>
        <w:rPr>
          <w:color w:val="000000"/>
        </w:rPr>
        <w:t xml:space="preserve">by </w:t>
      </w:r>
      <w:r w:rsidRPr="004B07E6">
        <w:rPr>
          <w:color w:val="000000"/>
        </w:rPr>
        <w:t xml:space="preserve">enhancing the root system. Under biotic stress, the </w:t>
      </w:r>
      <w:r>
        <w:rPr>
          <w:color w:val="000000"/>
        </w:rPr>
        <w:t>disease severity was greatest in the infected control, whereas the</w:t>
      </w:r>
      <w:r w:rsidRPr="004B07E6">
        <w:rPr>
          <w:color w:val="000000"/>
        </w:rPr>
        <w:t xml:space="preserve"> </w:t>
      </w:r>
      <w:proofErr w:type="spellStart"/>
      <w:r w:rsidRPr="004B07E6">
        <w:rPr>
          <w:color w:val="000000"/>
        </w:rPr>
        <w:t>coinoculated</w:t>
      </w:r>
      <w:proofErr w:type="spellEnd"/>
      <w:r w:rsidRPr="004B07E6">
        <w:rPr>
          <w:color w:val="000000"/>
        </w:rPr>
        <w:t xml:space="preserve"> treatments maintained minimal or null severity levels and </w:t>
      </w:r>
      <w:r>
        <w:rPr>
          <w:color w:val="000000"/>
        </w:rPr>
        <w:t>resulted in</w:t>
      </w:r>
      <w:r w:rsidRPr="004B07E6">
        <w:rPr>
          <w:color w:val="000000"/>
        </w:rPr>
        <w:t xml:space="preserve"> superior growth parameters, indicating </w:t>
      </w:r>
      <w:r>
        <w:rPr>
          <w:color w:val="000000"/>
        </w:rPr>
        <w:t xml:space="preserve">the </w:t>
      </w:r>
      <w:r w:rsidRPr="004B07E6">
        <w:rPr>
          <w:color w:val="000000"/>
        </w:rPr>
        <w:t xml:space="preserve">mitigation of pathogen effects. The bioformulation </w:t>
      </w:r>
      <w:r>
        <w:rPr>
          <w:color w:val="000000"/>
        </w:rPr>
        <w:t>outperforms</w:t>
      </w:r>
      <w:r w:rsidRPr="004B07E6">
        <w:rPr>
          <w:color w:val="000000"/>
        </w:rPr>
        <w:t xml:space="preserve"> the bacterial suspension, highlighting the positive role of the formulation matrix. These findings demonstrate that the association between </w:t>
      </w:r>
      <w:r w:rsidRPr="004B07E6">
        <w:rPr>
          <w:i/>
          <w:iCs/>
          <w:color w:val="000000"/>
        </w:rPr>
        <w:t>B. pumilus</w:t>
      </w:r>
      <w:r w:rsidRPr="004B07E6">
        <w:rPr>
          <w:color w:val="000000"/>
        </w:rPr>
        <w:t> RS11 and </w:t>
      </w:r>
      <w:proofErr w:type="spellStart"/>
      <w:r w:rsidRPr="004B07E6">
        <w:rPr>
          <w:i/>
          <w:iCs/>
          <w:color w:val="000000"/>
        </w:rPr>
        <w:t>Bradyrhizobium</w:t>
      </w:r>
      <w:proofErr w:type="spellEnd"/>
      <w:r w:rsidRPr="004B07E6">
        <w:rPr>
          <w:color w:val="000000"/>
        </w:rPr>
        <w:t xml:space="preserve"> is not only compatible but </w:t>
      </w:r>
      <w:r>
        <w:rPr>
          <w:color w:val="000000"/>
        </w:rPr>
        <w:t xml:space="preserve">also </w:t>
      </w:r>
      <w:r w:rsidRPr="004B07E6">
        <w:rPr>
          <w:color w:val="000000"/>
        </w:rPr>
        <w:t xml:space="preserve">functionally integrated, simultaneously sustaining growth promotion and stress tolerance. Understanding these interactions is essential </w:t>
      </w:r>
      <w:r>
        <w:rPr>
          <w:color w:val="000000"/>
        </w:rPr>
        <w:t>for enabling</w:t>
      </w:r>
      <w:r w:rsidRPr="004B07E6">
        <w:rPr>
          <w:color w:val="000000"/>
        </w:rPr>
        <w:t xml:space="preserve"> the combined application of these inputs under field conditions, where seed treatment with </w:t>
      </w:r>
      <w:proofErr w:type="spellStart"/>
      <w:r w:rsidRPr="004B07E6">
        <w:rPr>
          <w:i/>
          <w:iCs/>
          <w:color w:val="000000"/>
        </w:rPr>
        <w:t>Bradyrhizobium</w:t>
      </w:r>
      <w:proofErr w:type="spellEnd"/>
      <w:r w:rsidRPr="004B07E6">
        <w:rPr>
          <w:color w:val="000000"/>
        </w:rPr>
        <w:t> is a well-established practice. Field trials are currently underway to validate the performance of the bioformulation under real cultivation conditions.</w:t>
      </w:r>
    </w:p>
    <w:p w14:paraId="1B7C8CE0" w14:textId="77777777" w:rsidR="004B07E6" w:rsidRPr="004B07E6" w:rsidRDefault="004B07E6">
      <w:pPr>
        <w:tabs>
          <w:tab w:val="left" w:pos="8300"/>
        </w:tabs>
        <w:rPr>
          <w:b/>
          <w:smallCaps/>
        </w:rPr>
      </w:pPr>
    </w:p>
    <w:p w14:paraId="143529C5" w14:textId="77777777" w:rsidR="00E5097D" w:rsidRDefault="00000000">
      <w:pPr>
        <w:tabs>
          <w:tab w:val="left" w:pos="8300"/>
        </w:tabs>
        <w:rPr>
          <w:sz w:val="22"/>
          <w:szCs w:val="22"/>
        </w:rPr>
        <w:sectPr w:rsidR="00E5097D" w:rsidSect="00957029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  <w:docGrid w:linePitch="326"/>
        </w:sectPr>
      </w:pPr>
      <w:r>
        <w:rPr>
          <w:b/>
          <w:smallCaps/>
          <w:sz w:val="22"/>
          <w:szCs w:val="22"/>
        </w:rPr>
        <w:t>KEYWORDS</w:t>
      </w:r>
      <w:r>
        <w:rPr>
          <w:sz w:val="22"/>
          <w:szCs w:val="22"/>
        </w:rPr>
        <w:t xml:space="preserve">: </w:t>
      </w:r>
      <w:proofErr w:type="spellStart"/>
      <w:r>
        <w:rPr>
          <w:color w:val="000000"/>
          <w:sz w:val="22"/>
          <w:szCs w:val="22"/>
        </w:rPr>
        <w:t>Bioinputs</w:t>
      </w:r>
      <w:proofErr w:type="spellEnd"/>
      <w:r w:rsidR="004B07E6">
        <w:rPr>
          <w:color w:val="000000" w:themeColor="text1"/>
          <w:sz w:val="22"/>
          <w:szCs w:val="22"/>
        </w:rPr>
        <w:t>, Biotic stress, Microbial interactions, Bioformulation.</w:t>
      </w:r>
    </w:p>
    <w:p w14:paraId="56902D7A" w14:textId="77777777" w:rsidR="00E5097D" w:rsidRDefault="00E5097D">
      <w:pPr>
        <w:jc w:val="center"/>
      </w:pPr>
    </w:p>
    <w:p w14:paraId="742D8306" w14:textId="77777777" w:rsidR="00E5097D" w:rsidRDefault="00E5097D" w:rsidP="00DC4E3F">
      <w:pPr>
        <w:tabs>
          <w:tab w:val="left" w:pos="8300"/>
        </w:tabs>
        <w:rPr>
          <w:sz w:val="16"/>
          <w:szCs w:val="16"/>
        </w:rPr>
      </w:pPr>
    </w:p>
    <w:sectPr w:rsidR="00E5097D">
      <w:headerReference w:type="even" r:id="rId9"/>
      <w:headerReference w:type="first" r:id="rId10"/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1F948" w14:textId="77777777" w:rsidR="00853DAB" w:rsidRDefault="00853DAB">
      <w:r>
        <w:separator/>
      </w:r>
    </w:p>
  </w:endnote>
  <w:endnote w:type="continuationSeparator" w:id="0">
    <w:p w14:paraId="6F4A35A1" w14:textId="77777777" w:rsidR="00853DAB" w:rsidRDefault="00853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ABE9D" w14:textId="77777777" w:rsidR="00853DAB" w:rsidRDefault="00853DAB">
      <w:r>
        <w:separator/>
      </w:r>
    </w:p>
  </w:footnote>
  <w:footnote w:type="continuationSeparator" w:id="0">
    <w:p w14:paraId="5A7428B3" w14:textId="77777777" w:rsidR="00853DAB" w:rsidRDefault="00853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D6401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pict w14:anchorId="33956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3073" type="#_x0000_t75" style="position:absolute;left:0;text-align:left;margin-left:0;margin-top:0;width:424.7pt;height:424.7pt;z-index:-25165619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6" gain="19661f" blacklevel="22938f"/>
          <w10:wrap anchorx="margin" anchory="margin"/>
        </v:shape>
      </w:pict>
    </w:r>
    <w:r>
      <w:rPr>
        <w:noProof/>
        <w:color w:val="000000"/>
      </w:rPr>
      <w:pict w14:anchorId="06320BB7">
        <v:shape id="WordPictureWatermark2" o:spid="_x0000_s3074" type="#_x0000_t75" style="position:absolute;left:0;text-align:left;margin-left:0;margin-top:0;width:481.75pt;height:503.6pt;z-index:-25165516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33F9A" w14:textId="77777777" w:rsidR="009570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42AA87E0" wp14:editId="232B802E">
          <wp:simplePos x="0" y="0"/>
          <wp:positionH relativeFrom="page">
            <wp:posOffset>0</wp:posOffset>
          </wp:positionH>
          <wp:positionV relativeFrom="paragraph">
            <wp:posOffset>-3175</wp:posOffset>
          </wp:positionV>
          <wp:extent cx="7562850" cy="1761490"/>
          <wp:effectExtent l="0" t="0" r="0" b="0"/>
          <wp:wrapNone/>
          <wp:docPr id="17856639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663949" name="Imagem 17856639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76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EBC7F2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6B625B73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375B4CB4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449A6E08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737BFE2C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6D2D2F2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10F37C96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7FF44E8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7035DE2" w14:textId="77777777" w:rsidR="00E5097D" w:rsidRDefault="00E509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0DB0D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pict w14:anchorId="399E80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5" type="#_x0000_t75" style="position:absolute;left:0;text-align:left;margin-left:0;margin-top:0;width:424.7pt;height:424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1" gain="19661f" blacklevel="22938f"/>
          <w10:wrap anchorx="margin" anchory="margin"/>
        </v:shape>
      </w:pict>
    </w:r>
    <w:r>
      <w:rPr>
        <w:noProof/>
        <w:color w:val="000000"/>
      </w:rPr>
      <w:pict w14:anchorId="0546CB60">
        <v:shape id="_x0000_s3076" type="#_x0000_t75" style="position:absolute;left:0;text-align:left;margin-left:0;margin-top:0;width:481.75pt;height:503.6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8E7F0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6E13C73" wp14:editId="19D8FC85">
          <wp:simplePos x="0" y="0"/>
          <wp:positionH relativeFrom="column">
            <wp:posOffset>-1097914</wp:posOffset>
          </wp:positionH>
          <wp:positionV relativeFrom="paragraph">
            <wp:posOffset>-198119</wp:posOffset>
          </wp:positionV>
          <wp:extent cx="7598410" cy="2517775"/>
          <wp:effectExtent l="0" t="0" r="0" b="0"/>
          <wp:wrapSquare wrapText="bothSides"/>
          <wp:docPr id="170488260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4882603" name="image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97D"/>
    <w:rsid w:val="00020201"/>
    <w:rsid w:val="000E6263"/>
    <w:rsid w:val="001319B8"/>
    <w:rsid w:val="001763D4"/>
    <w:rsid w:val="003C34EB"/>
    <w:rsid w:val="004542F8"/>
    <w:rsid w:val="004B07E6"/>
    <w:rsid w:val="004D7192"/>
    <w:rsid w:val="00536C66"/>
    <w:rsid w:val="005C2FE0"/>
    <w:rsid w:val="005F5965"/>
    <w:rsid w:val="006442F1"/>
    <w:rsid w:val="006C00B2"/>
    <w:rsid w:val="00702955"/>
    <w:rsid w:val="007165CE"/>
    <w:rsid w:val="00750B66"/>
    <w:rsid w:val="007A7424"/>
    <w:rsid w:val="00853DAB"/>
    <w:rsid w:val="00866D5D"/>
    <w:rsid w:val="008B555B"/>
    <w:rsid w:val="00957029"/>
    <w:rsid w:val="00B53ECE"/>
    <w:rsid w:val="00BF272D"/>
    <w:rsid w:val="00C159B4"/>
    <w:rsid w:val="00C30003"/>
    <w:rsid w:val="00C9562D"/>
    <w:rsid w:val="00CC42A7"/>
    <w:rsid w:val="00D022EB"/>
    <w:rsid w:val="00DC4E3F"/>
    <w:rsid w:val="00DF4DAA"/>
    <w:rsid w:val="00E5097D"/>
    <w:rsid w:val="00E92E8D"/>
    <w:rsid w:val="00EB05E8"/>
    <w:rsid w:val="00F5059B"/>
    <w:rsid w:val="00FC0B98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4F4FD6AD"/>
  <w15:docId w15:val="{1C1A80EC-CCC6-46CD-96DA-1A309027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B2C"/>
    <w:rPr>
      <w:lang w:val="en-GB" w:eastAsia="fr-FR"/>
    </w:rPr>
  </w:style>
  <w:style w:type="paragraph" w:styleId="Ttulo1">
    <w:name w:val="heading 1"/>
    <w:basedOn w:val="Normal"/>
    <w:next w:val="Normal"/>
    <w:uiPriority w:val="9"/>
    <w:qFormat/>
    <w:rsid w:val="00060B2C"/>
    <w:pPr>
      <w:keepNext/>
      <w:spacing w:before="120" w:after="12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Ref">
    <w:name w:val="Ref"/>
    <w:basedOn w:val="Normal"/>
    <w:rsid w:val="00060B2C"/>
    <w:pPr>
      <w:ind w:left="720" w:hanging="720"/>
    </w:p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</w:rPr>
  </w:style>
  <w:style w:type="paragraph" w:customStyle="1" w:styleId="address">
    <w:name w:val="address"/>
    <w:basedOn w:val="Normal"/>
    <w:rsid w:val="00060B2C"/>
    <w:pPr>
      <w:spacing w:before="120" w:after="120"/>
    </w:p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C4E3F"/>
    <w:pPr>
      <w:spacing w:before="100" w:beforeAutospacing="1" w:after="100" w:afterAutospacing="1"/>
      <w:jc w:val="left"/>
    </w:pPr>
    <w:rPr>
      <w:lang w:val="pt-BR" w:eastAsia="pt-BR"/>
    </w:rPr>
  </w:style>
  <w:style w:type="character" w:customStyle="1" w:styleId="apple-converted-space">
    <w:name w:val="apple-converted-space"/>
    <w:basedOn w:val="Fontepargpadro"/>
    <w:rsid w:val="00DC4E3F"/>
  </w:style>
  <w:style w:type="character" w:customStyle="1" w:styleId="whitespace-normal">
    <w:name w:val="whitespace-normal"/>
    <w:basedOn w:val="Fontepargpadro"/>
    <w:rsid w:val="00DC4E3F"/>
  </w:style>
  <w:style w:type="paragraph" w:styleId="Reviso">
    <w:name w:val="Revision"/>
    <w:hidden/>
    <w:uiPriority w:val="99"/>
    <w:semiHidden/>
    <w:rsid w:val="00E92E8D"/>
    <w:pPr>
      <w:jc w:val="left"/>
    </w:pPr>
    <w:rPr>
      <w:lang w:val="fr-FR" w:eastAsia="fr-FR"/>
    </w:rPr>
  </w:style>
  <w:style w:type="character" w:styleId="Refdecomentrio">
    <w:name w:val="annotation reference"/>
    <w:basedOn w:val="Fontepargpadro"/>
    <w:uiPriority w:val="99"/>
    <w:rsid w:val="000F3DF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GSCFWvtO65Hu9wsxMBqeMim9Q==">CgMxLjA4AHIhMUFEYXV0VDNtNjBJdTBLZkJRTzFRazVzU3VqUTdXUGxt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419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Diana Araújo</cp:lastModifiedBy>
  <cp:revision>4</cp:revision>
  <dcterms:created xsi:type="dcterms:W3CDTF">2026-04-14T01:13:00Z</dcterms:created>
  <dcterms:modified xsi:type="dcterms:W3CDTF">2026-04-14T21:22:00Z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  <property fmtid="{D5CDD505-2E9C-101B-9397-08002B2CF9AE}" pid="3" name="LE1">
    <vt:filetime>2026-04-14T16:27:07Z</vt:filetime>
  </property>
</Properties>
</file>