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AVANÇOS NA CIRURGIA ROBÓTICA PEDIÁTRICA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Giovana Romariz Mazon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Carolina Ponchio Ferreira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Vitoria Tokarski Bley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; Manoel Eugênio dos Santos Modelli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de Brasília, Brasília - DF, giovanamazon@gmail.com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Graduando em medicina pelo Centro Universitário de Brasília, Brasília - DF,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carolina.ponchio@sempreceub.com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Graduando em medicina pela Centro Universitário de Brasília, Brasília - DF,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vitoria.tbley@sempreceub.com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Médico Cirurgião Pediátrico, Brasília, DF,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manoel.modelli@ceub.edu.br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Pacientes pediátricos tendem a representar um desafio na área cirúrgica devido ao pequeno espaço para realizar a operação e a perigosa mobilização de tecidos delicados. Entretanto, com a introdução de técnicas e plataformas cirúrgicas robóticas, os riscos das cirurgias pediátricas diminuíram significativamente visto que os robôs fornecem uma visão 3D ampliada, mais destreza, alta precisão e escala de movimento durante a operação.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Compreender os avanços da cirurgia robótica na pediatria.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Revisão bibliográfica por meio da busca dos descritores “ROBOTIC SURGERY” e “PEDIATRIC SURGERY” e "PEDIATRIC UROLOGY", no idioma inglês, com o operador booleano AND, na base de dados PubMed. Foram coletados 308 artigos, dos quais 8 foram incluídos, devido a sua relevância para o desenvolvimento desta revisão, publicados entre 2019 e 2023.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</w:t>
      </w:r>
      <w:r w:rsidDel="00000000" w:rsidR="00000000" w:rsidRPr="00000000">
        <w:rPr>
          <w:sz w:val="24"/>
          <w:szCs w:val="24"/>
          <w:rtl w:val="0"/>
        </w:rPr>
        <w:t xml:space="preserve">A cirurgia robótica pediátrica é mais complexa devido à diferença anatômica e fisiológica das crianças comparada aos adultos. Entre as especialidades pediátricas, é mais frequentemente utilizada na urologia, especialmente em cirurgias como a pieloplastia, reimplante ureteral extravesical, apendicovesicostomia e aumento da bexiga. Suas vantagens se assemelham com as da laparoscopia, incluindo redução do trauma operatório, minimização da dor e do uso de opióides no pós-operatório, diminuição das internações hospitalares e retorno mais rápido às atividades. Ademais, trazem benefícios cirúrgicos relacionados à visualizações estereoscópicas, destreza, escala de movimento e diminuição do tremor. Em contrapartida, a cirurgia robótica possui limitações relacionadas com o alto valor financeiro para compra e manutenção do equipamento, além da falta de cirurgiões treinados diante da demanda populacional. Além disso, o tempo de cirurgia pode aumentar como consequência de uma ineficiência de sutura por parte das plataformas robóticas e da falta de um assistente cirúrgico que promovia a facilitação dinâmica na cirurgia aberta. Dito isso, a cirurgia robótica tem crescido rapidamente, mas ainda há necessidade de estudos randomizados e evidências que apoiem o investimento e garantam a preferência dessa técnica diante das convencionais.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Diante do exposto, sugerem-se associações entre o uso da cirurgia robótica pediátrica com melhores resultados no pós-operatório, embora ainda haja muito a evoluir.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Cirurgia laparoscópica; Cirurgia Robótica; Crianças; Urologia.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CHEN, Catherine J.; PETERS, Craig A. Robotic assisted surgery in pediatric urology: Current status and future directions.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Frontiers in Pediatrics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7, p. 90, 2019.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DENNING, Naomi-Liza; KALLIS, Michelle P.; PRINCE, Jose M. Pediatric robotic surgery.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Surgical Clinics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100, n. 2, p. 431-443, 2020.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GUNDETI, Mohan S.; CASTELLAN, Miguel A. Robotic Assisted Laparoscopic Surgery (RALS) in Pediatric Urology.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Frontiers in Pediatrics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8, p. 85, 2020.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O’KELLY, F.; FARHAT, W. A.; KOYLE, M. A. Cost, training and simulation models for robotic-assisted surgery in pediatric urology.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World Journal of Urology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38, p. 1875-1882, 2020.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SALKINI, Mohamad Waseem. Robotic surgery in pediatric urology.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Urology Annals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14, n. 4, p. 314, 2022.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SHETH, Kunj R.; KOH, Chester J. The future of robotic surgery in pediatric urology: Upcoming technology and evolution within the field.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Frontiers in Pediatrics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7, p. 259, 2019.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oel.modelli@ceub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olina.ponchio@sempreceub.com" TargetMode="External"/><Relationship Id="rId8" Type="http://schemas.openxmlformats.org/officeDocument/2006/relationships/hyperlink" Target="about:bla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bYlIplsN+pcWmZbu2ZIFoWrLA==">CgMxLjA4AHIhMTh6THY4a0tZd1EtUEcxV3A1bTRhLTdMUzFkQVo4V1F4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