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0261A" w14:paraId="610BD722" w14:textId="77777777" w:rsidTr="00195F92">
        <w:tc>
          <w:tcPr>
            <w:tcW w:w="2977" w:type="dxa"/>
          </w:tcPr>
          <w:p w14:paraId="64927127" w14:textId="7EA1343F" w:rsidR="00C0261A" w:rsidRPr="00C0261A" w:rsidRDefault="001D2B44" w:rsidP="00C0261A">
            <w:pPr>
              <w:pStyle w:val="SemEspaamento"/>
              <w:jc w:val="right"/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DA08B0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  <w:u w:val="single"/>
              </w:rPr>
              <w:softHyphen/>
            </w:r>
            <w:r w:rsidR="00C0261A" w:rsidRPr="00DA08B0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>Resumo</w:t>
            </w:r>
            <w:r w:rsidR="00C0261A" w:rsidRPr="00C0261A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 xml:space="preserve"> simples</w:t>
            </w:r>
          </w:p>
        </w:tc>
      </w:tr>
    </w:tbl>
    <w:p w14:paraId="15F580E0" w14:textId="77777777" w:rsidR="00460B2C" w:rsidRDefault="00460B2C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34524FEE" w14:textId="04D44EC4" w:rsidR="00E60D89" w:rsidRPr="00943F24" w:rsidRDefault="00C534E3" w:rsidP="008855E5">
      <w:pPr>
        <w:pStyle w:val="SemEspaamento"/>
        <w:jc w:val="center"/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</w:pP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ATIVIDADE </w:t>
      </w:r>
      <w:r w:rsidR="00764D91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FUNGICIDA D</w:t>
      </w:r>
      <w:r w:rsidR="0057274D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O BIOFILME</w:t>
      </w:r>
      <w:r w:rsidR="00500576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DO ÓLEO ESSENCIA</w:t>
      </w:r>
      <w:r w:rsidR="0057274D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L</w:t>
      </w:r>
      <w:r w:rsidR="004C03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DE </w:t>
      </w:r>
      <w:r w:rsidR="00943F24" w:rsidRPr="00943F24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 xml:space="preserve">Citrus aurantifolia </w:t>
      </w:r>
      <w:r w:rsidR="00943F24" w:rsidRPr="00943F24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Swing var. taiti</w:t>
      </w:r>
    </w:p>
    <w:p w14:paraId="3ED76D35" w14:textId="77777777" w:rsidR="008855E5" w:rsidRPr="008855E5" w:rsidRDefault="008855E5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76FEB0C4" w14:textId="44F53378" w:rsidR="00E60D89" w:rsidRPr="004C4D30" w:rsidRDefault="00125A56" w:rsidP="00E60D89">
      <w:pPr>
        <w:pStyle w:val="SemEspaamento"/>
        <w:jc w:val="center"/>
        <w:rPr>
          <w:rFonts w:ascii="Adobe Devanagari" w:hAnsi="Adobe Devanagari" w:cs="Adobe Devanagari"/>
          <w:b/>
          <w:bCs/>
          <w:i/>
          <w:iCs/>
          <w:sz w:val="24"/>
          <w:szCs w:val="24"/>
        </w:rPr>
      </w:pP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Emerson Vinicius Martins FIAROS</w:t>
      </w:r>
      <w:r w:rsidR="002817F2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1"/>
      </w:r>
      <w:r w:rsidR="006A6CB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*</w:t>
      </w:r>
      <w:r w:rsidR="00E60D89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8855E5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proofErr w:type="spellStart"/>
      <w:r w:rsidR="00F94F8B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Thayane</w:t>
      </w:r>
      <w:proofErr w:type="spellEnd"/>
      <w:r w:rsidR="00F94F8B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Lopes de SOUSA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2"/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</w:t>
      </w:r>
      <w:r w:rsidR="00871F25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Iure </w:t>
      </w:r>
      <w:proofErr w:type="spellStart"/>
      <w:r w:rsidR="00871F25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Bernardido</w:t>
      </w:r>
      <w:proofErr w:type="spellEnd"/>
      <w:r w:rsidR="00871F25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de </w:t>
      </w:r>
      <w:r w:rsidR="00CA7A5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SOUSA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3"/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</w:t>
      </w:r>
      <w:r w:rsidR="00A9154A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Victor Elias Mouchrek FILHO</w:t>
      </w:r>
      <w:r w:rsidR="00A9154A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4"/>
      </w:r>
      <w:r w:rsidR="008F58B3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8F58B3" w:rsidRPr="008F58B3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8F58B3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Gustavo Oliveira EVERTON</w:t>
      </w:r>
      <w:r w:rsidR="008F58B3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5"/>
      </w:r>
      <w:r w:rsidR="008F58B3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.</w:t>
      </w:r>
    </w:p>
    <w:p w14:paraId="0B3CF01E" w14:textId="69CB906E" w:rsidR="00460B2C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4170CDE3" w14:textId="77777777" w:rsidR="009B655D" w:rsidRPr="0019487F" w:rsidRDefault="009B655D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7991FD7A" w14:textId="54CA5831" w:rsidR="0019487F" w:rsidRPr="00AF6445" w:rsidRDefault="00674774" w:rsidP="008C3518">
      <w:pPr>
        <w:pStyle w:val="SemEspaamento"/>
        <w:jc w:val="both"/>
        <w:rPr>
          <w:rFonts w:ascii="Adobe Devanagari" w:hAnsi="Adobe Devanagari" w:cs="Adobe Devanagari"/>
          <w:iCs/>
          <w:sz w:val="28"/>
          <w:szCs w:val="28"/>
        </w:rPr>
      </w:pPr>
      <w:bookmarkStart w:id="0" w:name="_GoBack"/>
      <w:r w:rsidRPr="00AF6445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INTRODUÇÃO:</w:t>
      </w:r>
      <w:r w:rsidR="00F94F8B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2A6745">
        <w:rPr>
          <w:rFonts w:ascii="Adobe Devanagari" w:hAnsi="Adobe Devanagari"/>
          <w:sz w:val="28"/>
          <w:szCs w:val="28"/>
        </w:rPr>
        <w:t xml:space="preserve">Os </w:t>
      </w:r>
      <w:r w:rsidR="002F73C8">
        <w:rPr>
          <w:rFonts w:ascii="Adobe Devanagari" w:hAnsi="Adobe Devanagari"/>
          <w:sz w:val="28"/>
          <w:szCs w:val="28"/>
        </w:rPr>
        <w:t xml:space="preserve">biofilmes </w:t>
      </w:r>
      <w:r w:rsidR="003015C7">
        <w:rPr>
          <w:rFonts w:ascii="Adobe Devanagari" w:hAnsi="Adobe Devanagari"/>
          <w:sz w:val="28"/>
          <w:szCs w:val="28"/>
        </w:rPr>
        <w:t>utilizam fontes de matérias-primas naturais</w:t>
      </w:r>
      <w:r w:rsidR="002A6745">
        <w:rPr>
          <w:rFonts w:ascii="Adobe Devanagari" w:hAnsi="Adobe Devanagari"/>
          <w:sz w:val="28"/>
          <w:szCs w:val="28"/>
        </w:rPr>
        <w:t xml:space="preserve"> e com </w:t>
      </w:r>
      <w:r w:rsidR="003015C7">
        <w:rPr>
          <w:rFonts w:ascii="Adobe Devanagari" w:hAnsi="Adobe Devanagari"/>
          <w:sz w:val="28"/>
          <w:szCs w:val="28"/>
        </w:rPr>
        <w:t>baixo</w:t>
      </w:r>
      <w:r w:rsidR="002A6745">
        <w:rPr>
          <w:rFonts w:ascii="Adobe Devanagari" w:hAnsi="Adobe Devanagari"/>
          <w:sz w:val="28"/>
          <w:szCs w:val="28"/>
        </w:rPr>
        <w:t xml:space="preserve"> </w:t>
      </w:r>
      <w:r w:rsidR="00842556">
        <w:rPr>
          <w:rFonts w:ascii="Adobe Devanagari" w:hAnsi="Adobe Devanagari"/>
          <w:sz w:val="28"/>
          <w:szCs w:val="28"/>
        </w:rPr>
        <w:t>custo de</w:t>
      </w:r>
      <w:r w:rsidR="003015C7">
        <w:rPr>
          <w:rFonts w:ascii="Adobe Devanagari" w:hAnsi="Adobe Devanagari"/>
          <w:sz w:val="28"/>
          <w:szCs w:val="28"/>
        </w:rPr>
        <w:t xml:space="preserve"> produção</w:t>
      </w:r>
      <w:r w:rsidR="00842556">
        <w:rPr>
          <w:rFonts w:ascii="Adobe Devanagari" w:hAnsi="Adobe Devanagari"/>
          <w:sz w:val="28"/>
          <w:szCs w:val="28"/>
        </w:rPr>
        <w:t>. A</w:t>
      </w:r>
      <w:r w:rsidR="002A6745">
        <w:rPr>
          <w:rFonts w:ascii="Adobe Devanagari" w:hAnsi="Adobe Devanagari"/>
          <w:sz w:val="28"/>
          <w:szCs w:val="28"/>
        </w:rPr>
        <w:t xml:space="preserve">lém </w:t>
      </w:r>
      <w:r w:rsidR="003015C7">
        <w:rPr>
          <w:rFonts w:ascii="Adobe Devanagari" w:hAnsi="Adobe Devanagari"/>
          <w:sz w:val="28"/>
          <w:szCs w:val="28"/>
        </w:rPr>
        <w:t>disso, são menos poluentes sendo</w:t>
      </w:r>
      <w:r w:rsidR="002A6745">
        <w:rPr>
          <w:rFonts w:ascii="Adobe Devanagari" w:hAnsi="Adobe Devanagari"/>
          <w:sz w:val="28"/>
          <w:szCs w:val="28"/>
        </w:rPr>
        <w:t xml:space="preserve"> </w:t>
      </w:r>
      <w:r w:rsidR="003015C7">
        <w:rPr>
          <w:rFonts w:ascii="Adobe Devanagari" w:hAnsi="Adobe Devanagari"/>
          <w:sz w:val="28"/>
          <w:szCs w:val="28"/>
        </w:rPr>
        <w:t xml:space="preserve">assim </w:t>
      </w:r>
      <w:r w:rsidR="002A6745">
        <w:rPr>
          <w:rFonts w:ascii="Adobe Devanagari" w:hAnsi="Adobe Devanagari"/>
          <w:sz w:val="28"/>
          <w:szCs w:val="28"/>
        </w:rPr>
        <w:t>ótim</w:t>
      </w:r>
      <w:r w:rsidR="003015C7">
        <w:rPr>
          <w:rFonts w:ascii="Adobe Devanagari" w:hAnsi="Adobe Devanagari"/>
          <w:sz w:val="28"/>
          <w:szCs w:val="28"/>
        </w:rPr>
        <w:t>as</w:t>
      </w:r>
      <w:r w:rsidR="002A6745">
        <w:rPr>
          <w:rFonts w:ascii="Adobe Devanagari" w:hAnsi="Adobe Devanagari"/>
          <w:sz w:val="28"/>
          <w:szCs w:val="28"/>
        </w:rPr>
        <w:t xml:space="preserve"> </w:t>
      </w:r>
      <w:r w:rsidR="003015C7">
        <w:rPr>
          <w:rFonts w:ascii="Adobe Devanagari" w:hAnsi="Adobe Devanagari"/>
          <w:sz w:val="28"/>
          <w:szCs w:val="28"/>
        </w:rPr>
        <w:t>alternativas</w:t>
      </w:r>
      <w:r w:rsidR="002A6745">
        <w:rPr>
          <w:rFonts w:ascii="Adobe Devanagari" w:hAnsi="Adobe Devanagari"/>
          <w:sz w:val="28"/>
          <w:szCs w:val="28"/>
        </w:rPr>
        <w:t xml:space="preserve"> </w:t>
      </w:r>
      <w:r w:rsidR="003015C7">
        <w:rPr>
          <w:rFonts w:ascii="Adobe Devanagari" w:hAnsi="Adobe Devanagari"/>
          <w:sz w:val="28"/>
          <w:szCs w:val="28"/>
        </w:rPr>
        <w:t>ao uso de</w:t>
      </w:r>
      <w:r w:rsidR="002A6745">
        <w:rPr>
          <w:rFonts w:ascii="Adobe Devanagari" w:hAnsi="Adobe Devanagari"/>
          <w:sz w:val="28"/>
          <w:szCs w:val="28"/>
        </w:rPr>
        <w:t xml:space="preserve"> plásticos. A aplicação d</w:t>
      </w:r>
      <w:r w:rsidR="003015C7">
        <w:rPr>
          <w:rFonts w:ascii="Adobe Devanagari" w:hAnsi="Adobe Devanagari"/>
          <w:sz w:val="28"/>
          <w:szCs w:val="28"/>
        </w:rPr>
        <w:t>e um</w:t>
      </w:r>
      <w:r w:rsidR="002A6745">
        <w:rPr>
          <w:rFonts w:ascii="Adobe Devanagari" w:hAnsi="Adobe Devanagari"/>
          <w:sz w:val="28"/>
          <w:szCs w:val="28"/>
        </w:rPr>
        <w:t xml:space="preserve"> óleo essencial </w:t>
      </w:r>
      <w:r w:rsidR="001D2B44">
        <w:rPr>
          <w:rFonts w:ascii="Adobe Devanagari" w:hAnsi="Adobe Devanagari"/>
          <w:sz w:val="28"/>
          <w:szCs w:val="28"/>
        </w:rPr>
        <w:t xml:space="preserve">(OE) </w:t>
      </w:r>
      <w:r w:rsidR="002A6745">
        <w:rPr>
          <w:rFonts w:ascii="Adobe Devanagari" w:hAnsi="Adobe Devanagari"/>
          <w:sz w:val="28"/>
          <w:szCs w:val="28"/>
        </w:rPr>
        <w:t xml:space="preserve">em sua formulação faz com que haja um melhoramento em suas </w:t>
      </w:r>
      <w:r w:rsidR="003015C7">
        <w:rPr>
          <w:rFonts w:ascii="Adobe Devanagari" w:hAnsi="Adobe Devanagari"/>
          <w:sz w:val="28"/>
          <w:szCs w:val="28"/>
        </w:rPr>
        <w:t>propriedades antimicrobianas</w:t>
      </w:r>
      <w:r w:rsidR="002A6745">
        <w:rPr>
          <w:rFonts w:ascii="Adobe Devanagari" w:hAnsi="Adobe Devanagari"/>
          <w:sz w:val="28"/>
          <w:szCs w:val="28"/>
        </w:rPr>
        <w:t xml:space="preserve">, tendo eficiência </w:t>
      </w:r>
      <w:r w:rsidR="00BE2BAC">
        <w:rPr>
          <w:rFonts w:ascii="Adobe Devanagari" w:hAnsi="Adobe Devanagari"/>
          <w:sz w:val="28"/>
          <w:szCs w:val="28"/>
        </w:rPr>
        <w:t>frente a</w:t>
      </w:r>
      <w:r w:rsidR="002A6745">
        <w:rPr>
          <w:rFonts w:ascii="Adobe Devanagari" w:hAnsi="Adobe Devanagari"/>
          <w:sz w:val="28"/>
          <w:szCs w:val="28"/>
        </w:rPr>
        <w:t xml:space="preserve"> fungos</w:t>
      </w:r>
      <w:r w:rsidR="00BE2BAC">
        <w:rPr>
          <w:rFonts w:ascii="Adobe Devanagari" w:hAnsi="Adobe Devanagari"/>
          <w:sz w:val="28"/>
          <w:szCs w:val="28"/>
        </w:rPr>
        <w:t xml:space="preserve"> patogênicos</w:t>
      </w:r>
      <w:r w:rsidR="002F73C8">
        <w:rPr>
          <w:rFonts w:ascii="Adobe Devanagari" w:hAnsi="Adobe Devanagari"/>
          <w:sz w:val="28"/>
          <w:szCs w:val="28"/>
        </w:rPr>
        <w:t>,</w:t>
      </w:r>
      <w:r w:rsidR="002A6745">
        <w:rPr>
          <w:rFonts w:ascii="Adobe Devanagari" w:hAnsi="Adobe Devanagari"/>
          <w:sz w:val="28"/>
          <w:szCs w:val="28"/>
        </w:rPr>
        <w:t xml:space="preserve"> visto que os OE</w:t>
      </w:r>
      <w:r w:rsidR="00BE2BAC">
        <w:rPr>
          <w:rFonts w:ascii="Adobe Devanagari" w:hAnsi="Adobe Devanagari"/>
          <w:sz w:val="28"/>
          <w:szCs w:val="28"/>
        </w:rPr>
        <w:t>’</w:t>
      </w:r>
      <w:r w:rsidR="002A6745">
        <w:rPr>
          <w:rFonts w:ascii="Adobe Devanagari" w:hAnsi="Adobe Devanagari"/>
          <w:sz w:val="28"/>
          <w:szCs w:val="28"/>
        </w:rPr>
        <w:t xml:space="preserve">s </w:t>
      </w:r>
      <w:r w:rsidR="00BE2BAC">
        <w:rPr>
          <w:rFonts w:ascii="Adobe Devanagari" w:hAnsi="Adobe Devanagari"/>
          <w:sz w:val="28"/>
          <w:szCs w:val="28"/>
        </w:rPr>
        <w:t>possuem ampla</w:t>
      </w:r>
      <w:r w:rsidR="002A6745">
        <w:rPr>
          <w:rFonts w:ascii="Adobe Devanagari" w:hAnsi="Adobe Devanagari"/>
          <w:sz w:val="28"/>
          <w:szCs w:val="28"/>
        </w:rPr>
        <w:t xml:space="preserve"> atividade fungicida</w:t>
      </w:r>
      <w:r w:rsidR="00BE2BAC">
        <w:rPr>
          <w:rFonts w:ascii="Adobe Devanagari" w:hAnsi="Adobe Devanagari"/>
          <w:sz w:val="28"/>
          <w:szCs w:val="28"/>
        </w:rPr>
        <w:t xml:space="preserve"> </w:t>
      </w:r>
      <w:r w:rsidR="009D2AF4">
        <w:rPr>
          <w:rFonts w:ascii="Adobe Devanagari" w:hAnsi="Adobe Devanagari"/>
          <w:sz w:val="28"/>
          <w:szCs w:val="28"/>
        </w:rPr>
        <w:t>empregados na indústria alimentar, sendo assim</w:t>
      </w:r>
      <w:r w:rsidR="00C7344C">
        <w:rPr>
          <w:rFonts w:ascii="Adobe Devanagari" w:hAnsi="Adobe Devanagari"/>
          <w:color w:val="000000"/>
          <w:sz w:val="28"/>
          <w:szCs w:val="28"/>
          <w:shd w:val="clear" w:color="auto" w:fill="FFFFFF"/>
        </w:rPr>
        <w:t xml:space="preserve"> </w:t>
      </w:r>
      <w:r w:rsidR="009D2AF4">
        <w:rPr>
          <w:rFonts w:ascii="Adobe Devanagari" w:hAnsi="Adobe Devanagari"/>
          <w:color w:val="000000"/>
          <w:sz w:val="28"/>
          <w:szCs w:val="28"/>
          <w:shd w:val="clear" w:color="auto" w:fill="FFFFFF"/>
        </w:rPr>
        <w:t>o</w:t>
      </w:r>
      <w:r w:rsidR="00ED23FA">
        <w:rPr>
          <w:rFonts w:ascii="Adobe Devanagari" w:hAnsi="Adobe Devanagari"/>
          <w:color w:val="000000"/>
          <w:sz w:val="28"/>
          <w:szCs w:val="28"/>
          <w:shd w:val="clear" w:color="auto" w:fill="FFFFFF"/>
        </w:rPr>
        <w:t>s b</w:t>
      </w:r>
      <w:r w:rsidR="002F73C8">
        <w:rPr>
          <w:rFonts w:ascii="Adobe Devanagari" w:hAnsi="Adobe Devanagari"/>
          <w:color w:val="000000"/>
          <w:sz w:val="28"/>
          <w:szCs w:val="28"/>
          <w:shd w:val="clear" w:color="auto" w:fill="FFFFFF"/>
        </w:rPr>
        <w:t>iofilmes</w:t>
      </w:r>
      <w:r w:rsidR="002A6745">
        <w:rPr>
          <w:rFonts w:ascii="Adobe Devanagari" w:hAnsi="Adobe Devanagari"/>
          <w:color w:val="000000"/>
          <w:sz w:val="28"/>
          <w:szCs w:val="28"/>
          <w:shd w:val="clear" w:color="auto" w:fill="FFFFFF"/>
        </w:rPr>
        <w:t xml:space="preserve"> utilizados em conservação de alimentos</w:t>
      </w:r>
      <w:r w:rsidR="002F73C8">
        <w:rPr>
          <w:rFonts w:ascii="Adobe Devanagari" w:hAnsi="Adobe Devanagari"/>
          <w:color w:val="000000"/>
          <w:sz w:val="28"/>
          <w:szCs w:val="28"/>
          <w:shd w:val="clear" w:color="auto" w:fill="FFFFFF"/>
        </w:rPr>
        <w:t xml:space="preserve">. 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OBJETIVO:</w:t>
      </w:r>
      <w:r w:rsidR="007D2C5E"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 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Avaliar a atividade </w:t>
      </w:r>
      <w:r w:rsidR="00DE2670" w:rsidRPr="00F8309F">
        <w:rPr>
          <w:rFonts w:ascii="Adobe Devanagari" w:hAnsi="Adobe Devanagari" w:cs="Adobe Devanagari"/>
          <w:sz w:val="28"/>
          <w:szCs w:val="28"/>
        </w:rPr>
        <w:t>fungicida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943F24">
        <w:rPr>
          <w:rFonts w:ascii="Adobe Devanagari" w:hAnsi="Adobe Devanagari" w:cs="Adobe Devanagari"/>
          <w:sz w:val="28"/>
          <w:szCs w:val="28"/>
        </w:rPr>
        <w:t>do biofilme</w:t>
      </w:r>
      <w:r w:rsidR="009C0DED">
        <w:rPr>
          <w:rFonts w:ascii="Adobe Devanagari" w:hAnsi="Adobe Devanagari" w:cs="Adobe Devanagari"/>
          <w:sz w:val="28"/>
          <w:szCs w:val="28"/>
        </w:rPr>
        <w:t xml:space="preserve"> </w:t>
      </w:r>
      <w:r w:rsidR="000F4ED6" w:rsidRPr="00F8309F">
        <w:rPr>
          <w:rFonts w:ascii="Adobe Devanagari" w:hAnsi="Adobe Devanagari" w:cs="Adobe Devanagari"/>
          <w:sz w:val="28"/>
          <w:szCs w:val="28"/>
        </w:rPr>
        <w:t>do óleo essencia</w:t>
      </w:r>
      <w:r w:rsidR="00943F24">
        <w:rPr>
          <w:rFonts w:ascii="Adobe Devanagari" w:hAnsi="Adobe Devanagari" w:cs="Adobe Devanagari"/>
          <w:sz w:val="28"/>
          <w:szCs w:val="28"/>
        </w:rPr>
        <w:t>l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(OE) de </w:t>
      </w:r>
      <w:r w:rsidR="00943F24" w:rsidRPr="00943F24">
        <w:rPr>
          <w:rFonts w:ascii="Adobe Devanagari" w:hAnsi="Adobe Devanagari" w:cs="Adobe Devanagari"/>
          <w:i/>
          <w:iCs/>
          <w:sz w:val="28"/>
          <w:szCs w:val="28"/>
        </w:rPr>
        <w:t xml:space="preserve">Citrus aurantifolia </w:t>
      </w:r>
      <w:r w:rsidR="00943F24" w:rsidRPr="00C83EFD">
        <w:rPr>
          <w:rFonts w:ascii="Adobe Devanagari" w:hAnsi="Adobe Devanagari" w:cs="Adobe Devanagari"/>
          <w:sz w:val="28"/>
          <w:szCs w:val="28"/>
        </w:rPr>
        <w:t>Swing var. taiti</w:t>
      </w:r>
      <w:r w:rsidR="00943F24" w:rsidRPr="00943F24">
        <w:rPr>
          <w:rFonts w:ascii="Adobe Devanagari" w:hAnsi="Adobe Devanagari" w:cs="Adobe Devanagari"/>
          <w:i/>
          <w:iCs/>
          <w:sz w:val="28"/>
          <w:szCs w:val="28"/>
        </w:rPr>
        <w:t xml:space="preserve"> 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frente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Aspergillus niger</w:t>
      </w:r>
      <w:r w:rsidR="008C3518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Colletotrichum gloeosporioides</w:t>
      </w:r>
      <w:r w:rsidR="008C3518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Penicillium chrysogenum</w:t>
      </w:r>
      <w:r w:rsidR="008C3518" w:rsidRPr="00F8309F">
        <w:rPr>
          <w:rFonts w:ascii="Adobe Devanagari" w:hAnsi="Adobe Devanagari" w:cs="Adobe Devanagari"/>
          <w:sz w:val="28"/>
          <w:szCs w:val="28"/>
        </w:rPr>
        <w:t>.</w:t>
      </w:r>
      <w:r w:rsidR="007D2C5E" w:rsidRPr="00F8309F">
        <w:rPr>
          <w:rFonts w:ascii="Adobe Devanagari" w:hAnsi="Adobe Devanagari" w:cs="Adobe Devanagari"/>
          <w:sz w:val="28"/>
          <w:szCs w:val="28"/>
        </w:rPr>
        <w:t>;</w:t>
      </w:r>
      <w:r w:rsidR="007D2C5E" w:rsidRPr="00F8309F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MATERIAL E MÉTODOS: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Foram coletadas cascas do fruto de </w:t>
      </w:r>
      <w:r w:rsidR="00764D91" w:rsidRPr="00F8309F">
        <w:rPr>
          <w:rFonts w:ascii="Adobe Devanagari" w:hAnsi="Adobe Devanagari" w:cs="Adobe Devanagari"/>
          <w:i/>
          <w:iCs/>
          <w:sz w:val="28"/>
          <w:szCs w:val="28"/>
          <w:lang w:val="de-DE"/>
        </w:rPr>
        <w:t xml:space="preserve">C. </w:t>
      </w:r>
      <w:r w:rsidR="00943F24">
        <w:rPr>
          <w:rFonts w:ascii="Adobe Devanagari" w:hAnsi="Adobe Devanagari" w:cs="Adobe Devanagari"/>
          <w:i/>
          <w:iCs/>
          <w:sz w:val="28"/>
          <w:szCs w:val="28"/>
          <w:lang w:val="de-DE"/>
        </w:rPr>
        <w:t>latifolia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 em São Luís (MA), posteriormente secas, trituradas </w:t>
      </w:r>
      <w:r w:rsidR="00CA7A51">
        <w:rPr>
          <w:rFonts w:ascii="Adobe Devanagari" w:hAnsi="Adobe Devanagari" w:cs="Adobe Devanagari"/>
          <w:sz w:val="28"/>
          <w:szCs w:val="28"/>
          <w:lang w:val="de-DE"/>
        </w:rPr>
        <w:t xml:space="preserve">e moídas. Foram utilizadas 100g </w:t>
      </w:r>
      <w:r w:rsidR="009D2AF4">
        <w:rPr>
          <w:rFonts w:ascii="Adobe Devanagari" w:hAnsi="Adobe Devanagari" w:cs="Adobe Devanagari"/>
          <w:sz w:val="28"/>
          <w:szCs w:val="28"/>
          <w:lang w:val="de-DE"/>
        </w:rPr>
        <w:t xml:space="preserve">das cascas secas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>para obtenção do</w:t>
      </w:r>
      <w:r w:rsidR="00F542D3">
        <w:rPr>
          <w:rFonts w:ascii="Adobe Devanagari" w:hAnsi="Adobe Devanagari" w:cs="Adobe Devanagari"/>
          <w:sz w:val="28"/>
          <w:szCs w:val="28"/>
          <w:lang w:val="de-DE"/>
        </w:rPr>
        <w:t xml:space="preserve">s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>OE</w:t>
      </w:r>
      <w:r w:rsidR="00F542D3">
        <w:rPr>
          <w:rFonts w:ascii="Adobe Devanagari" w:hAnsi="Adobe Devanagari" w:cs="Adobe Devanagari"/>
          <w:sz w:val="28"/>
          <w:szCs w:val="28"/>
        </w:rPr>
        <w:t>’</w:t>
      </w:r>
      <w:r w:rsidR="00F542D3">
        <w:rPr>
          <w:rFonts w:ascii="Adobe Devanagari" w:hAnsi="Adobe Devanagari" w:cs="Adobe Devanagari"/>
          <w:sz w:val="28"/>
          <w:szCs w:val="28"/>
          <w:lang w:val="de-DE"/>
        </w:rPr>
        <w:t>s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 pelo método de hidrodestilação. </w:t>
      </w:r>
      <w:r w:rsidR="008210F3" w:rsidRPr="008210F3">
        <w:rPr>
          <w:rFonts w:ascii="Adobe Devanagari" w:hAnsi="Adobe Devanagari" w:cs="Adobe Devanagari"/>
          <w:bCs/>
          <w:iCs/>
          <w:sz w:val="28"/>
          <w:szCs w:val="28"/>
        </w:rPr>
        <w:t>Os filmes de alginato de sódio foram preparados por casting</w:t>
      </w:r>
      <w:r w:rsidR="008210F3">
        <w:rPr>
          <w:rFonts w:ascii="Adobe Devanagari" w:hAnsi="Adobe Devanagari" w:cs="Adobe Devanagari"/>
          <w:bCs/>
          <w:iCs/>
          <w:sz w:val="28"/>
          <w:szCs w:val="28"/>
        </w:rPr>
        <w:t xml:space="preserve">. </w:t>
      </w:r>
      <w:r w:rsidR="008210F3" w:rsidRPr="008210F3">
        <w:rPr>
          <w:rFonts w:ascii="Adobe Devanagari" w:hAnsi="Adobe Devanagari" w:cs="Adobe Devanagari"/>
          <w:bCs/>
          <w:iCs/>
          <w:sz w:val="28"/>
          <w:szCs w:val="28"/>
        </w:rPr>
        <w:t>O glicerol (0,6 g/g alginato) foi solubilizado em água destilada sob agitação mecânica de 900 rpm (</w:t>
      </w:r>
      <w:proofErr w:type="spellStart"/>
      <w:r w:rsidR="008210F3" w:rsidRPr="008210F3">
        <w:rPr>
          <w:rFonts w:ascii="Adobe Devanagari" w:hAnsi="Adobe Devanagari" w:cs="Adobe Devanagari"/>
          <w:bCs/>
          <w:iCs/>
          <w:sz w:val="28"/>
          <w:szCs w:val="28"/>
        </w:rPr>
        <w:t>Tecnal</w:t>
      </w:r>
      <w:proofErr w:type="spellEnd"/>
      <w:r w:rsidR="008210F3" w:rsidRPr="008210F3">
        <w:rPr>
          <w:rFonts w:ascii="Adobe Devanagari" w:hAnsi="Adobe Devanagari" w:cs="Adobe Devanagari"/>
          <w:bCs/>
          <w:iCs/>
          <w:sz w:val="28"/>
          <w:szCs w:val="28"/>
        </w:rPr>
        <w:t>, modelo TE-139, Brasil) por 15 minu</w:t>
      </w:r>
      <w:r w:rsidR="003A287B">
        <w:rPr>
          <w:rFonts w:ascii="Adobe Devanagari" w:hAnsi="Adobe Devanagari" w:cs="Adobe Devanagari"/>
          <w:bCs/>
          <w:iCs/>
          <w:sz w:val="28"/>
          <w:szCs w:val="28"/>
        </w:rPr>
        <w:t>tos. Em seguida adicionou-se 0,86 g alginato de sódio/48,8</w:t>
      </w:r>
      <w:r w:rsidR="008210F3" w:rsidRPr="008210F3">
        <w:rPr>
          <w:rFonts w:ascii="Adobe Devanagari" w:hAnsi="Adobe Devanagari" w:cs="Adobe Devanagari"/>
          <w:bCs/>
          <w:iCs/>
          <w:sz w:val="28"/>
          <w:szCs w:val="28"/>
        </w:rPr>
        <w:t xml:space="preserve"> mL água destilada mantendo-se as mesmas condições de agitação por 15 minutos. Em seguida, a mistura foi aquecida até 70 °C, sob agitação por 30 minutos visando à perfeita dissolução do polímero. Posteriormente, resfriou-se a solução até a temperatura de 40°C, onde </w:t>
      </w:r>
      <w:r w:rsidR="00CA7A51" w:rsidRPr="008210F3">
        <w:rPr>
          <w:rFonts w:ascii="Adobe Devanagari" w:hAnsi="Adobe Devanagari" w:cs="Adobe Devanagari"/>
          <w:bCs/>
          <w:iCs/>
          <w:sz w:val="28"/>
          <w:szCs w:val="28"/>
        </w:rPr>
        <w:t>se adicionou</w:t>
      </w:r>
      <w:r w:rsidR="008210F3" w:rsidRPr="008210F3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764854">
        <w:rPr>
          <w:rFonts w:ascii="Adobe Devanagari" w:hAnsi="Adobe Devanagari" w:cs="Adobe Devanagari"/>
          <w:bCs/>
          <w:iCs/>
          <w:sz w:val="28"/>
          <w:szCs w:val="28"/>
        </w:rPr>
        <w:t>100</w:t>
      </w:r>
      <w:r w:rsidR="009D2AF4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764854">
        <w:rPr>
          <w:rFonts w:ascii="Times New Roman" w:hAnsi="Times New Roman" w:cs="Times New Roman"/>
          <w:bCs/>
          <w:iCs/>
          <w:sz w:val="28"/>
          <w:szCs w:val="28"/>
        </w:rPr>
        <w:t>μ</w:t>
      </w:r>
      <w:r w:rsidR="00764854">
        <w:rPr>
          <w:rFonts w:ascii="Adobe Devanagari" w:hAnsi="Adobe Devanagari" w:cs="Adobe Devanagari"/>
          <w:bCs/>
          <w:iCs/>
          <w:sz w:val="28"/>
          <w:szCs w:val="28"/>
        </w:rPr>
        <w:t xml:space="preserve">L do </w:t>
      </w:r>
      <w:r w:rsidR="009D2AF4">
        <w:rPr>
          <w:rFonts w:ascii="Adobe Devanagari" w:hAnsi="Adobe Devanagari" w:cs="Adobe Devanagari"/>
          <w:bCs/>
          <w:iCs/>
          <w:sz w:val="28"/>
          <w:szCs w:val="28"/>
        </w:rPr>
        <w:t>OE</w:t>
      </w:r>
      <w:r w:rsidR="002F73C8">
        <w:rPr>
          <w:rFonts w:ascii="Adobe Devanagari" w:hAnsi="Adobe Devanagari" w:cs="Adobe Devanagari"/>
          <w:bCs/>
          <w:iCs/>
          <w:sz w:val="28"/>
          <w:szCs w:val="28"/>
        </w:rPr>
        <w:t xml:space="preserve"> em</w:t>
      </w:r>
      <w:r w:rsidR="008210F3" w:rsidRPr="008210F3">
        <w:rPr>
          <w:rFonts w:ascii="Adobe Devanagari" w:hAnsi="Adobe Devanagari" w:cs="Adobe Devanagari"/>
          <w:bCs/>
          <w:iCs/>
          <w:sz w:val="28"/>
          <w:szCs w:val="28"/>
        </w:rPr>
        <w:t xml:space="preserve"> agitação por 15 minutos.</w:t>
      </w:r>
      <w:r w:rsidR="00FD6186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8210F3" w:rsidRPr="008210F3">
        <w:rPr>
          <w:rFonts w:ascii="Adobe Devanagari" w:hAnsi="Adobe Devanagari" w:cs="Adobe Devanagari"/>
          <w:bCs/>
          <w:iCs/>
          <w:sz w:val="28"/>
          <w:szCs w:val="28"/>
        </w:rPr>
        <w:t>Após o período de dissolução, 50 g foram vertidas em placas de acrílico de 225 cm² de área e mantidas por 20 horas em estufa com recirculação de ar (FANEM 520, Brasil) a 45°C.</w:t>
      </w:r>
      <w:r w:rsidR="008210F3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C83EFD" w:rsidRPr="00C83EFD">
        <w:rPr>
          <w:rFonts w:ascii="Adobe Devanagari" w:hAnsi="Adobe Devanagari" w:cs="Adobe Devanagari"/>
          <w:bCs/>
          <w:iCs/>
          <w:sz w:val="28"/>
          <w:szCs w:val="28"/>
        </w:rPr>
        <w:t xml:space="preserve">A técnica de difusão de disco foi realizada segundo </w:t>
      </w:r>
      <w:bookmarkStart w:id="1" w:name="_Hlk20598667"/>
      <w:r w:rsidR="00C83EFD" w:rsidRPr="00C83EFD">
        <w:rPr>
          <w:rFonts w:ascii="Adobe Devanagari" w:hAnsi="Adobe Devanagari" w:cs="Adobe Devanagari"/>
          <w:bCs/>
          <w:iCs/>
          <w:sz w:val="28"/>
          <w:szCs w:val="28"/>
        </w:rPr>
        <w:t xml:space="preserve">Clinical </w:t>
      </w:r>
      <w:r w:rsidR="00C83EFD" w:rsidRPr="00C83EFD">
        <w:rPr>
          <w:rFonts w:ascii="Adobe Devanagari" w:hAnsi="Adobe Devanagari" w:cs="Adobe Devanagari"/>
          <w:bCs/>
          <w:iCs/>
          <w:sz w:val="28"/>
          <w:szCs w:val="28"/>
        </w:rPr>
        <w:lastRenderedPageBreak/>
        <w:t>and Laboratory Standards Institute</w:t>
      </w:r>
      <w:bookmarkEnd w:id="1"/>
      <w:r w:rsidR="00C83EFD" w:rsidRPr="00C83EFD">
        <w:rPr>
          <w:rFonts w:ascii="Adobe Devanagari" w:hAnsi="Adobe Devanagari" w:cs="Adobe Devanagari"/>
          <w:bCs/>
          <w:iCs/>
          <w:sz w:val="28"/>
          <w:szCs w:val="28"/>
        </w:rPr>
        <w:t xml:space="preserve"> que padroniza os testes de sensibilidade de antimicrobianos por disco-difusão. Primeiro foram preparadas as placas com o meio de cultura Ágar </w:t>
      </w:r>
      <w:proofErr w:type="spellStart"/>
      <w:r w:rsidR="00C83EFD" w:rsidRPr="00C83EFD">
        <w:rPr>
          <w:rFonts w:ascii="Adobe Devanagari" w:hAnsi="Adobe Devanagari" w:cs="Adobe Devanagari"/>
          <w:bCs/>
          <w:iCs/>
          <w:sz w:val="28"/>
          <w:szCs w:val="28"/>
        </w:rPr>
        <w:t>Sabourad</w:t>
      </w:r>
      <w:proofErr w:type="spellEnd"/>
      <w:r w:rsidR="00C83EFD" w:rsidRPr="00C83EFD">
        <w:rPr>
          <w:rFonts w:ascii="Adobe Devanagari" w:hAnsi="Adobe Devanagari" w:cs="Adobe Devanagari"/>
          <w:bCs/>
          <w:iCs/>
          <w:sz w:val="28"/>
          <w:szCs w:val="28"/>
        </w:rPr>
        <w:t xml:space="preserve"> Dextrose (ASD) para os fungos e após sua solidificação foi distribuído à suspensão fúngica na superfície do ágar e deixado em repouso à temperatura ambiente por 30 min. Logo após são preparados os discos</w:t>
      </w:r>
      <w:r w:rsidR="008210F3">
        <w:rPr>
          <w:rFonts w:ascii="Adobe Devanagari" w:hAnsi="Adobe Devanagari" w:cs="Adobe Devanagari"/>
          <w:bCs/>
          <w:iCs/>
          <w:sz w:val="28"/>
          <w:szCs w:val="28"/>
        </w:rPr>
        <w:t xml:space="preserve"> (d=</w:t>
      </w:r>
      <w:r w:rsidR="00C83EFD" w:rsidRPr="00C83EFD">
        <w:rPr>
          <w:rFonts w:ascii="Adobe Devanagari" w:hAnsi="Adobe Devanagari" w:cs="Adobe Devanagari"/>
          <w:bCs/>
          <w:iCs/>
          <w:sz w:val="28"/>
          <w:szCs w:val="28"/>
        </w:rPr>
        <w:t>7</w:t>
      </w:r>
      <w:r w:rsidR="008210F3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C83EFD" w:rsidRPr="00C83EFD">
        <w:rPr>
          <w:rFonts w:ascii="Adobe Devanagari" w:hAnsi="Adobe Devanagari" w:cs="Adobe Devanagari"/>
          <w:bCs/>
          <w:iCs/>
          <w:sz w:val="28"/>
          <w:szCs w:val="28"/>
        </w:rPr>
        <w:t>mm</w:t>
      </w:r>
      <w:r w:rsidR="008210F3">
        <w:rPr>
          <w:rFonts w:ascii="Adobe Devanagari" w:hAnsi="Adobe Devanagari" w:cs="Adobe Devanagari"/>
          <w:bCs/>
          <w:iCs/>
          <w:sz w:val="28"/>
          <w:szCs w:val="28"/>
        </w:rPr>
        <w:t>)</w:t>
      </w:r>
      <w:r w:rsidR="00C83EFD" w:rsidRPr="00C83EFD">
        <w:rPr>
          <w:rFonts w:ascii="Adobe Devanagari" w:hAnsi="Adobe Devanagari" w:cs="Adobe Devanagari"/>
          <w:bCs/>
          <w:iCs/>
          <w:sz w:val="28"/>
          <w:szCs w:val="28"/>
        </w:rPr>
        <w:t xml:space="preserve"> dos biofilmes</w:t>
      </w:r>
      <w:r w:rsidR="008210F3">
        <w:rPr>
          <w:rFonts w:ascii="Adobe Devanagari" w:hAnsi="Adobe Devanagari" w:cs="Adobe Devanagari"/>
          <w:bCs/>
          <w:iCs/>
          <w:sz w:val="28"/>
          <w:szCs w:val="28"/>
        </w:rPr>
        <w:t xml:space="preserve"> e u</w:t>
      </w:r>
      <w:r w:rsidR="00C83EFD" w:rsidRPr="00C83EFD">
        <w:rPr>
          <w:rFonts w:ascii="Adobe Devanagari" w:hAnsi="Adobe Devanagari" w:cs="Adobe Devanagari"/>
          <w:bCs/>
          <w:iCs/>
          <w:sz w:val="28"/>
          <w:szCs w:val="28"/>
        </w:rPr>
        <w:t xml:space="preserve">tilizando-se pinça esterilizada </w:t>
      </w:r>
      <w:r w:rsidR="008210F3">
        <w:rPr>
          <w:rFonts w:ascii="Adobe Devanagari" w:hAnsi="Adobe Devanagari" w:cs="Adobe Devanagari"/>
          <w:bCs/>
          <w:iCs/>
          <w:sz w:val="28"/>
          <w:szCs w:val="28"/>
        </w:rPr>
        <w:t>são</w:t>
      </w:r>
      <w:r w:rsidR="00C83EFD" w:rsidRPr="00C83EFD">
        <w:rPr>
          <w:rFonts w:ascii="Adobe Devanagari" w:hAnsi="Adobe Devanagari" w:cs="Adobe Devanagari"/>
          <w:bCs/>
          <w:iCs/>
          <w:sz w:val="28"/>
          <w:szCs w:val="28"/>
        </w:rPr>
        <w:t xml:space="preserve"> distribuídos sobre a superfície do ágar. As placas foram incubadas em estufa a 35 °C por 24 horas. Os diâmetros dos halos de inibição foram mensurados, incluindo o diâmetro do disco. Esses ensaios foram feitos em triplicata. Os valores dos halos de inibição foram as médias das medidas dos três resultados. </w:t>
      </w:r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Foram utilizadas suspensões padronizadas de cepas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Aspergillus niger </w:t>
      </w:r>
      <w:r w:rsidR="001A26B2" w:rsidRPr="00F8309F">
        <w:rPr>
          <w:rFonts w:ascii="Adobe Devanagari" w:hAnsi="Adobe Devanagari" w:cs="Adobe Devanagari"/>
          <w:sz w:val="28"/>
          <w:szCs w:val="28"/>
          <w:lang w:bidi="pt-BR"/>
        </w:rPr>
        <w:t>(ATCC 6275)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,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Colletotrichum gloeosporioides</w:t>
      </w:r>
      <w:r w:rsidR="001A26B2" w:rsidRPr="00F8309F">
        <w:rPr>
          <w:rFonts w:ascii="Adobe Devanagari" w:hAnsi="Adobe Devanagari" w:cs="Adobe Devanagari"/>
          <w:bCs/>
          <w:sz w:val="28"/>
          <w:szCs w:val="28"/>
        </w:rPr>
        <w:t xml:space="preserve"> </w:t>
      </w:r>
      <w:r w:rsidR="001A26B2" w:rsidRPr="00F8309F">
        <w:rPr>
          <w:rFonts w:ascii="Adobe Devanagari" w:hAnsi="Adobe Devanagari" w:cs="Adobe Devanagari"/>
          <w:bCs/>
          <w:sz w:val="28"/>
          <w:szCs w:val="28"/>
          <w:lang w:bidi="pt-BR"/>
        </w:rPr>
        <w:t>(ATCC 96723)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,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Penicillium chrysogenum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1A26B2" w:rsidRPr="00F8309F">
        <w:rPr>
          <w:rFonts w:ascii="Adobe Devanagari" w:hAnsi="Adobe Devanagari" w:cs="Adobe Devanagari"/>
          <w:iCs/>
          <w:sz w:val="28"/>
          <w:szCs w:val="28"/>
          <w:lang w:bidi="pt-BR"/>
        </w:rPr>
        <w:t>(ATCC 10106)</w:t>
      </w:r>
      <w:r w:rsidR="001A26B2" w:rsidRPr="00F8309F">
        <w:rPr>
          <w:rFonts w:ascii="Adobe Devanagari" w:hAnsi="Adobe Devanagari" w:cs="Adobe Devanagari"/>
          <w:b/>
          <w:bCs/>
          <w:iCs/>
          <w:sz w:val="28"/>
          <w:szCs w:val="28"/>
          <w:lang w:bidi="pt-BR"/>
        </w:rPr>
        <w:t xml:space="preserve"> </w:t>
      </w:r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em Ágar </w:t>
      </w:r>
      <w:proofErr w:type="spellStart"/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>Sabourad</w:t>
      </w:r>
      <w:proofErr w:type="spellEnd"/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Dextrose e Caldo BHI, RPMI e MH. </w:t>
      </w:r>
      <w:r w:rsidRPr="00871F25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RESULTADOS: </w:t>
      </w:r>
      <w:r w:rsidR="00AF6445" w:rsidRPr="00AF6445">
        <w:rPr>
          <w:rFonts w:ascii="Adobe Devanagari" w:hAnsi="Adobe Devanagari" w:cs="Adobe Devanagari"/>
          <w:color w:val="000000" w:themeColor="text1"/>
          <w:sz w:val="28"/>
          <w:szCs w:val="28"/>
        </w:rPr>
        <w:t>O</w:t>
      </w:r>
      <w:r w:rsidR="00CA7A51">
        <w:rPr>
          <w:rFonts w:ascii="Adobe Devanagari" w:hAnsi="Adobe Devanagari" w:cs="Adobe Devanagari"/>
          <w:color w:val="000000" w:themeColor="text1"/>
          <w:sz w:val="28"/>
          <w:szCs w:val="28"/>
        </w:rPr>
        <w:t xml:space="preserve">bservou-se </w:t>
      </w:r>
      <w:r w:rsidR="009D2AF4">
        <w:rPr>
          <w:rFonts w:ascii="Adobe Devanagari" w:hAnsi="Adobe Devanagari" w:cs="Adobe Devanagari"/>
          <w:color w:val="000000" w:themeColor="text1"/>
          <w:sz w:val="28"/>
          <w:szCs w:val="28"/>
        </w:rPr>
        <w:t>ação fungicida do</w:t>
      </w:r>
      <w:r w:rsidR="00AF6445" w:rsidRPr="00AF6445">
        <w:rPr>
          <w:rFonts w:ascii="Adobe Devanagari" w:hAnsi="Adobe Devanagari" w:cs="Adobe Devanagari"/>
          <w:color w:val="000000" w:themeColor="text1"/>
          <w:sz w:val="28"/>
          <w:szCs w:val="28"/>
        </w:rPr>
        <w:t xml:space="preserve"> biofilme de </w:t>
      </w:r>
      <w:r w:rsidR="00AF6445" w:rsidRPr="00AF6445">
        <w:rPr>
          <w:rFonts w:ascii="Adobe Devanagari" w:hAnsi="Adobe Devanagari" w:cs="Adobe Devanagari"/>
          <w:bCs/>
          <w:i/>
          <w:iCs/>
          <w:sz w:val="28"/>
          <w:szCs w:val="28"/>
        </w:rPr>
        <w:t>C</w:t>
      </w:r>
      <w:r w:rsidR="00A74FF7">
        <w:rPr>
          <w:rFonts w:ascii="Adobe Devanagari" w:hAnsi="Adobe Devanagari" w:cs="Adobe Devanagari"/>
          <w:bCs/>
          <w:i/>
          <w:iCs/>
          <w:sz w:val="28"/>
          <w:szCs w:val="28"/>
        </w:rPr>
        <w:t>.</w:t>
      </w:r>
      <w:r w:rsidR="00AF6445" w:rsidRPr="00AF6445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 aurantifolia</w:t>
      </w:r>
      <w:r w:rsidR="009D2AF4">
        <w:rPr>
          <w:rFonts w:ascii="Adobe Devanagari" w:hAnsi="Adobe Devanagari" w:cs="Adobe Devanagari"/>
          <w:bCs/>
          <w:i/>
          <w:iCs/>
          <w:sz w:val="28"/>
          <w:szCs w:val="28"/>
        </w:rPr>
        <w:t>.</w:t>
      </w:r>
      <w:r w:rsidR="00AF6445" w:rsidRPr="00AF6445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 </w:t>
      </w:r>
      <w:r w:rsidR="00A74FF7">
        <w:rPr>
          <w:rFonts w:ascii="Adobe Devanagari" w:hAnsi="Adobe Devanagari" w:cs="Adobe Devanagari"/>
          <w:bCs/>
          <w:sz w:val="28"/>
          <w:szCs w:val="28"/>
        </w:rPr>
        <w:t>Observou-se</w:t>
      </w:r>
      <w:r w:rsidR="00A74FF7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AF6445" w:rsidRPr="00AF6445">
        <w:rPr>
          <w:rFonts w:ascii="Adobe Devanagari" w:hAnsi="Adobe Devanagari" w:cs="Adobe Devanagari"/>
          <w:bCs/>
          <w:sz w:val="28"/>
          <w:szCs w:val="28"/>
        </w:rPr>
        <w:t>halos</w:t>
      </w:r>
      <w:r w:rsidR="00AF6445" w:rsidRPr="00AF6445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 </w:t>
      </w:r>
      <w:r w:rsidR="00A74FF7" w:rsidRPr="00A74FF7">
        <w:rPr>
          <w:rFonts w:ascii="Adobe Devanagari" w:hAnsi="Adobe Devanagari" w:cs="Adobe Devanagari"/>
          <w:color w:val="000000" w:themeColor="text1"/>
          <w:sz w:val="28"/>
          <w:szCs w:val="28"/>
        </w:rPr>
        <w:t>de inibição</w:t>
      </w:r>
      <w:r w:rsidR="00AF6445" w:rsidRPr="00AF6445">
        <w:rPr>
          <w:rFonts w:ascii="Adobe Devanagari" w:hAnsi="Adobe Devanagari" w:cs="Adobe Devanagari"/>
          <w:bCs/>
          <w:color w:val="000000" w:themeColor="text1"/>
          <w:sz w:val="28"/>
          <w:szCs w:val="28"/>
        </w:rPr>
        <w:t xml:space="preserve"> para </w:t>
      </w:r>
      <w:r w:rsidR="00AF6445" w:rsidRPr="00AF6445">
        <w:rPr>
          <w:rFonts w:ascii="Adobe Devanagari" w:hAnsi="Adobe Devanagari" w:cs="Adobe Devanagari"/>
          <w:i/>
          <w:iCs/>
          <w:sz w:val="28"/>
          <w:szCs w:val="28"/>
        </w:rPr>
        <w:t>A</w:t>
      </w:r>
      <w:r w:rsidR="00FF5874">
        <w:rPr>
          <w:rFonts w:ascii="Adobe Devanagari" w:hAnsi="Adobe Devanagari" w:cs="Adobe Devanagari"/>
          <w:i/>
          <w:iCs/>
          <w:sz w:val="28"/>
          <w:szCs w:val="28"/>
        </w:rPr>
        <w:t>.</w:t>
      </w:r>
      <w:r w:rsidR="00AF6445" w:rsidRPr="00AF6445">
        <w:rPr>
          <w:rFonts w:ascii="Adobe Devanagari" w:hAnsi="Adobe Devanagari" w:cs="Adobe Devanagari"/>
          <w:i/>
          <w:iCs/>
          <w:sz w:val="28"/>
          <w:szCs w:val="28"/>
        </w:rPr>
        <w:t xml:space="preserve"> niger</w:t>
      </w:r>
      <w:r w:rsidR="008E0BE7">
        <w:rPr>
          <w:rFonts w:ascii="Adobe Devanagari" w:hAnsi="Adobe Devanagari" w:cs="Adobe Devanagari"/>
          <w:iCs/>
          <w:sz w:val="28"/>
          <w:szCs w:val="28"/>
        </w:rPr>
        <w:t xml:space="preserve"> em </w:t>
      </w:r>
      <w:r w:rsidR="00C7344C">
        <w:rPr>
          <w:rFonts w:ascii="Adobe Devanagari" w:hAnsi="Adobe Devanagari" w:cs="Adobe Devanagari"/>
          <w:iCs/>
          <w:sz w:val="28"/>
          <w:szCs w:val="28"/>
        </w:rPr>
        <w:t xml:space="preserve">17 mm </w:t>
      </w:r>
      <w:r w:rsidR="00AF6445" w:rsidRPr="00AF6445">
        <w:rPr>
          <w:rFonts w:ascii="Adobe Devanagari" w:hAnsi="Adobe Devanagari" w:cs="Adobe Devanagari"/>
          <w:iCs/>
          <w:sz w:val="28"/>
          <w:szCs w:val="28"/>
        </w:rPr>
        <w:t xml:space="preserve">e </w:t>
      </w:r>
      <w:r w:rsidR="008E0BE7">
        <w:rPr>
          <w:rFonts w:ascii="Adobe Devanagari" w:hAnsi="Adobe Devanagari" w:cs="Adobe Devanagari"/>
          <w:iCs/>
          <w:sz w:val="28"/>
          <w:szCs w:val="28"/>
        </w:rPr>
        <w:t xml:space="preserve">para </w:t>
      </w:r>
      <w:r w:rsidR="00AF6445" w:rsidRPr="00AF6445">
        <w:rPr>
          <w:rFonts w:ascii="Adobe Devanagari" w:hAnsi="Adobe Devanagari" w:cs="Adobe Devanagari"/>
          <w:i/>
          <w:iCs/>
          <w:sz w:val="28"/>
          <w:szCs w:val="28"/>
        </w:rPr>
        <w:t>P</w:t>
      </w:r>
      <w:r w:rsidR="00FF5874">
        <w:rPr>
          <w:rFonts w:ascii="Adobe Devanagari" w:hAnsi="Adobe Devanagari" w:cs="Adobe Devanagari"/>
          <w:i/>
          <w:iCs/>
          <w:sz w:val="28"/>
          <w:szCs w:val="28"/>
        </w:rPr>
        <w:t>.</w:t>
      </w:r>
      <w:r w:rsidR="00AF6445" w:rsidRPr="00AF6445">
        <w:rPr>
          <w:rFonts w:ascii="Adobe Devanagari" w:hAnsi="Adobe Devanagari" w:cs="Adobe Devanagari"/>
          <w:i/>
          <w:iCs/>
          <w:sz w:val="28"/>
          <w:szCs w:val="28"/>
        </w:rPr>
        <w:t xml:space="preserve"> chrysogenum </w:t>
      </w:r>
      <w:r w:rsidR="008E0BE7" w:rsidRPr="008E0BE7">
        <w:rPr>
          <w:rFonts w:ascii="Adobe Devanagari" w:hAnsi="Adobe Devanagari" w:cs="Adobe Devanagari"/>
          <w:sz w:val="28"/>
          <w:szCs w:val="28"/>
        </w:rPr>
        <w:t xml:space="preserve">em </w:t>
      </w:r>
      <w:r w:rsidR="00C7344C">
        <w:rPr>
          <w:rFonts w:ascii="Adobe Devanagari" w:hAnsi="Adobe Devanagari" w:cs="Adobe Devanagari"/>
          <w:iCs/>
          <w:sz w:val="28"/>
          <w:szCs w:val="28"/>
        </w:rPr>
        <w:t>15 mm</w:t>
      </w:r>
      <w:r w:rsidR="00AF6445">
        <w:rPr>
          <w:rFonts w:ascii="Adobe Devanagari" w:hAnsi="Adobe Devanagari" w:cs="Adobe Devanagari"/>
          <w:iCs/>
          <w:sz w:val="28"/>
          <w:szCs w:val="28"/>
        </w:rPr>
        <w:t xml:space="preserve">, </w:t>
      </w:r>
      <w:r w:rsidR="008E0BE7">
        <w:rPr>
          <w:rFonts w:ascii="Adobe Devanagari" w:hAnsi="Adobe Devanagari" w:cs="Adobe Devanagari"/>
          <w:iCs/>
          <w:sz w:val="28"/>
          <w:szCs w:val="28"/>
        </w:rPr>
        <w:t>ambos os halos classificados como sensíveis, afirmando o potencial de controle dos fungos testados</w:t>
      </w:r>
      <w:r w:rsidR="00AF6445">
        <w:rPr>
          <w:rFonts w:ascii="Adobe Devanagari" w:hAnsi="Adobe Devanagari" w:cs="Adobe Devanagari"/>
          <w:iCs/>
          <w:sz w:val="28"/>
          <w:szCs w:val="28"/>
        </w:rPr>
        <w:t xml:space="preserve">. </w:t>
      </w:r>
      <w:r w:rsidR="00FF5874">
        <w:rPr>
          <w:rFonts w:ascii="Adobe Devanagari" w:hAnsi="Adobe Devanagari" w:cs="Adobe Devanagari"/>
          <w:iCs/>
          <w:sz w:val="28"/>
          <w:szCs w:val="28"/>
        </w:rPr>
        <w:t>Não se observou ação fungicida do biofilme frente</w:t>
      </w:r>
      <w:r w:rsidR="00AF6445" w:rsidRPr="00AF6445">
        <w:rPr>
          <w:rFonts w:ascii="Adobe Devanagari" w:hAnsi="Adobe Devanagari" w:cs="Adobe Devanagari"/>
          <w:iCs/>
          <w:sz w:val="28"/>
          <w:szCs w:val="28"/>
        </w:rPr>
        <w:t xml:space="preserve"> </w:t>
      </w:r>
      <w:r w:rsidR="00AF6445" w:rsidRPr="00AF6445">
        <w:rPr>
          <w:rFonts w:ascii="Adobe Devanagari" w:hAnsi="Adobe Devanagari" w:cs="Adobe Devanagari"/>
          <w:i/>
          <w:iCs/>
          <w:sz w:val="28"/>
          <w:szCs w:val="28"/>
        </w:rPr>
        <w:t>C</w:t>
      </w:r>
      <w:r w:rsidR="00FF5874">
        <w:rPr>
          <w:rFonts w:ascii="Adobe Devanagari" w:hAnsi="Adobe Devanagari" w:cs="Adobe Devanagari"/>
          <w:i/>
          <w:iCs/>
          <w:sz w:val="28"/>
          <w:szCs w:val="28"/>
        </w:rPr>
        <w:t>.</w:t>
      </w:r>
      <w:r w:rsidR="00AF6445" w:rsidRPr="00AF6445">
        <w:rPr>
          <w:rFonts w:ascii="Adobe Devanagari" w:hAnsi="Adobe Devanagari" w:cs="Adobe Devanagari"/>
          <w:i/>
          <w:iCs/>
          <w:sz w:val="28"/>
          <w:szCs w:val="28"/>
        </w:rPr>
        <w:t xml:space="preserve"> gloeosporioides</w:t>
      </w:r>
      <w:r w:rsidR="00950099">
        <w:rPr>
          <w:rFonts w:ascii="Adobe Devanagari" w:hAnsi="Adobe Devanagari" w:cs="Adobe Devanagari"/>
          <w:iCs/>
          <w:sz w:val="28"/>
          <w:szCs w:val="28"/>
        </w:rPr>
        <w:t xml:space="preserve">. </w:t>
      </w:r>
      <w:r w:rsidR="00203A60" w:rsidRPr="00871F25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CONSIDERAÇÕES</w:t>
      </w:r>
      <w:r w:rsidR="00203A60" w:rsidRPr="00CA7A51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 </w:t>
      </w:r>
      <w:r w:rsidR="00203A60" w:rsidRPr="00871F25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FINAIS</w:t>
      </w:r>
      <w:r w:rsidRPr="00871F25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:</w:t>
      </w:r>
      <w:r w:rsidR="00110068" w:rsidRPr="00871F25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F94F8B">
        <w:rPr>
          <w:rFonts w:ascii="Adobe Devanagari" w:hAnsi="Adobe Devanagari" w:cs="Adobe Devanagari"/>
          <w:color w:val="000000" w:themeColor="text1"/>
          <w:sz w:val="28"/>
          <w:szCs w:val="28"/>
        </w:rPr>
        <w:t xml:space="preserve">Através dos resultados obtidos, observou-se que o biofilme incorporado com o OE </w:t>
      </w:r>
      <w:r w:rsidR="008F58B3">
        <w:rPr>
          <w:rFonts w:ascii="Adobe Devanagari" w:hAnsi="Adobe Devanagari" w:cs="Adobe Devanagari"/>
          <w:color w:val="000000" w:themeColor="text1"/>
          <w:sz w:val="28"/>
          <w:szCs w:val="28"/>
        </w:rPr>
        <w:t>possui</w:t>
      </w:r>
      <w:r w:rsidR="00F94F8B">
        <w:rPr>
          <w:rFonts w:ascii="Adobe Devanagari" w:hAnsi="Adobe Devanagari" w:cs="Adobe Devanagari"/>
          <w:color w:val="000000" w:themeColor="text1"/>
          <w:sz w:val="28"/>
          <w:szCs w:val="28"/>
        </w:rPr>
        <w:t xml:space="preserve"> </w:t>
      </w:r>
      <w:r w:rsidR="00FF5874">
        <w:rPr>
          <w:rFonts w:ascii="Adobe Devanagari" w:hAnsi="Adobe Devanagari" w:cs="Adobe Devanagari"/>
          <w:color w:val="000000" w:themeColor="text1"/>
          <w:sz w:val="28"/>
          <w:szCs w:val="28"/>
        </w:rPr>
        <w:t>ação fungicida</w:t>
      </w:r>
      <w:r w:rsidR="00F94F8B">
        <w:rPr>
          <w:rFonts w:ascii="Adobe Devanagari" w:hAnsi="Adobe Devanagari" w:cs="Adobe Devanagari"/>
          <w:color w:val="000000" w:themeColor="text1"/>
          <w:sz w:val="28"/>
          <w:szCs w:val="28"/>
        </w:rPr>
        <w:t xml:space="preserve"> </w:t>
      </w:r>
      <w:r w:rsidR="002A6745">
        <w:rPr>
          <w:rFonts w:ascii="Adobe Devanagari" w:hAnsi="Adobe Devanagari" w:cs="Adobe Devanagari"/>
          <w:color w:val="000000" w:themeColor="text1"/>
          <w:sz w:val="28"/>
          <w:szCs w:val="28"/>
        </w:rPr>
        <w:t xml:space="preserve">frente </w:t>
      </w:r>
      <w:r w:rsidR="002329C3">
        <w:rPr>
          <w:rFonts w:ascii="Adobe Devanagari" w:hAnsi="Adobe Devanagari" w:cs="Adobe Devanagari"/>
          <w:color w:val="000000" w:themeColor="text1"/>
          <w:sz w:val="28"/>
          <w:szCs w:val="28"/>
        </w:rPr>
        <w:t>aos</w:t>
      </w:r>
      <w:r w:rsidR="00F94F8B">
        <w:rPr>
          <w:rFonts w:ascii="Adobe Devanagari" w:hAnsi="Adobe Devanagari" w:cs="Adobe Devanagari"/>
          <w:color w:val="000000" w:themeColor="text1"/>
          <w:sz w:val="28"/>
          <w:szCs w:val="28"/>
        </w:rPr>
        <w:t xml:space="preserve"> fungos</w:t>
      </w:r>
      <w:r w:rsidR="002A6745">
        <w:rPr>
          <w:rFonts w:ascii="Adobe Devanagari" w:hAnsi="Adobe Devanagari" w:cs="Adobe Devanagari"/>
          <w:color w:val="000000" w:themeColor="text1"/>
          <w:sz w:val="28"/>
          <w:szCs w:val="28"/>
        </w:rPr>
        <w:t xml:space="preserve"> testados</w:t>
      </w:r>
      <w:r w:rsidR="00F94F8B">
        <w:rPr>
          <w:rFonts w:ascii="Adobe Devanagari" w:hAnsi="Adobe Devanagari" w:cs="Adobe Devanagari"/>
          <w:color w:val="000000" w:themeColor="text1"/>
          <w:sz w:val="28"/>
          <w:szCs w:val="28"/>
        </w:rPr>
        <w:t xml:space="preserve"> </w:t>
      </w:r>
      <w:r w:rsidR="008F58B3">
        <w:rPr>
          <w:rFonts w:ascii="Adobe Devanagari" w:hAnsi="Adobe Devanagari" w:cs="Adobe Devanagari"/>
          <w:color w:val="000000" w:themeColor="text1"/>
          <w:sz w:val="28"/>
          <w:szCs w:val="28"/>
        </w:rPr>
        <w:t>incentivando sua aplicação</w:t>
      </w:r>
      <w:r w:rsidR="00F94F8B">
        <w:rPr>
          <w:rFonts w:ascii="Adobe Devanagari" w:hAnsi="Adobe Devanagari" w:cs="Adobe Devanagari"/>
          <w:color w:val="000000" w:themeColor="text1"/>
          <w:sz w:val="28"/>
          <w:szCs w:val="28"/>
        </w:rPr>
        <w:t>.</w:t>
      </w:r>
      <w:r w:rsidR="00B35B14">
        <w:rPr>
          <w:rFonts w:ascii="Adobe Devanagari" w:hAnsi="Adobe Devanagari" w:cs="Adobe Devanagari"/>
          <w:color w:val="000000" w:themeColor="text1"/>
          <w:sz w:val="28"/>
          <w:szCs w:val="28"/>
        </w:rPr>
        <w:t xml:space="preserve"> </w:t>
      </w:r>
    </w:p>
    <w:bookmarkEnd w:id="0"/>
    <w:p w14:paraId="6D412D4F" w14:textId="78741839" w:rsidR="00512BEA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</w:p>
    <w:p w14:paraId="18D23713" w14:textId="7D6BF8D9" w:rsidR="00512BEA" w:rsidRPr="000B7E85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  <w:r w:rsidRPr="00512BEA">
        <w:rPr>
          <w:rFonts w:ascii="Adobe Devanagari" w:hAnsi="Adobe Devanagari" w:cs="Adobe Devanagari"/>
          <w:b/>
          <w:bCs/>
          <w:sz w:val="28"/>
          <w:szCs w:val="28"/>
        </w:rPr>
        <w:t xml:space="preserve">PALAVRAS-CHAVE: </w:t>
      </w:r>
      <w:r w:rsidR="002A6745">
        <w:rPr>
          <w:rFonts w:ascii="Adobe Devanagari" w:hAnsi="Adobe Devanagari" w:cs="Adobe Devanagari"/>
          <w:sz w:val="28"/>
          <w:szCs w:val="28"/>
        </w:rPr>
        <w:t>Biofilme</w:t>
      </w:r>
      <w:r w:rsidR="00AF6445">
        <w:rPr>
          <w:rFonts w:ascii="Adobe Devanagari" w:hAnsi="Adobe Devanagari" w:cs="Adobe Devanagari"/>
          <w:sz w:val="28"/>
          <w:szCs w:val="28"/>
        </w:rPr>
        <w:t xml:space="preserve">; </w:t>
      </w:r>
      <w:r w:rsidR="00863A7B">
        <w:rPr>
          <w:rFonts w:ascii="Adobe Devanagari" w:hAnsi="Adobe Devanagari" w:cs="Adobe Devanagari"/>
          <w:sz w:val="28"/>
          <w:szCs w:val="28"/>
        </w:rPr>
        <w:t>Fungicida</w:t>
      </w:r>
      <w:r w:rsidR="00FA0749">
        <w:rPr>
          <w:rFonts w:ascii="Adobe Devanagari" w:hAnsi="Adobe Devanagari" w:cs="Adobe Devanagari"/>
          <w:sz w:val="28"/>
          <w:szCs w:val="28"/>
        </w:rPr>
        <w:t>;</w:t>
      </w:r>
      <w:r w:rsidR="002A6745">
        <w:rPr>
          <w:rFonts w:ascii="Adobe Devanagari" w:hAnsi="Adobe Devanagari" w:cs="Adobe Devanagari"/>
          <w:sz w:val="28"/>
          <w:szCs w:val="28"/>
        </w:rPr>
        <w:t xml:space="preserve"> Óleo Essencial</w:t>
      </w:r>
      <w:r w:rsidR="008F58B3">
        <w:rPr>
          <w:rFonts w:ascii="Adobe Devanagari" w:hAnsi="Adobe Devanagari" w:cs="Adobe Devanagari"/>
          <w:sz w:val="28"/>
          <w:szCs w:val="28"/>
        </w:rPr>
        <w:t>.</w:t>
      </w:r>
    </w:p>
    <w:p w14:paraId="08D96463" w14:textId="77777777" w:rsidR="00460B2C" w:rsidRPr="0019487F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sectPr w:rsidR="00460B2C" w:rsidRPr="0019487F" w:rsidSect="00EB561B">
      <w:headerReference w:type="default" r:id="rId7"/>
      <w:footerReference w:type="default" r:id="rId8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F28CD" w14:textId="77777777" w:rsidR="00E903C4" w:rsidRDefault="00E903C4" w:rsidP="00065E6E">
      <w:pPr>
        <w:spacing w:after="0" w:line="240" w:lineRule="auto"/>
      </w:pPr>
      <w:r>
        <w:separator/>
      </w:r>
    </w:p>
  </w:endnote>
  <w:endnote w:type="continuationSeparator" w:id="0">
    <w:p w14:paraId="15A0101C" w14:textId="77777777" w:rsidR="00E903C4" w:rsidRDefault="00E903C4" w:rsidP="000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Mangal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EB23" w14:textId="1F6FC679" w:rsidR="00EB561B" w:rsidRDefault="00EB561B">
    <w:pPr>
      <w:pStyle w:val="Rodap"/>
    </w:pPr>
    <w:r w:rsidRPr="00E407E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9D74D" wp14:editId="071287C7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A0AB" w14:textId="77777777" w:rsidR="00E903C4" w:rsidRDefault="00E903C4" w:rsidP="00065E6E">
      <w:pPr>
        <w:spacing w:after="0" w:line="240" w:lineRule="auto"/>
      </w:pPr>
      <w:r>
        <w:separator/>
      </w:r>
    </w:p>
  </w:footnote>
  <w:footnote w:type="continuationSeparator" w:id="0">
    <w:p w14:paraId="04A13FD9" w14:textId="77777777" w:rsidR="00E903C4" w:rsidRDefault="00E903C4" w:rsidP="00065E6E">
      <w:pPr>
        <w:spacing w:after="0" w:line="240" w:lineRule="auto"/>
      </w:pPr>
      <w:r>
        <w:continuationSeparator/>
      </w:r>
    </w:p>
  </w:footnote>
  <w:footnote w:id="1">
    <w:p w14:paraId="64995A0F" w14:textId="46093EC2" w:rsidR="002817F2" w:rsidRPr="00DA08B0" w:rsidRDefault="002817F2" w:rsidP="00195F92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="007227B4">
        <w:rPr>
          <w:rFonts w:ascii="Adobe Devanagari" w:hAnsi="Adobe Devanagari" w:cs="Adobe Devanagari"/>
          <w:sz w:val="16"/>
          <w:szCs w:val="16"/>
        </w:rPr>
        <w:t xml:space="preserve">* </w:t>
      </w:r>
      <w:r w:rsidR="007227B4" w:rsidRPr="00DA08B0">
        <w:rPr>
          <w:rFonts w:ascii="Adobe Devanagari" w:hAnsi="Adobe Devanagari" w:cs="Adobe Devanagari"/>
          <w:sz w:val="16"/>
          <w:szCs w:val="16"/>
        </w:rPr>
        <w:t>autor correspondente</w:t>
      </w:r>
      <w:r w:rsidR="006A6CB1" w:rsidRPr="00DA08B0">
        <w:rPr>
          <w:rFonts w:ascii="Adobe Devanagari" w:hAnsi="Adobe Devanagari" w:cs="Adobe Devanagari"/>
          <w:sz w:val="16"/>
          <w:szCs w:val="16"/>
        </w:rPr>
        <w:t>;</w:t>
      </w:r>
      <w:r w:rsidRPr="00DA08B0">
        <w:rPr>
          <w:rFonts w:ascii="Adobe Devanagari" w:hAnsi="Adobe Devanagari" w:cs="Adobe Devanagari"/>
          <w:sz w:val="16"/>
          <w:szCs w:val="16"/>
        </w:rPr>
        <w:t xml:space="preserve"> </w:t>
      </w:r>
      <w:r w:rsidR="002329C3" w:rsidRPr="00DA08B0">
        <w:rPr>
          <w:rFonts w:ascii="Adobe Devanagari" w:hAnsi="Adobe Devanagari" w:cs="Adobe Devanagari"/>
          <w:sz w:val="16"/>
          <w:szCs w:val="16"/>
        </w:rPr>
        <w:t>UFMA</w:t>
      </w:r>
      <w:r w:rsidR="006A6CB1" w:rsidRPr="00DA08B0">
        <w:rPr>
          <w:rFonts w:ascii="Adobe Devanagari" w:hAnsi="Adobe Devanagari" w:cs="Adobe Devanagari"/>
          <w:sz w:val="16"/>
          <w:szCs w:val="16"/>
        </w:rPr>
        <w:t xml:space="preserve">; </w:t>
      </w:r>
      <w:r w:rsidR="002329C3" w:rsidRPr="00DA08B0">
        <w:rPr>
          <w:rFonts w:ascii="Adobe Devanagari" w:hAnsi="Adobe Devanagari" w:cs="Adobe Devanagari"/>
          <w:sz w:val="16"/>
          <w:szCs w:val="16"/>
        </w:rPr>
        <w:t>sr.martins201@gmail.com</w:t>
      </w:r>
      <w:r w:rsidR="006A6CB1" w:rsidRPr="00DA08B0">
        <w:rPr>
          <w:rFonts w:ascii="Adobe Devanagari" w:hAnsi="Adobe Devanagari" w:cs="Adobe Devanagari"/>
          <w:sz w:val="16"/>
          <w:szCs w:val="16"/>
        </w:rPr>
        <w:t>;</w:t>
      </w:r>
    </w:p>
  </w:footnote>
  <w:footnote w:id="2">
    <w:p w14:paraId="021C9943" w14:textId="13C0D86C" w:rsidR="004C4D30" w:rsidRPr="00DA08B0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DA08B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DA08B0">
        <w:rPr>
          <w:rFonts w:ascii="Adobe Devanagari" w:hAnsi="Adobe Devanagari" w:cs="Adobe Devanagari"/>
          <w:sz w:val="16"/>
          <w:szCs w:val="16"/>
        </w:rPr>
        <w:t xml:space="preserve"> </w:t>
      </w:r>
      <w:r w:rsidR="00764854" w:rsidRPr="00DA08B0">
        <w:rPr>
          <w:rFonts w:ascii="Adobe Devanagari" w:hAnsi="Adobe Devanagari" w:cs="Adobe Devanagari"/>
          <w:sz w:val="16"/>
          <w:szCs w:val="16"/>
        </w:rPr>
        <w:t>UFMA</w:t>
      </w:r>
      <w:r w:rsidR="006A6CB1" w:rsidRPr="00DA08B0">
        <w:rPr>
          <w:rFonts w:ascii="Adobe Devanagari" w:hAnsi="Adobe Devanagari" w:cs="Adobe Devanagari"/>
          <w:sz w:val="16"/>
          <w:szCs w:val="16"/>
        </w:rPr>
        <w:t xml:space="preserve">; </w:t>
      </w:r>
      <w:r w:rsidR="00DA08B0" w:rsidRPr="00DA08B0">
        <w:rPr>
          <w:rFonts w:ascii="Adobe Devanagari" w:hAnsi="Adobe Devanagari" w:cs="Adobe Devanagari"/>
          <w:sz w:val="16"/>
          <w:szCs w:val="16"/>
        </w:rPr>
        <w:t>thayane.lopes@discente.ufma.br</w:t>
      </w:r>
      <w:r w:rsidR="006A6CB1" w:rsidRPr="00DA08B0">
        <w:rPr>
          <w:rFonts w:ascii="Adobe Devanagari" w:hAnsi="Adobe Devanagari" w:cs="Adobe Devanagari"/>
          <w:sz w:val="16"/>
          <w:szCs w:val="16"/>
        </w:rPr>
        <w:t>;</w:t>
      </w:r>
    </w:p>
  </w:footnote>
  <w:footnote w:id="3">
    <w:p w14:paraId="3BF4CF7C" w14:textId="36C46F27" w:rsidR="004C4D30" w:rsidRPr="00DA08B0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DA08B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DA08B0">
        <w:rPr>
          <w:rFonts w:ascii="Adobe Devanagari" w:hAnsi="Adobe Devanagari" w:cs="Adobe Devanagari"/>
          <w:sz w:val="16"/>
          <w:szCs w:val="16"/>
        </w:rPr>
        <w:t xml:space="preserve"> </w:t>
      </w:r>
      <w:r w:rsidR="00764854" w:rsidRPr="00DA08B0">
        <w:rPr>
          <w:rFonts w:ascii="Adobe Devanagari" w:hAnsi="Adobe Devanagari" w:cs="Adobe Devanagari"/>
          <w:sz w:val="16"/>
          <w:szCs w:val="16"/>
        </w:rPr>
        <w:t>UFMA</w:t>
      </w:r>
      <w:r w:rsidR="006A6CB1" w:rsidRPr="00DA08B0">
        <w:rPr>
          <w:rFonts w:ascii="Adobe Devanagari" w:hAnsi="Adobe Devanagari" w:cs="Adobe Devanagari"/>
          <w:sz w:val="16"/>
          <w:szCs w:val="16"/>
        </w:rPr>
        <w:t xml:space="preserve">; </w:t>
      </w:r>
      <w:r w:rsidR="00DA08B0" w:rsidRPr="00DA08B0">
        <w:rPr>
          <w:rFonts w:ascii="Adobe Devanagari" w:hAnsi="Adobe Devanagari" w:cs="Adobe Devanagari"/>
          <w:sz w:val="16"/>
          <w:szCs w:val="16"/>
        </w:rPr>
        <w:t>iurebdes@gmail.com</w:t>
      </w:r>
      <w:r w:rsidR="006A6CB1" w:rsidRPr="00DA08B0">
        <w:rPr>
          <w:rFonts w:ascii="Adobe Devanagari" w:hAnsi="Adobe Devanagari" w:cs="Adobe Devanagari"/>
          <w:sz w:val="16"/>
          <w:szCs w:val="16"/>
        </w:rPr>
        <w:t>;</w:t>
      </w:r>
    </w:p>
  </w:footnote>
  <w:footnote w:id="4">
    <w:p w14:paraId="60D7E3C2" w14:textId="040F3F5B" w:rsidR="00A9154A" w:rsidRPr="00DA08B0" w:rsidRDefault="00A9154A" w:rsidP="00A9154A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DA08B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DA08B0">
        <w:rPr>
          <w:rFonts w:ascii="Adobe Devanagari" w:hAnsi="Adobe Devanagari" w:cs="Adobe Devanagari"/>
          <w:sz w:val="16"/>
          <w:szCs w:val="16"/>
        </w:rPr>
        <w:t xml:space="preserve"> UFMA; </w:t>
      </w:r>
      <w:r w:rsidR="008F58B3" w:rsidRPr="00DA08B0">
        <w:rPr>
          <w:rFonts w:ascii="Adobe Devanagari" w:hAnsi="Adobe Devanagari" w:cs="Adobe Devanagari"/>
          <w:sz w:val="16"/>
          <w:szCs w:val="16"/>
        </w:rPr>
        <w:t>victor.m</w:t>
      </w:r>
      <w:r w:rsidR="007227B4" w:rsidRPr="00DA08B0">
        <w:rPr>
          <w:rFonts w:ascii="Adobe Devanagari" w:hAnsi="Adobe Devanagari" w:cs="Adobe Devanagari"/>
          <w:sz w:val="16"/>
          <w:szCs w:val="16"/>
        </w:rPr>
        <w:t>ouchrek</w:t>
      </w:r>
      <w:r w:rsidR="008F58B3" w:rsidRPr="00DA08B0">
        <w:rPr>
          <w:rFonts w:ascii="Adobe Devanagari" w:hAnsi="Adobe Devanagari" w:cs="Adobe Devanagari"/>
          <w:sz w:val="16"/>
          <w:szCs w:val="16"/>
        </w:rPr>
        <w:t>@ufma.br</w:t>
      </w:r>
      <w:r w:rsidRPr="00DA08B0">
        <w:rPr>
          <w:rFonts w:ascii="Adobe Devanagari" w:hAnsi="Adobe Devanagari" w:cs="Adobe Devanagari"/>
          <w:sz w:val="16"/>
          <w:szCs w:val="16"/>
        </w:rPr>
        <w:t>;</w:t>
      </w:r>
    </w:p>
  </w:footnote>
  <w:footnote w:id="5">
    <w:p w14:paraId="66FC1BB1" w14:textId="1256DFF9" w:rsidR="008F58B3" w:rsidRPr="00195F92" w:rsidRDefault="008F58B3" w:rsidP="008F58B3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DA08B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DA08B0">
        <w:rPr>
          <w:rFonts w:ascii="Adobe Devanagari" w:hAnsi="Adobe Devanagari" w:cs="Adobe Devanagari"/>
          <w:sz w:val="16"/>
          <w:szCs w:val="16"/>
        </w:rPr>
        <w:t xml:space="preserve"> UFMA; gustavooliveiraeverton@gmail.com;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FDE8" w14:textId="0F75A90D" w:rsidR="00065E6E" w:rsidRDefault="00E407E3" w:rsidP="00E407E3">
    <w:pPr>
      <w:pStyle w:val="Cabealho"/>
    </w:pPr>
    <w:r w:rsidRPr="00E407E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E31AC9" wp14:editId="0B850BE5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E6E"/>
    <w:rsid w:val="0004130F"/>
    <w:rsid w:val="00051D19"/>
    <w:rsid w:val="00065E6E"/>
    <w:rsid w:val="00091AD2"/>
    <w:rsid w:val="000B7E85"/>
    <w:rsid w:val="000C799D"/>
    <w:rsid w:val="000D1A4C"/>
    <w:rsid w:val="000E01D2"/>
    <w:rsid w:val="000F4ED6"/>
    <w:rsid w:val="00110068"/>
    <w:rsid w:val="00125372"/>
    <w:rsid w:val="00125A56"/>
    <w:rsid w:val="001943C6"/>
    <w:rsid w:val="0019487F"/>
    <w:rsid w:val="00195F92"/>
    <w:rsid w:val="001A26B2"/>
    <w:rsid w:val="001A290A"/>
    <w:rsid w:val="001D2B44"/>
    <w:rsid w:val="001D3196"/>
    <w:rsid w:val="001E7AF1"/>
    <w:rsid w:val="00201E94"/>
    <w:rsid w:val="00203A60"/>
    <w:rsid w:val="002329C3"/>
    <w:rsid w:val="002817F2"/>
    <w:rsid w:val="002848DD"/>
    <w:rsid w:val="002868E6"/>
    <w:rsid w:val="00296A7D"/>
    <w:rsid w:val="002A6745"/>
    <w:rsid w:val="002F73C8"/>
    <w:rsid w:val="003015C7"/>
    <w:rsid w:val="00304087"/>
    <w:rsid w:val="0038549F"/>
    <w:rsid w:val="003A287B"/>
    <w:rsid w:val="00460B2C"/>
    <w:rsid w:val="004C0137"/>
    <w:rsid w:val="004C03E2"/>
    <w:rsid w:val="004C4D30"/>
    <w:rsid w:val="004C788E"/>
    <w:rsid w:val="004E64C6"/>
    <w:rsid w:val="004F7A44"/>
    <w:rsid w:val="00500576"/>
    <w:rsid w:val="00512BEA"/>
    <w:rsid w:val="0057274D"/>
    <w:rsid w:val="005A21E1"/>
    <w:rsid w:val="0067221E"/>
    <w:rsid w:val="00674774"/>
    <w:rsid w:val="006913E1"/>
    <w:rsid w:val="0069473C"/>
    <w:rsid w:val="006A6CB1"/>
    <w:rsid w:val="006B3478"/>
    <w:rsid w:val="006D43C2"/>
    <w:rsid w:val="006D61A6"/>
    <w:rsid w:val="007227B4"/>
    <w:rsid w:val="00751B57"/>
    <w:rsid w:val="00764854"/>
    <w:rsid w:val="00764D91"/>
    <w:rsid w:val="0076606A"/>
    <w:rsid w:val="007D2C5E"/>
    <w:rsid w:val="00806FF2"/>
    <w:rsid w:val="008210F3"/>
    <w:rsid w:val="008345F4"/>
    <w:rsid w:val="00836E39"/>
    <w:rsid w:val="00842556"/>
    <w:rsid w:val="00863A7B"/>
    <w:rsid w:val="00871F25"/>
    <w:rsid w:val="008855E5"/>
    <w:rsid w:val="008C3518"/>
    <w:rsid w:val="008E0BE7"/>
    <w:rsid w:val="008F58B3"/>
    <w:rsid w:val="00903FCD"/>
    <w:rsid w:val="00942E90"/>
    <w:rsid w:val="00943F24"/>
    <w:rsid w:val="00950099"/>
    <w:rsid w:val="009B655D"/>
    <w:rsid w:val="009B7186"/>
    <w:rsid w:val="009C0DED"/>
    <w:rsid w:val="009D2AF4"/>
    <w:rsid w:val="00A6716A"/>
    <w:rsid w:val="00A74FF7"/>
    <w:rsid w:val="00A9154A"/>
    <w:rsid w:val="00AB3C5C"/>
    <w:rsid w:val="00AC39CA"/>
    <w:rsid w:val="00AF0FB4"/>
    <w:rsid w:val="00AF6445"/>
    <w:rsid w:val="00B11287"/>
    <w:rsid w:val="00B260C4"/>
    <w:rsid w:val="00B35B14"/>
    <w:rsid w:val="00BC6524"/>
    <w:rsid w:val="00BE2BAC"/>
    <w:rsid w:val="00C0261A"/>
    <w:rsid w:val="00C534E3"/>
    <w:rsid w:val="00C57B82"/>
    <w:rsid w:val="00C7344C"/>
    <w:rsid w:val="00C83EFD"/>
    <w:rsid w:val="00CA7A51"/>
    <w:rsid w:val="00DA08B0"/>
    <w:rsid w:val="00DD6207"/>
    <w:rsid w:val="00DD7B4B"/>
    <w:rsid w:val="00DE191C"/>
    <w:rsid w:val="00DE2670"/>
    <w:rsid w:val="00E264B9"/>
    <w:rsid w:val="00E407E3"/>
    <w:rsid w:val="00E40F22"/>
    <w:rsid w:val="00E60D89"/>
    <w:rsid w:val="00E903C4"/>
    <w:rsid w:val="00E9716C"/>
    <w:rsid w:val="00EB561B"/>
    <w:rsid w:val="00ED23FA"/>
    <w:rsid w:val="00F00EFB"/>
    <w:rsid w:val="00F51324"/>
    <w:rsid w:val="00F542D3"/>
    <w:rsid w:val="00F8309F"/>
    <w:rsid w:val="00F94F8B"/>
    <w:rsid w:val="00FA0749"/>
    <w:rsid w:val="00FD6186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987C"/>
  <w15:docId w15:val="{1A7172F2-042C-4D89-985C-D18648D2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32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10F3"/>
    <w:pPr>
      <w:spacing w:line="480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210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10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10F3"/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C734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E5A9-488F-40B8-85FF-8AACE20E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 Oliveira</cp:lastModifiedBy>
  <cp:revision>8</cp:revision>
  <cp:lastPrinted>2020-11-21T21:16:00Z</cp:lastPrinted>
  <dcterms:created xsi:type="dcterms:W3CDTF">2020-11-21T16:35:00Z</dcterms:created>
  <dcterms:modified xsi:type="dcterms:W3CDTF">2020-11-21T21:32:00Z</dcterms:modified>
</cp:coreProperties>
</file>