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60" w:before="60" w:line="240" w:lineRule="auto"/>
        <w:ind w:right="142"/>
        <w:jc w:val="center"/>
        <w:rPr>
          <w:rFonts w:ascii="Arial" w:cs="Arial" w:eastAsia="Arial" w:hAnsi="Arial"/>
          <w:vertAlign w:val="baseline"/>
        </w:rPr>
      </w:pPr>
      <w:r w:rsidDel="00000000" w:rsidR="00000000" w:rsidRPr="00000000">
        <w:rPr>
          <w:rFonts w:ascii="Arial" w:cs="Arial" w:eastAsia="Arial" w:hAnsi="Arial"/>
          <w:b w:val="1"/>
          <w:vertAlign w:val="baseline"/>
          <w:rtl w:val="0"/>
        </w:rPr>
        <w:t xml:space="preserve">Área temática: </w:t>
      </w:r>
      <w:r w:rsidDel="00000000" w:rsidR="00000000" w:rsidRPr="00000000">
        <w:rPr>
          <w:rFonts w:ascii="Arial" w:cs="Arial" w:eastAsia="Arial" w:hAnsi="Arial"/>
          <w:vertAlign w:val="baseline"/>
          <w:rtl w:val="0"/>
        </w:rPr>
        <w:t xml:space="preserve">Linguística, Letras e Artes</w:t>
      </w:r>
    </w:p>
    <w:p w:rsidR="00000000" w:rsidDel="00000000" w:rsidP="00000000" w:rsidRDefault="00000000" w:rsidRPr="00000000" w14:paraId="00000002">
      <w:pPr>
        <w:spacing w:after="60" w:before="60" w:line="240" w:lineRule="auto"/>
        <w:ind w:right="142"/>
        <w:jc w:val="center"/>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003">
      <w:pPr>
        <w:spacing w:after="80" w:before="80" w:line="240" w:lineRule="auto"/>
        <w:jc w:val="center"/>
        <w:rPr>
          <w:rFonts w:ascii="Arial" w:cs="Arial" w:eastAsia="Arial" w:hAnsi="Arial"/>
          <w:sz w:val="26"/>
          <w:szCs w:val="26"/>
          <w:vertAlign w:val="baseline"/>
        </w:rPr>
      </w:pPr>
      <w:r w:rsidDel="00000000" w:rsidR="00000000" w:rsidRPr="00000000">
        <w:rPr>
          <w:rFonts w:ascii="Arial" w:cs="Arial" w:eastAsia="Arial" w:hAnsi="Arial"/>
          <w:b w:val="1"/>
          <w:sz w:val="26"/>
          <w:szCs w:val="26"/>
          <w:vertAlign w:val="baseline"/>
          <w:rtl w:val="0"/>
        </w:rPr>
        <w:t xml:space="preserve">Análise dos aspectos entoacionais em enunciados da fala potiguar</w:t>
      </w:r>
      <w:r w:rsidDel="00000000" w:rsidR="00000000" w:rsidRPr="00000000">
        <w:rPr>
          <w:rtl w:val="0"/>
        </w:rPr>
      </w:r>
    </w:p>
    <w:p w:rsidR="00000000" w:rsidDel="00000000" w:rsidP="00000000" w:rsidRDefault="00000000" w:rsidRPr="00000000" w14:paraId="00000004">
      <w:pPr>
        <w:spacing w:after="60" w:before="60" w:line="240" w:lineRule="auto"/>
        <w:ind w:right="142"/>
        <w:jc w:val="cente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05">
      <w:pPr>
        <w:spacing w:after="80" w:before="80" w:line="240" w:lineRule="auto"/>
        <w:jc w:val="center"/>
        <w:rPr>
          <w:rFonts w:ascii="Arial" w:cs="Arial" w:eastAsia="Arial" w:hAnsi="Arial"/>
          <w:vertAlign w:val="baseline"/>
        </w:rPr>
      </w:pPr>
      <w:r w:rsidDel="00000000" w:rsidR="00000000" w:rsidRPr="00000000">
        <w:rPr>
          <w:rFonts w:ascii="Arial" w:cs="Arial" w:eastAsia="Arial" w:hAnsi="Arial"/>
          <w:vertAlign w:val="baseline"/>
          <w:rtl w:val="0"/>
        </w:rPr>
        <w:t xml:space="preserve">Vitória Maria Albuquerque Silva, Cid Ivan da Costa Carvalho</w:t>
      </w:r>
    </w:p>
    <w:p w:rsidR="00000000" w:rsidDel="00000000" w:rsidP="00000000" w:rsidRDefault="00000000" w:rsidRPr="00000000" w14:paraId="00000006">
      <w:pPr>
        <w:spacing w:after="60" w:before="60" w:line="240" w:lineRule="auto"/>
        <w:ind w:right="142"/>
        <w:jc w:val="cente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07">
      <w:pPr>
        <w:spacing w:after="60" w:before="60" w:line="240" w:lineRule="auto"/>
        <w:ind w:right="142"/>
        <w:jc w:val="both"/>
        <w:rPr>
          <w:rFonts w:ascii="Arial" w:cs="Arial" w:eastAsia="Arial" w:hAnsi="Arial"/>
          <w:shd w:fill="f9fbfd" w:val="clear"/>
        </w:rPr>
      </w:pPr>
      <w:r w:rsidDel="00000000" w:rsidR="00000000" w:rsidRPr="00000000">
        <w:rPr>
          <w:rFonts w:ascii="Arial" w:cs="Arial" w:eastAsia="Arial" w:hAnsi="Arial"/>
          <w:rtl w:val="0"/>
        </w:rPr>
        <w:t xml:space="preserve">Os ditongos no Português Brasileiro são formados a partir de sequências de segmentos vocálicos, sendo que um dos segmentos, é uma vogal plena e o outro, uma semivogal. A sequência de segmentos, porém, pode sofrer alterações, dentre elas, o apagamento das semivogais /w/ e /j/ nos ditongos decrescentes orais, o que acarreta em um fenômeno comum na fala da língua portuguesa chamado de monotongação. Baseado sob a perspectiva da fonética acústica e da sociolinguística, este trabalho teve como objetivo observar a ocorrência do apagamento nos ditongos decrescentes /aj/ e /ej/ na cidade de Apodi, Caraúbas e Patú, analisando a existência de padrões linguísticos que contribuam para o acontecimento deste fenômeno. Para isso, foram coletadas amostras de fala de quatro palavras do português brasileiro /prateleira/ /caixa/ /peixe/ e /cadeira/ a partir do C-POTI, que se configura como um </w:t>
      </w:r>
      <w:r w:rsidDel="00000000" w:rsidR="00000000" w:rsidRPr="00000000">
        <w:rPr>
          <w:rFonts w:ascii="Arial" w:cs="Arial" w:eastAsia="Arial" w:hAnsi="Arial"/>
          <w:i w:val="1"/>
          <w:rtl w:val="0"/>
        </w:rPr>
        <w:t xml:space="preserve">Corpus</w:t>
      </w:r>
      <w:r w:rsidDel="00000000" w:rsidR="00000000" w:rsidRPr="00000000">
        <w:rPr>
          <w:rFonts w:ascii="Arial" w:cs="Arial" w:eastAsia="Arial" w:hAnsi="Arial"/>
          <w:rtl w:val="0"/>
        </w:rPr>
        <w:t xml:space="preserve"> oral que compreende falares da região do oeste potiguar. Inicialmente, estava previsto no cronograma de pesquisa o uso da entrevista </w:t>
      </w:r>
      <w:r w:rsidDel="00000000" w:rsidR="00000000" w:rsidRPr="00000000">
        <w:rPr>
          <w:rFonts w:ascii="Arial" w:cs="Arial" w:eastAsia="Arial" w:hAnsi="Arial"/>
          <w:i w:val="1"/>
          <w:rtl w:val="0"/>
        </w:rPr>
        <w:t xml:space="preserve">in locus</w:t>
      </w:r>
      <w:r w:rsidDel="00000000" w:rsidR="00000000" w:rsidRPr="00000000">
        <w:rPr>
          <w:rFonts w:ascii="Arial" w:cs="Arial" w:eastAsia="Arial" w:hAnsi="Arial"/>
          <w:rtl w:val="0"/>
        </w:rPr>
        <w:t xml:space="preserve"> para análise dos fenômeno mencionados acima, mas isso não foi possível devido o período de pandemia pelo qual passa o país. As palavras coletadas desse corpus foram analisadas através do software Praat, tendo como parâmetro características acústicas como a trajetória de formantes e a duração dos ditongos e dos monotongos. Além disso, verificou-se os efeitos da duração das variáveis [a] e [e] em função da variável sexo do informante por meio da linguagem R. Feito a aplicação dos dados no R, os resultados mostraram que, em média, os entrevistados do sexo masculino obtiveram maior duração na produção dos segmentos analisados, sendo que 0.142 milissegundos (ms) para os informantes do sexo feminino e 0.149ms para os do sexo masculino. No entanto, esse diferença é muito pouco se compararmos as informações expressas na literatura que, geralmente, prever 0.122ms para a primeira categoria de informantes e 0.109ms para a segunda, respectivamente. Sabe-se que existem fatores externos que influenciam na duração das vogais e, consequentemente, na entoação da fala; no entanto, entende-se aqui que os resultados ainda não são representativos para uma afirmação categórica de que a fala dos informantes do sexo masculino apresenta maior duração do que a da fala das mulheres. </w:t>
      </w:r>
      <w:r w:rsidDel="00000000" w:rsidR="00000000" w:rsidRPr="00000000">
        <w:rPr>
          <w:rtl w:val="0"/>
        </w:rPr>
      </w:r>
    </w:p>
    <w:p w:rsidR="00000000" w:rsidDel="00000000" w:rsidP="00000000" w:rsidRDefault="00000000" w:rsidRPr="00000000" w14:paraId="00000008">
      <w:pPr>
        <w:spacing w:after="60" w:before="60" w:line="240" w:lineRule="auto"/>
        <w:ind w:right="142"/>
        <w:jc w:val="both"/>
        <w:rPr>
          <w:rFonts w:ascii="Arial" w:cs="Arial" w:eastAsia="Arial" w:hAnsi="Arial"/>
          <w:vertAlign w:val="baseline"/>
        </w:rPr>
      </w:pPr>
      <w:r w:rsidDel="00000000" w:rsidR="00000000" w:rsidRPr="00000000">
        <w:rPr>
          <w:rFonts w:ascii="Arial" w:cs="Arial" w:eastAsia="Arial" w:hAnsi="Arial"/>
          <w:b w:val="1"/>
          <w:vertAlign w:val="baseline"/>
          <w:rtl w:val="0"/>
        </w:rPr>
        <w:t xml:space="preserve">Palavras-chave:</w:t>
      </w:r>
      <w:r w:rsidDel="00000000" w:rsidR="00000000" w:rsidRPr="00000000">
        <w:rPr>
          <w:rFonts w:ascii="Arial" w:cs="Arial" w:eastAsia="Arial" w:hAnsi="Arial"/>
          <w:vertAlign w:val="baseline"/>
          <w:rtl w:val="0"/>
        </w:rPr>
        <w:t xml:space="preserve"> Monotongação</w:t>
      </w:r>
      <w:r w:rsidDel="00000000" w:rsidR="00000000" w:rsidRPr="00000000">
        <w:rPr>
          <w:rFonts w:ascii="Arial" w:cs="Arial" w:eastAsia="Arial" w:hAnsi="Arial"/>
          <w:rtl w:val="0"/>
        </w:rPr>
        <w:t xml:space="preserve">, </w:t>
      </w:r>
      <w:r w:rsidDel="00000000" w:rsidR="00000000" w:rsidRPr="00000000">
        <w:rPr>
          <w:rFonts w:ascii="Arial" w:cs="Arial" w:eastAsia="Arial" w:hAnsi="Arial"/>
          <w:vertAlign w:val="baseline"/>
          <w:rtl w:val="0"/>
        </w:rPr>
        <w:t xml:space="preserve">fonética acústica</w:t>
      </w:r>
      <w:r w:rsidDel="00000000" w:rsidR="00000000" w:rsidRPr="00000000">
        <w:rPr>
          <w:rFonts w:ascii="Arial" w:cs="Arial" w:eastAsia="Arial" w:hAnsi="Arial"/>
          <w:rtl w:val="0"/>
        </w:rPr>
        <w:t xml:space="preserve">,</w:t>
      </w:r>
      <w:r w:rsidDel="00000000" w:rsidR="00000000" w:rsidRPr="00000000">
        <w:rPr>
          <w:rFonts w:ascii="Arial" w:cs="Arial" w:eastAsia="Arial" w:hAnsi="Arial"/>
          <w:vertAlign w:val="baseline"/>
          <w:rtl w:val="0"/>
        </w:rPr>
        <w:t xml:space="preserve"> praat.</w:t>
      </w:r>
    </w:p>
    <w:p w:rsidR="00000000" w:rsidDel="00000000" w:rsidP="00000000" w:rsidRDefault="00000000" w:rsidRPr="00000000" w14:paraId="00000009">
      <w:pPr>
        <w:spacing w:after="60" w:before="60" w:line="240" w:lineRule="auto"/>
        <w:ind w:right="142"/>
        <w:jc w:val="both"/>
        <w:rPr>
          <w:rFonts w:ascii="Arial" w:cs="Arial" w:eastAsia="Arial" w:hAnsi="Arial"/>
          <w:vertAlign w:val="baseline"/>
        </w:rPr>
      </w:pPr>
      <w:r w:rsidDel="00000000" w:rsidR="00000000" w:rsidRPr="00000000">
        <w:rPr>
          <w:rFonts w:ascii="Arial" w:cs="Arial" w:eastAsia="Arial" w:hAnsi="Arial"/>
          <w:b w:val="1"/>
          <w:vertAlign w:val="baseline"/>
          <w:rtl w:val="0"/>
        </w:rPr>
        <w:t xml:space="preserve">Agência financiadora:</w:t>
      </w:r>
      <w:r w:rsidDel="00000000" w:rsidR="00000000" w:rsidRPr="00000000">
        <w:rPr>
          <w:rFonts w:ascii="Arial" w:cs="Arial" w:eastAsia="Arial" w:hAnsi="Arial"/>
          <w:vertAlign w:val="baseline"/>
          <w:rtl w:val="0"/>
        </w:rPr>
        <w:t xml:space="preserve"> PIVIC - UFERSA</w:t>
      </w:r>
    </w:p>
    <w:sectPr>
      <w:headerReference r:id="rId6" w:type="default"/>
      <w:footerReference r:id="rId7" w:type="default"/>
      <w:pgSz w:h="16838" w:w="11906" w:orient="portrait"/>
      <w:pgMar w:bottom="1134" w:top="1701" w:left="1701" w:right="1134"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2">
    <w:pPr>
      <w:keepNext w:val="0"/>
      <w:keepLines w:val="0"/>
      <w:widowControl w:val="1"/>
      <w:pBdr>
        <w:top w:color="c45911" w:space="1" w:sz="12" w:val="single"/>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right"/>
      <w:rPr>
        <w:rFonts w:ascii="Arial" w:cs="Arial" w:eastAsia="Arial" w:hAnsi="Arial"/>
        <w:b w:val="0"/>
        <w:i w:val="0"/>
        <w:smallCaps w:val="0"/>
        <w:strike w:val="0"/>
        <w:color w:val="1f4e79"/>
        <w:sz w:val="20"/>
        <w:szCs w:val="20"/>
        <w:u w:val="none"/>
        <w:shd w:fill="auto" w:val="clear"/>
        <w:vertAlign w:val="baseline"/>
      </w:rPr>
    </w:pPr>
    <w:r w:rsidDel="00000000" w:rsidR="00000000" w:rsidRPr="00000000">
      <w:rPr>
        <w:rFonts w:ascii="Arial" w:cs="Arial" w:eastAsia="Arial" w:hAnsi="Arial"/>
        <w:b w:val="1"/>
        <w:i w:val="0"/>
        <w:smallCaps w:val="0"/>
        <w:strike w:val="0"/>
        <w:color w:val="1f4e79"/>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A">
    <w:pPr>
      <w:spacing w:after="120" w:before="120" w:line="240" w:lineRule="auto"/>
      <w:jc w:val="left"/>
      <w:rPr>
        <w:rFonts w:ascii="Calibri" w:cs="Calibri" w:eastAsia="Calibri" w:hAnsi="Calibri"/>
        <w:b w:val="0"/>
        <w:vertAlign w:val="baseline"/>
      </w:rPr>
    </w:pPr>
    <w:r w:rsidDel="00000000" w:rsidR="00000000" w:rsidRPr="00000000">
      <w:rPr>
        <w:rtl w:val="0"/>
      </w:rPr>
    </w:r>
  </w:p>
  <w:tbl>
    <w:tblPr>
      <w:tblStyle w:val="Table1"/>
      <w:tblW w:w="9287.0" w:type="dxa"/>
      <w:jc w:val="left"/>
      <w:tblInd w:w="0.0" w:type="dxa"/>
      <w:tblBorders>
        <w:top w:color="000000" w:space="0" w:sz="0" w:val="nil"/>
        <w:left w:color="000000" w:space="0" w:sz="0" w:val="nil"/>
        <w:bottom w:color="c45911" w:space="0" w:sz="8" w:val="single"/>
        <w:right w:color="000000" w:space="0" w:sz="0" w:val="nil"/>
        <w:insideH w:color="000000" w:space="0" w:sz="0" w:val="nil"/>
        <w:insideV w:color="000000" w:space="0" w:sz="0" w:val="nil"/>
      </w:tblBorders>
      <w:tblLayout w:type="fixed"/>
      <w:tblLook w:val="0000"/>
    </w:tblPr>
    <w:tblGrid>
      <w:gridCol w:w="7179"/>
      <w:gridCol w:w="2108"/>
      <w:tblGridChange w:id="0">
        <w:tblGrid>
          <w:gridCol w:w="7179"/>
          <w:gridCol w:w="2108"/>
        </w:tblGrid>
      </w:tblGridChange>
    </w:tblGrid>
    <w:tr>
      <w:tc>
        <w:tcPr>
          <w:vAlign w:val="center"/>
        </w:tcPr>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60" w:before="60" w:line="240" w:lineRule="auto"/>
            <w:ind w:left="0" w:right="0" w:firstLine="0"/>
            <w:jc w:val="left"/>
            <w:rPr>
              <w:rFonts w:ascii="Arial" w:cs="Arial" w:eastAsia="Arial" w:hAnsi="Arial"/>
              <w:b w:val="0"/>
              <w:i w:val="0"/>
              <w:smallCaps w:val="0"/>
              <w:strike w:val="0"/>
              <w:color w:val="ed7d31"/>
              <w:sz w:val="20"/>
              <w:szCs w:val="20"/>
              <w:u w:val="none"/>
              <w:shd w:fill="auto" w:val="clear"/>
              <w:vertAlign w:val="baseline"/>
            </w:rPr>
          </w:pPr>
          <w:r w:rsidDel="00000000" w:rsidR="00000000" w:rsidRPr="00000000">
            <w:rPr>
              <w:rFonts w:ascii="Arial" w:cs="Arial" w:eastAsia="Arial" w:hAnsi="Arial"/>
              <w:b w:val="1"/>
              <w:i w:val="0"/>
              <w:smallCaps w:val="0"/>
              <w:strike w:val="0"/>
              <w:color w:val="ed7d31"/>
              <w:sz w:val="20"/>
              <w:szCs w:val="20"/>
              <w:u w:val="none"/>
              <w:shd w:fill="auto" w:val="clear"/>
              <w:vertAlign w:val="baseline"/>
            </w:rPr>
            <w:drawing>
              <wp:inline distB="0" distT="0" distL="114300" distR="114300">
                <wp:extent cx="4084955" cy="1073150"/>
                <wp:effectExtent b="0" l="0" r="0" t="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4084955" cy="1073150"/>
                        </a:xfrm>
                        <a:prstGeom prst="rect"/>
                        <a:ln/>
                      </pic:spPr>
                    </pic:pic>
                  </a:graphicData>
                </a:graphic>
              </wp:inline>
            </w:drawing>
          </w:r>
          <w:r w:rsidDel="00000000" w:rsidR="00000000" w:rsidRPr="00000000">
            <w:rPr>
              <w:rtl w:val="0"/>
            </w:rPr>
          </w:r>
        </w:p>
      </w:tc>
      <w:tc>
        <w:tcPr>
          <w:vAlign w:val="center"/>
        </w:tcPr>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60" w:before="60" w:line="240" w:lineRule="auto"/>
            <w:ind w:left="0" w:right="0" w:firstLine="0"/>
            <w:jc w:val="right"/>
            <w:rPr>
              <w:rFonts w:ascii="Arial" w:cs="Arial" w:eastAsia="Arial" w:hAnsi="Arial"/>
              <w:b w:val="0"/>
              <w:i w:val="0"/>
              <w:smallCaps w:val="0"/>
              <w:strike w:val="0"/>
              <w:color w:val="ed7d31"/>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60" w:before="60" w:line="240" w:lineRule="auto"/>
            <w:ind w:left="0" w:right="0" w:firstLine="0"/>
            <w:jc w:val="right"/>
            <w:rPr>
              <w:rFonts w:ascii="Arial" w:cs="Arial" w:eastAsia="Arial" w:hAnsi="Arial"/>
              <w:b w:val="0"/>
              <w:i w:val="0"/>
              <w:smallCaps w:val="0"/>
              <w:strike w:val="0"/>
              <w:color w:val="ed7d31"/>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60" w:before="60" w:line="240" w:lineRule="auto"/>
            <w:ind w:left="0" w:right="0" w:firstLine="0"/>
            <w:jc w:val="right"/>
            <w:rPr>
              <w:rFonts w:ascii="Arial" w:cs="Arial" w:eastAsia="Arial" w:hAnsi="Arial"/>
              <w:b w:val="0"/>
              <w:i w:val="0"/>
              <w:smallCaps w:val="0"/>
              <w:strike w:val="0"/>
              <w:color w:val="ed7d31"/>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60" w:before="60" w:line="240" w:lineRule="auto"/>
            <w:ind w:left="0" w:right="0" w:firstLine="0"/>
            <w:jc w:val="right"/>
            <w:rPr>
              <w:rFonts w:ascii="Arial" w:cs="Arial" w:eastAsia="Arial" w:hAnsi="Arial"/>
              <w:b w:val="0"/>
              <w:i w:val="0"/>
              <w:smallCaps w:val="0"/>
              <w:strike w:val="0"/>
              <w:color w:val="ed7d31"/>
              <w:sz w:val="20"/>
              <w:szCs w:val="20"/>
              <w:u w:val="none"/>
              <w:shd w:fill="auto" w:val="clear"/>
              <w:vertAlign w:val="baseline"/>
            </w:rPr>
          </w:pPr>
          <w:r w:rsidDel="00000000" w:rsidR="00000000" w:rsidRPr="00000000">
            <w:rPr>
              <w:rFonts w:ascii="Arial" w:cs="Arial" w:eastAsia="Arial" w:hAnsi="Arial"/>
              <w:b w:val="1"/>
              <w:i w:val="0"/>
              <w:smallCaps w:val="0"/>
              <w:strike w:val="0"/>
              <w:color w:val="ed7d31"/>
              <w:sz w:val="20"/>
              <w:szCs w:val="20"/>
              <w:u w:val="none"/>
              <w:shd w:fill="auto" w:val="clear"/>
              <w:vertAlign w:val="baseline"/>
              <w:rtl w:val="0"/>
            </w:rPr>
            <w:t xml:space="preserve">Anais 2020</w:t>
          </w:r>
          <w:r w:rsidDel="00000000" w:rsidR="00000000" w:rsidRPr="00000000">
            <w:rPr>
              <w:rtl w:val="0"/>
            </w:rPr>
          </w:r>
        </w:p>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60" w:before="60" w:line="240" w:lineRule="auto"/>
            <w:ind w:left="0" w:right="0" w:firstLine="0"/>
            <w:jc w:val="right"/>
            <w:rPr>
              <w:rFonts w:ascii="Arial" w:cs="Arial" w:eastAsia="Arial" w:hAnsi="Arial"/>
              <w:b w:val="0"/>
              <w:i w:val="0"/>
              <w:smallCaps w:val="0"/>
              <w:strike w:val="0"/>
              <w:color w:val="ed7d31"/>
              <w:sz w:val="20"/>
              <w:szCs w:val="20"/>
              <w:u w:val="none"/>
              <w:shd w:fill="auto" w:val="clear"/>
              <w:vertAlign w:val="baseline"/>
            </w:rPr>
          </w:pPr>
          <w:r w:rsidDel="00000000" w:rsidR="00000000" w:rsidRPr="00000000">
            <w:rPr>
              <w:rFonts w:ascii="Arial" w:cs="Arial" w:eastAsia="Arial" w:hAnsi="Arial"/>
              <w:b w:val="1"/>
              <w:i w:val="0"/>
              <w:smallCaps w:val="0"/>
              <w:strike w:val="0"/>
              <w:color w:val="ed7d31"/>
              <w:sz w:val="20"/>
              <w:szCs w:val="20"/>
              <w:u w:val="none"/>
              <w:shd w:fill="auto" w:val="clear"/>
              <w:vertAlign w:val="baseline"/>
              <w:rtl w:val="0"/>
            </w:rPr>
            <w:t xml:space="preserve">Mossoró-RN</w:t>
          </w:r>
          <w:r w:rsidDel="00000000" w:rsidR="00000000" w:rsidRPr="00000000">
            <w:rPr>
              <w:rtl w:val="0"/>
            </w:rPr>
          </w:r>
        </w:p>
      </w:tc>
    </w:tr>
  </w:tbl>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60" w:before="60" w:line="240" w:lineRule="auto"/>
      <w:ind w:left="0" w:right="0" w:firstLine="0"/>
      <w:jc w:val="left"/>
      <w:rPr>
        <w:rFonts w:ascii="Times New Roman" w:cs="Times New Roman" w:eastAsia="Times New Roman" w:hAnsi="Times New Roman"/>
        <w:b w:val="0"/>
        <w:i w:val="0"/>
        <w:smallCaps w:val="0"/>
        <w:strike w:val="0"/>
        <w:color w:val="ed7d31"/>
        <w:sz w:val="20"/>
        <w:szCs w:val="20"/>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pt-BR"/>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