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586B" w14:textId="77777777" w:rsidR="002854EC" w:rsidRPr="00000012" w:rsidRDefault="002854EC" w:rsidP="00285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VIGILÂNCIA EPIDEMIOLÓGICA DAS DOENÇAS DE TRANSMISSÃO HÍDRICA E ALIMENTAR: SURTOS POR DTHA EM RONDÔNIA</w:t>
      </w:r>
    </w:p>
    <w:p w14:paraId="1AF0E919" w14:textId="77777777" w:rsidR="002854EC" w:rsidRPr="00411FD4" w:rsidRDefault="002854EC" w:rsidP="002854EC">
      <w:pPr>
        <w:jc w:val="center"/>
        <w:rPr>
          <w:i/>
        </w:rPr>
      </w:pPr>
      <w:r w:rsidRPr="00411FD4">
        <w:rPr>
          <w:b/>
        </w:rPr>
        <w:t xml:space="preserve"> </w:t>
      </w:r>
    </w:p>
    <w:p w14:paraId="272B30F6" w14:textId="77777777" w:rsidR="002854EC" w:rsidRPr="009B3945" w:rsidRDefault="002854EC" w:rsidP="002854EC">
      <w:pPr>
        <w:jc w:val="center"/>
        <w:rPr>
          <w:sz w:val="20"/>
          <w:szCs w:val="20"/>
        </w:rPr>
      </w:pPr>
      <w:r w:rsidRPr="009B3945">
        <w:rPr>
          <w:sz w:val="20"/>
          <w:szCs w:val="20"/>
          <w:vertAlign w:val="superscript"/>
        </w:rPr>
        <w:t>1</w:t>
      </w:r>
      <w:r w:rsidRPr="009B3945">
        <w:rPr>
          <w:sz w:val="20"/>
          <w:szCs w:val="20"/>
        </w:rPr>
        <w:t>Agência Estadual de Vigilância em Saúde de Rondônia -AGEVISA, Porto Velho, Rondônia, Brasil</w:t>
      </w:r>
    </w:p>
    <w:p w14:paraId="542FA5A8" w14:textId="77777777" w:rsidR="002854EC" w:rsidRDefault="002854EC">
      <w:pPr>
        <w:rPr>
          <w:rFonts w:ascii="Arial" w:hAnsi="Arial" w:cs="Arial"/>
          <w:b/>
          <w:bCs/>
        </w:rPr>
      </w:pPr>
    </w:p>
    <w:p w14:paraId="7EE24EC2" w14:textId="77777777" w:rsidR="002854EC" w:rsidRDefault="002854EC">
      <w:pPr>
        <w:rPr>
          <w:rFonts w:ascii="Arial" w:hAnsi="Arial" w:cs="Arial"/>
          <w:b/>
          <w:bCs/>
        </w:rPr>
      </w:pPr>
    </w:p>
    <w:p w14:paraId="2877EC71" w14:textId="42F2FD0A" w:rsidR="009112C6" w:rsidRDefault="002854EC">
      <w:pPr>
        <w:rPr>
          <w:rFonts w:ascii="Arial" w:hAnsi="Arial" w:cs="Arial"/>
        </w:rPr>
      </w:pPr>
      <w:r w:rsidRPr="002854EC">
        <w:rPr>
          <w:rFonts w:ascii="Arial" w:hAnsi="Arial" w:cs="Arial"/>
          <w:b/>
          <w:bCs/>
        </w:rPr>
        <w:t>Gráfico 1</w:t>
      </w:r>
      <w:r w:rsidRPr="002854EC">
        <w:rPr>
          <w:rFonts w:ascii="Arial" w:hAnsi="Arial" w:cs="Arial"/>
        </w:rPr>
        <w:t>- Números de surtos notificados, investigados e coletados amostras no estado de Ro</w:t>
      </w:r>
      <w:r>
        <w:rPr>
          <w:rFonts w:ascii="Arial" w:hAnsi="Arial" w:cs="Arial"/>
        </w:rPr>
        <w:t>ndônia</w:t>
      </w:r>
      <w:r w:rsidRPr="002854EC">
        <w:rPr>
          <w:rFonts w:ascii="Arial" w:hAnsi="Arial" w:cs="Arial"/>
        </w:rPr>
        <w:t>, no período de 2018 a 2022.</w:t>
      </w:r>
    </w:p>
    <w:p w14:paraId="4CFDD816" w14:textId="5B5E2A5A" w:rsidR="002854EC" w:rsidRPr="002854EC" w:rsidRDefault="002854E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68BB010" wp14:editId="3195FF48">
            <wp:extent cx="5334001" cy="3533775"/>
            <wp:effectExtent l="0" t="0" r="0" b="9525"/>
            <wp:docPr id="116519064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43203A7-09FB-D85C-3718-8106120FD1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37D6087" w14:textId="7484C992" w:rsidR="002854EC" w:rsidRDefault="002854EC" w:rsidP="002854EC">
      <w:pPr>
        <w:jc w:val="center"/>
        <w:rPr>
          <w:rFonts w:ascii="Arial" w:eastAsia="Times New Roman" w:hAnsi="Arial" w:cs="Arial"/>
          <w:sz w:val="18"/>
          <w:szCs w:val="18"/>
        </w:rPr>
      </w:pPr>
      <w:r w:rsidRPr="0092260F">
        <w:rPr>
          <w:rFonts w:ascii="Arial" w:eastAsia="Times New Roman" w:hAnsi="Arial" w:cs="Arial"/>
          <w:sz w:val="18"/>
          <w:szCs w:val="18"/>
        </w:rPr>
        <w:t xml:space="preserve">Fonte: Sistema de Informação de </w:t>
      </w:r>
      <w:r>
        <w:rPr>
          <w:rFonts w:ascii="Arial" w:eastAsia="Times New Roman" w:hAnsi="Arial" w:cs="Arial"/>
          <w:sz w:val="18"/>
          <w:szCs w:val="18"/>
        </w:rPr>
        <w:t>Vigilância Epidemiológica-DDA</w:t>
      </w:r>
      <w:r w:rsidRPr="0092260F">
        <w:rPr>
          <w:rFonts w:ascii="Arial" w:eastAsia="Times New Roman" w:hAnsi="Arial" w:cs="Arial"/>
          <w:sz w:val="18"/>
          <w:szCs w:val="18"/>
        </w:rPr>
        <w:t>-</w:t>
      </w:r>
      <w:r>
        <w:rPr>
          <w:rFonts w:ascii="Arial" w:eastAsia="Times New Roman" w:hAnsi="Arial" w:cs="Arial"/>
          <w:sz w:val="18"/>
          <w:szCs w:val="18"/>
        </w:rPr>
        <w:t>SIVEP-DDA</w:t>
      </w:r>
      <w:r w:rsidRPr="0092260F">
        <w:rPr>
          <w:rFonts w:ascii="Arial" w:eastAsia="Times New Roman" w:hAnsi="Arial" w:cs="Arial"/>
          <w:sz w:val="18"/>
          <w:szCs w:val="18"/>
        </w:rPr>
        <w:t>/SVS</w:t>
      </w:r>
      <w:r>
        <w:rPr>
          <w:rFonts w:ascii="Arial" w:eastAsia="Times New Roman" w:hAnsi="Arial" w:cs="Arial"/>
          <w:sz w:val="18"/>
          <w:szCs w:val="18"/>
        </w:rPr>
        <w:t>A</w:t>
      </w:r>
      <w:r w:rsidRPr="0092260F">
        <w:rPr>
          <w:rFonts w:ascii="Arial" w:eastAsia="Times New Roman" w:hAnsi="Arial" w:cs="Arial"/>
          <w:sz w:val="18"/>
          <w:szCs w:val="18"/>
        </w:rPr>
        <w:t>/MS-202</w:t>
      </w:r>
      <w:r>
        <w:rPr>
          <w:rFonts w:ascii="Arial" w:eastAsia="Times New Roman" w:hAnsi="Arial" w:cs="Arial"/>
          <w:sz w:val="18"/>
          <w:szCs w:val="18"/>
        </w:rPr>
        <w:t>3</w:t>
      </w:r>
    </w:p>
    <w:p w14:paraId="31155119" w14:textId="77777777" w:rsidR="002854EC" w:rsidRDefault="002854EC"/>
    <w:sectPr w:rsidR="00285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EC"/>
    <w:rsid w:val="002854EC"/>
    <w:rsid w:val="00876D0B"/>
    <w:rsid w:val="00897F58"/>
    <w:rsid w:val="009112C6"/>
    <w:rsid w:val="00A4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B138"/>
  <w15:chartTrackingRefBased/>
  <w15:docId w15:val="{1A8EFE2B-F0E1-467E-878D-0805C4AB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 b="1" i="0" u="none" strike="noStrike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Números de Surtos Detectados pela MDDA</a:t>
            </a:r>
            <a:endParaRPr lang="pt-BR" sz="11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Planilha1!$E$4</c:f>
              <c:strCache>
                <c:ptCount val="1"/>
                <c:pt idx="0">
                  <c:v> Surtos notificados</c:v>
                </c:pt>
              </c:strCache>
            </c:strRef>
          </c:tx>
          <c:spPr>
            <a:solidFill>
              <a:schemeClr val="accent1">
                <a:tint val="50000"/>
              </a:schemeClr>
            </a:solidFill>
            <a:ln>
              <a:noFill/>
            </a:ln>
            <a:effectLst/>
          </c:spPr>
          <c:invertIfNegative val="0"/>
          <c:cat>
            <c:numRef>
              <c:f>Planilha1!$D$5:$D$9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Planilha1!$E$5:$E$9</c:f>
              <c:numCache>
                <c:formatCode>General</c:formatCode>
                <c:ptCount val="5"/>
                <c:pt idx="0">
                  <c:v>83</c:v>
                </c:pt>
                <c:pt idx="1">
                  <c:v>45</c:v>
                </c:pt>
                <c:pt idx="2">
                  <c:v>32</c:v>
                </c:pt>
                <c:pt idx="3">
                  <c:v>34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45-4E67-A2B7-B26B7223A1AB}"/>
            </c:ext>
          </c:extLst>
        </c:ser>
        <c:ser>
          <c:idx val="1"/>
          <c:order val="1"/>
          <c:tx>
            <c:strRef>
              <c:f>Planilha1!$F$4</c:f>
              <c:strCache>
                <c:ptCount val="1"/>
                <c:pt idx="0">
                  <c:v>Surtos investigados</c:v>
                </c:pt>
              </c:strCache>
            </c:strRef>
          </c:tx>
          <c:spPr>
            <a:solidFill>
              <a:schemeClr val="accent1">
                <a:tint val="70000"/>
              </a:schemeClr>
            </a:solidFill>
            <a:ln>
              <a:noFill/>
            </a:ln>
            <a:effectLst/>
          </c:spPr>
          <c:invertIfNegative val="0"/>
          <c:cat>
            <c:numRef>
              <c:f>Planilha1!$D$5:$D$9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Planilha1!$F$5:$F$9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6345-4E67-A2B7-B26B7223A1AB}"/>
            </c:ext>
          </c:extLst>
        </c:ser>
        <c:ser>
          <c:idx val="2"/>
          <c:order val="2"/>
          <c:tx>
            <c:strRef>
              <c:f>Planilha1!$G$4</c:f>
              <c:strCache>
                <c:ptCount val="1"/>
              </c:strCache>
            </c:strRef>
          </c:tx>
          <c:spPr>
            <a:solidFill>
              <a:schemeClr val="accent1">
                <a:tint val="90000"/>
              </a:schemeClr>
            </a:solidFill>
            <a:ln>
              <a:noFill/>
            </a:ln>
            <a:effectLst/>
          </c:spPr>
          <c:invertIfNegative val="0"/>
          <c:cat>
            <c:numRef>
              <c:f>Planilha1!$D$5:$D$9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Planilha1!$G$5:$G$9</c:f>
              <c:numCache>
                <c:formatCode>General</c:formatCode>
                <c:ptCount val="5"/>
                <c:pt idx="0">
                  <c:v>76</c:v>
                </c:pt>
                <c:pt idx="1">
                  <c:v>13</c:v>
                </c:pt>
                <c:pt idx="2">
                  <c:v>31</c:v>
                </c:pt>
                <c:pt idx="3">
                  <c:v>15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45-4E67-A2B7-B26B7223A1AB}"/>
            </c:ext>
          </c:extLst>
        </c:ser>
        <c:ser>
          <c:idx val="3"/>
          <c:order val="3"/>
          <c:tx>
            <c:strRef>
              <c:f>Planilha1!$H$4</c:f>
              <c:strCache>
                <c:ptCount val="1"/>
                <c:pt idx="0">
                  <c:v>Amostras coletadas</c:v>
                </c:pt>
              </c:strCache>
            </c:strRef>
          </c:tx>
          <c:spPr>
            <a:solidFill>
              <a:schemeClr val="accent1">
                <a:shade val="90000"/>
              </a:schemeClr>
            </a:solidFill>
            <a:ln>
              <a:noFill/>
            </a:ln>
            <a:effectLst/>
          </c:spPr>
          <c:invertIfNegative val="0"/>
          <c:cat>
            <c:numRef>
              <c:f>Planilha1!$D$5:$D$9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Planilha1!$H$5:$H$9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6345-4E67-A2B7-B26B7223A1AB}"/>
            </c:ext>
          </c:extLst>
        </c:ser>
        <c:ser>
          <c:idx val="4"/>
          <c:order val="4"/>
          <c:tx>
            <c:strRef>
              <c:f>Planilha1!$I$4</c:f>
              <c:strCache>
                <c:ptCount val="1"/>
              </c:strCache>
            </c:strRef>
          </c:tx>
          <c:spPr>
            <a:solidFill>
              <a:schemeClr val="accent1">
                <a:shade val="70000"/>
              </a:schemeClr>
            </a:solidFill>
            <a:ln>
              <a:noFill/>
            </a:ln>
            <a:effectLst/>
          </c:spPr>
          <c:invertIfNegative val="0"/>
          <c:cat>
            <c:numRef>
              <c:f>Planilha1!$D$5:$D$9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Planilha1!$I$5:$I$9</c:f>
              <c:numCache>
                <c:formatCode>General</c:formatCode>
                <c:ptCount val="5"/>
                <c:pt idx="0">
                  <c:v>49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45-4E67-A2B7-B26B7223A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15154272"/>
        <c:axId val="1527027360"/>
        <c:extLst>
          <c:ext xmlns:c15="http://schemas.microsoft.com/office/drawing/2012/chart" uri="{02D57815-91ED-43cb-92C2-25804820EDAC}">
            <c15:filteredBarSeries>
              <c15:ser>
                <c:idx val="5"/>
                <c:order val="5"/>
                <c:tx>
                  <c:strRef>
                    <c:extLst>
                      <c:ext uri="{02D57815-91ED-43cb-92C2-25804820EDAC}">
                        <c15:formulaRef>
                          <c15:sqref>Planilha1!$J$4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shade val="5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Planilha1!$D$5:$D$9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  <c:pt idx="3">
                        <c:v>2021</c:v>
                      </c:pt>
                      <c:pt idx="4">
                        <c:v>2022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Planilha1!$J$5:$J$9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6345-4E67-A2B7-B26B7223A1AB}"/>
                  </c:ext>
                </c:extLst>
              </c15:ser>
            </c15:filteredBarSeries>
          </c:ext>
        </c:extLst>
      </c:barChart>
      <c:catAx>
        <c:axId val="171515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27027360"/>
        <c:crosses val="autoZero"/>
        <c:auto val="1"/>
        <c:lblAlgn val="ctr"/>
        <c:lblOffset val="100"/>
        <c:noMultiLvlLbl val="0"/>
      </c:catAx>
      <c:valAx>
        <c:axId val="152702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1515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895875515560554"/>
          <c:y val="0.91778933293715648"/>
          <c:w val="0.81589182602174715"/>
          <c:h val="6.06473247447842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353</Characters>
  <Application>Microsoft Office Word</Application>
  <DocSecurity>0</DocSecurity>
  <Lines>5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de carvalho nascimento</dc:creator>
  <cp:keywords/>
  <dc:description/>
  <cp:lastModifiedBy>viviane de carvalho nascimento</cp:lastModifiedBy>
  <cp:revision>1</cp:revision>
  <dcterms:created xsi:type="dcterms:W3CDTF">2023-10-29T02:36:00Z</dcterms:created>
  <dcterms:modified xsi:type="dcterms:W3CDTF">2023-10-29T02:45:00Z</dcterms:modified>
</cp:coreProperties>
</file>