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​A VIVÊNCIA DE ACADÊMICOS DE ENFERMAGEM DURANTE A DISCIPLINA DE SAÚDE DA MULHER II: UM RELATO DE EXPERIÊNCIA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Bruna Brandão dos Santos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Denise Macêdo de Oliveira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Tâmara Ingrid de Oliveira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Ana Beatriz Amorim Sales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Luan Fernandes Soares dos Santos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Karol Fireman de Farias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Graduanda em Enfermagem na Universidade Federal de Alagoas; e-mail: brunabsantos16@gmail.com;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Graduanda em Enfermagem na UFAL;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 3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Graduanda em Enfermagem na UFAL;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Graduando em Enfermagem na UFAL;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5;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Doutora em Biotecnologia (RENORBIO), professora titular da UFAL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 disciplina Saúde da Mulher II compõe a grade curricular do curso de bacharelado em Enfermagem da Universidade Federal de Alagoas - UFAL/Campus Arapiraca. Com o objetivo de subsidiar em conhecimento técnico-científico a prestação de assistência á mulher. O  método ativo coloca o discente como protagonista, ser pensante, capaz de refletir de forma crítica sobre os temas propostos, estimulando a autonomia no processo de aprendizagem(1,2).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Relatar a experiência vivida por acadêmicos de Enfermagem do 6º período da UFAL/Campus Arapiraca na disciplina Saúde da Mulher II.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MÉTODO: </w:t>
      </w:r>
      <w:r w:rsidDel="00000000" w:rsidR="00000000" w:rsidRPr="00000000">
        <w:rPr>
          <w:rFonts w:ascii="Arial" w:cs="Arial" w:eastAsia="Arial" w:hAnsi="Arial"/>
          <w:rtl w:val="0"/>
        </w:rPr>
        <w:t xml:space="preserve">Trata-se de um relato de experiência. A disciplina conta com uma metodologia denominada ativa. Baseia-se, em situações-problema, simulando situações reais e estudos de casos como questões norteadoras e o fechamento.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RESULTADOS: </w:t>
      </w:r>
      <w:r w:rsidDel="00000000" w:rsidR="00000000" w:rsidRPr="00000000">
        <w:rPr>
          <w:rFonts w:ascii="Arial" w:cs="Arial" w:eastAsia="Arial" w:hAnsi="Arial"/>
          <w:rtl w:val="0"/>
        </w:rPr>
        <w:t xml:space="preserve">Foi possível aprender a identificar as principais causas da morbimortalidade da mulher em caráter amplo e local, discutir programas de atenção à saúde, abordando questões como ações de saúde de promoção, prevenção, assistência e recuperação, além de outros assuntos atendendo ao conteúdo programático da disciplina e o atendimento integral da mulher. Buscou-se compreender a imagem feminina como participante ativa da sociedade e não apenas como um ser capaz de gerar e parir, mas ainda um ser histórico, múltiplo e diverso, capaz de gerir quaisquer processos das estruturas que compõem a sociedade.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Podemos verificar a importância de aliar os métodos teóricos com métodos práticos que se complementam e contribuem para aprender o conhecimento, preparando o discente para a vida profissional.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DESCRITORES: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Saúde. Saúde da mulher. Tutoria.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REFERÊNCIAS: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Serafim et al., Estratégias de ensino na monitoria de saúde da mulher e da criança do curso de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Cienc Cuid Saude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2007;6 (Suplem. 2):474-480.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Frison, LMB. Tutoria entre estudantes: uma proposta de trabalho que prioriza a aprendizagem.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Rev. Port. de Educação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Braga,  v. 25, n. 2, p. 217-240,    2012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Albuquerque VS, Moreira COF, Tanji S, Martins AV. A narrativa da prática como uma estratégia de construção do conhecimento na formação superior em saúde. Educar em Revista. 2010;1(2):191-206.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Ceccim RB, Feuerwerker LCM. O Quadrilátero da Formação para a Área da Saúde: Ensino, Gestão, Atenção e Controle Social. Physis. 2004;14(1):41-65..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50099" cy="73329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0099" cy="7332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62000" cy="672227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6722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1003300</wp:posOffset>
              </wp:positionH>
              <wp:positionV relativeFrom="paragraph">
                <wp:posOffset>-63499</wp:posOffset>
              </wp:positionV>
              <wp:extent cx="4902200" cy="8191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07600" y="3383125"/>
                        <a:ext cx="4876800" cy="7937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25400">
                        <a:solidFill>
                          <a:srgbClr val="395E8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1003300</wp:posOffset>
              </wp:positionH>
              <wp:positionV relativeFrom="paragraph">
                <wp:posOffset>-63499</wp:posOffset>
              </wp:positionV>
              <wp:extent cx="4902200" cy="8191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02200" cy="819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-63499</wp:posOffset>
              </wp:positionV>
              <wp:extent cx="4683125" cy="8032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009200" y="3383125"/>
                        <a:ext cx="4673600" cy="793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6"/>
                              <w:vertAlign w:val="baseline"/>
                            </w:rPr>
                            <w:t xml:space="preserve">SIMPÓSIO INTERNACIONAL DE ENFERMAGEM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4"/>
                              <w:vertAlign w:val="baseline"/>
                            </w:rPr>
                            <w:t xml:space="preserve"> - SIE 2019 -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6"/>
                              <w:vertAlign w:val="baseline"/>
                            </w:rPr>
                            <w:t xml:space="preserve">Sie - 2019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6"/>
                              <w:vertAlign w:val="baseline"/>
                            </w:rPr>
                            <w:t xml:space="preserve">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1092200</wp:posOffset>
              </wp:positionH>
              <wp:positionV relativeFrom="paragraph">
                <wp:posOffset>-63499</wp:posOffset>
              </wp:positionV>
              <wp:extent cx="4683125" cy="80327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83125" cy="803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