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2C87" w14:textId="77777777" w:rsidR="00AC431B" w:rsidRDefault="00AC431B">
      <w:pPr>
        <w:jc w:val="both"/>
        <w:rPr>
          <w:rFonts w:ascii="Calibri" w:eastAsia="Calibri" w:hAnsi="Calibri" w:cs="Calibri"/>
          <w:color w:val="000000"/>
        </w:rPr>
      </w:pPr>
    </w:p>
    <w:p w14:paraId="4113F083" w14:textId="77777777" w:rsidR="00AC431B" w:rsidRDefault="00AC431B">
      <w:pPr>
        <w:jc w:val="both"/>
        <w:rPr>
          <w:rFonts w:ascii="Calibri" w:eastAsia="Calibri" w:hAnsi="Calibri" w:cs="Calibri"/>
          <w:color w:val="000000"/>
        </w:rPr>
      </w:pPr>
    </w:p>
    <w:p w14:paraId="34FEB7A5" w14:textId="77777777" w:rsidR="00AC431B" w:rsidRDefault="00000000">
      <w:pPr>
        <w:spacing w:after="120"/>
        <w:ind w:left="709" w:right="66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FIBROMA TRAUMÁTICO ASSOCIADO A PRÓTESE PARCIAL REMOVÍVEL MAL ADAPTADA: RELATO DE CASO</w:t>
      </w:r>
      <w:r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footnoteReference w:id="1"/>
      </w:r>
    </w:p>
    <w:p w14:paraId="2AD7F78E" w14:textId="77777777" w:rsidR="00AC431B" w:rsidRDefault="00AC431B">
      <w:pPr>
        <w:jc w:val="right"/>
        <w:rPr>
          <w:rFonts w:ascii="Cambria" w:eastAsia="Cambria" w:hAnsi="Cambria" w:cs="Cambria"/>
          <w:sz w:val="22"/>
          <w:szCs w:val="22"/>
        </w:rPr>
      </w:pPr>
    </w:p>
    <w:p w14:paraId="625595CC" w14:textId="6B867705" w:rsidR="00AC431B" w:rsidRPr="004A0E2F" w:rsidRDefault="00000000" w:rsidP="004A0E2F">
      <w:pP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t>Rannys Kelson de Oliveira Damasceno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</w:p>
    <w:p w14:paraId="0860A6A7" w14:textId="77777777" w:rsidR="00AC431B" w:rsidRDefault="00000000">
      <w:pP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Daniele Soares de Araújo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</w:p>
    <w:p w14:paraId="5A577F2A" w14:textId="77777777" w:rsidR="00AC431B" w:rsidRDefault="00000000" w:rsidP="004A0E2F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Joana Vitória Melo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9B649E5" w14:textId="77777777" w:rsidR="00AC431B" w:rsidRDefault="00AC431B">
      <w:pPr>
        <w:jc w:val="right"/>
        <w:rPr>
          <w:rFonts w:ascii="Arial" w:eastAsia="Arial" w:hAnsi="Arial" w:cs="Arial"/>
          <w:b/>
          <w:sz w:val="22"/>
          <w:szCs w:val="22"/>
        </w:rPr>
      </w:pPr>
    </w:p>
    <w:p w14:paraId="113DB5A7" w14:textId="77777777" w:rsidR="00AC431B" w:rsidRPr="004A0E2F" w:rsidRDefault="00000000">
      <w:pPr>
        <w:spacing w:after="120"/>
        <w:ind w:right="665"/>
        <w:jc w:val="both"/>
        <w:rPr>
          <w:rFonts w:ascii="Arial" w:eastAsia="Arial" w:hAnsi="Arial" w:cs="Arial"/>
          <w:b/>
          <w:sz w:val="22"/>
          <w:szCs w:val="22"/>
        </w:rPr>
      </w:pPr>
      <w:r w:rsidRPr="004A0E2F">
        <w:rPr>
          <w:rFonts w:ascii="Arial" w:eastAsia="Arial" w:hAnsi="Arial" w:cs="Arial"/>
          <w:b/>
          <w:sz w:val="22"/>
          <w:szCs w:val="22"/>
        </w:rPr>
        <w:t>RESUMO</w:t>
      </w:r>
    </w:p>
    <w:p w14:paraId="076E8AE2" w14:textId="77777777" w:rsidR="00AC431B" w:rsidRPr="004A0E2F" w:rsidRDefault="00000000">
      <w:pPr>
        <w:spacing w:after="120"/>
        <w:ind w:right="665"/>
        <w:jc w:val="both"/>
        <w:rPr>
          <w:rFonts w:ascii="Arial" w:eastAsia="Arial" w:hAnsi="Arial" w:cs="Arial"/>
          <w:b/>
          <w:sz w:val="22"/>
          <w:szCs w:val="22"/>
        </w:rPr>
      </w:pPr>
      <w:r w:rsidRPr="004A0E2F">
        <w:rPr>
          <w:rFonts w:ascii="Arial" w:eastAsia="Arial" w:hAnsi="Arial" w:cs="Arial"/>
          <w:b/>
          <w:sz w:val="22"/>
          <w:szCs w:val="22"/>
        </w:rPr>
        <w:t>INTRODUÇÃO:</w:t>
      </w:r>
    </w:p>
    <w:p w14:paraId="36D2B0F5" w14:textId="0FDEA5AC" w:rsidR="00AC431B" w:rsidRPr="004A0E2F" w:rsidRDefault="00000000">
      <w:pPr>
        <w:spacing w:after="120"/>
        <w:ind w:right="665"/>
        <w:jc w:val="both"/>
        <w:rPr>
          <w:rFonts w:ascii="Arial" w:eastAsia="Arial" w:hAnsi="Arial" w:cs="Arial"/>
        </w:rPr>
      </w:pPr>
      <w:r w:rsidRPr="004A0E2F">
        <w:rPr>
          <w:rFonts w:ascii="Arial" w:eastAsia="Arial" w:hAnsi="Arial" w:cs="Arial"/>
        </w:rPr>
        <w:t xml:space="preserve">Lesões traumáticas da mucosa oral, como o fibroma traumático, são comuns em usuários de próteses removíveis mal adaptadas. O fibroma é uma lesão benigna de origem reacional, provocada por estímulo mecânico crônico de baixa intensidade. Em pacientes com Transtorno do Espectro Autista (TEA), o diagnóstico é mais desafiador devido à sensibilidade oral, dificuldades de comunicação e resistência ao exame clínico. Este relato descreve o caso de um paciente com autismo que apresentou fibroma traumático na língua, diagnosticado durante avaliação para confecção de nova prótese total superior. </w:t>
      </w:r>
      <w:r w:rsidRPr="004A0E2F">
        <w:rPr>
          <w:rFonts w:ascii="Arial" w:eastAsia="Arial" w:hAnsi="Arial" w:cs="Arial"/>
          <w:b/>
        </w:rPr>
        <w:t xml:space="preserve">OBJETIVO: </w:t>
      </w:r>
      <w:r w:rsidRPr="004A0E2F">
        <w:rPr>
          <w:rFonts w:ascii="Arial" w:eastAsia="Arial" w:hAnsi="Arial" w:cs="Arial"/>
        </w:rPr>
        <w:t xml:space="preserve">Relatar o caso clínico de fibroma traumático em paciente com autismo, destacando a conduta clínica e a importância da análise histopatológica para o diagnóstico. </w:t>
      </w:r>
      <w:r w:rsidRPr="004A0E2F">
        <w:rPr>
          <w:rFonts w:ascii="Arial" w:eastAsia="Arial" w:hAnsi="Arial" w:cs="Arial"/>
          <w:b/>
        </w:rPr>
        <w:t xml:space="preserve">METODOLOGIA: </w:t>
      </w:r>
      <w:r w:rsidRPr="004A0E2F">
        <w:rPr>
          <w:rFonts w:ascii="Arial" w:eastAsia="Arial" w:hAnsi="Arial" w:cs="Arial"/>
        </w:rPr>
        <w:t xml:space="preserve">Paciente masculino, 44 anos, com autismo, buscou atendimento para confecção de nova prótese. No exame, identificou-se um nódulo de 1,5 cm na borda lateral direita da língua, firme, indolor e bem delimitado. A lesão foi removida cirurgicamente sob anestesia local. O material foi enviado para análise histopatológica. </w:t>
      </w:r>
      <w:r w:rsidRPr="004A0E2F">
        <w:rPr>
          <w:rFonts w:ascii="Arial" w:eastAsia="Arial" w:hAnsi="Arial" w:cs="Arial"/>
          <w:b/>
        </w:rPr>
        <w:t xml:space="preserve">RESULTADOS: </w:t>
      </w:r>
      <w:r w:rsidRPr="004A0E2F">
        <w:rPr>
          <w:rFonts w:ascii="Arial" w:eastAsia="Arial" w:hAnsi="Arial" w:cs="Arial"/>
        </w:rPr>
        <w:t xml:space="preserve">O laudo confirmou fibroma, com tecido conjuntivo fibroso denso e sem displasia. A cicatrização foi adequada em duas semanas. Após esse período, foi confeccionada nova prótese adaptada. Em quatro meses de acompanhamento, não houve recidiva. </w:t>
      </w:r>
      <w:r w:rsidRPr="004A0E2F">
        <w:rPr>
          <w:rFonts w:ascii="Arial" w:eastAsia="Arial" w:hAnsi="Arial" w:cs="Arial"/>
          <w:b/>
        </w:rPr>
        <w:t>CONCLUSÃO:</w:t>
      </w:r>
      <w:r w:rsidRPr="004A0E2F">
        <w:rPr>
          <w:rFonts w:ascii="Arial" w:eastAsia="Arial" w:hAnsi="Arial" w:cs="Arial"/>
        </w:rPr>
        <w:t xml:space="preserve"> A avaliação clínica minuciosa e a adaptação do atendimento foram essenciais para o diagnóstico.  </w:t>
      </w:r>
      <w:r w:rsidRPr="004A0E2F">
        <w:rPr>
          <w:rFonts w:ascii="Arial" w:eastAsia="Arial" w:hAnsi="Arial" w:cs="Arial"/>
          <w:b/>
        </w:rPr>
        <w:t>DESCRITORES:</w:t>
      </w:r>
      <w:r w:rsidRPr="004A0E2F">
        <w:rPr>
          <w:rFonts w:ascii="Arial" w:eastAsia="Arial" w:hAnsi="Arial" w:cs="Arial"/>
        </w:rPr>
        <w:t xml:space="preserve"> Fibroma Traumático;</w:t>
      </w:r>
      <w:r w:rsidR="004A0E2F" w:rsidRPr="004A0E2F">
        <w:rPr>
          <w:rFonts w:ascii="Arial" w:eastAsia="Arial" w:hAnsi="Arial" w:cs="Arial"/>
        </w:rPr>
        <w:t xml:space="preserve"> </w:t>
      </w:r>
      <w:r w:rsidRPr="004A0E2F">
        <w:rPr>
          <w:rFonts w:ascii="Arial" w:eastAsia="Arial" w:hAnsi="Arial" w:cs="Arial"/>
        </w:rPr>
        <w:t>Língua; Prótese mal adaptada; Autismo; Paciente especial; Lesões bucais benignas.</w:t>
      </w:r>
    </w:p>
    <w:p w14:paraId="4BDB6AF7" w14:textId="77777777" w:rsidR="00AC431B" w:rsidRDefault="00AC431B">
      <w:pPr>
        <w:spacing w:after="120"/>
        <w:ind w:right="665"/>
        <w:jc w:val="both"/>
        <w:rPr>
          <w:rFonts w:ascii="Arial" w:eastAsia="Arial" w:hAnsi="Arial" w:cs="Arial"/>
          <w:b/>
        </w:rPr>
      </w:pPr>
    </w:p>
    <w:p w14:paraId="3BA355E8" w14:textId="77777777" w:rsidR="00AC431B" w:rsidRDefault="00AC431B">
      <w:pPr>
        <w:jc w:val="center"/>
        <w:rPr>
          <w:rFonts w:ascii="Calibri" w:eastAsia="Calibri" w:hAnsi="Calibri" w:cs="Calibri"/>
          <w:b/>
          <w:color w:val="000000"/>
        </w:rPr>
      </w:pPr>
    </w:p>
    <w:p w14:paraId="04236666" w14:textId="77777777" w:rsidR="00AC431B" w:rsidRDefault="00AC431B">
      <w:pPr>
        <w:spacing w:line="360" w:lineRule="auto"/>
        <w:jc w:val="both"/>
        <w:rPr>
          <w:rFonts w:ascii="Calibri" w:eastAsia="Calibri" w:hAnsi="Calibri" w:cs="Calibri"/>
        </w:rPr>
      </w:pPr>
    </w:p>
    <w:sectPr w:rsidR="00AC431B">
      <w:headerReference w:type="default" r:id="rId6"/>
      <w:footerReference w:type="default" r:id="rId7"/>
      <w:headerReference w:type="first" r:id="rId8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3892" w14:textId="77777777" w:rsidR="00A959BD" w:rsidRDefault="00A959BD">
      <w:r>
        <w:separator/>
      </w:r>
    </w:p>
  </w:endnote>
  <w:endnote w:type="continuationSeparator" w:id="0">
    <w:p w14:paraId="33E56966" w14:textId="77777777" w:rsidR="00A959BD" w:rsidRDefault="00A9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7670D" w14:textId="77777777" w:rsidR="00AC431B" w:rsidRDefault="00AC431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AC431B" w14:paraId="607E4BFB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180950E4" w14:textId="77777777" w:rsidR="00AC431B" w:rsidRDefault="00AC431B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3870F546" w14:textId="77777777" w:rsidR="00AC431B" w:rsidRDefault="00000000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 w:rsidR="004A0E2F">
            <w:rPr>
              <w:rFonts w:ascii="Calibri" w:eastAsia="Calibri" w:hAnsi="Calibri" w:cs="Calibri"/>
              <w:b/>
              <w:noProof/>
              <w:color w:val="366091"/>
              <w:sz w:val="28"/>
              <w:szCs w:val="28"/>
            </w:rPr>
            <w:t>2</w: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6835B5F2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67C3B" w14:textId="77777777" w:rsidR="00A959BD" w:rsidRDefault="00A959BD">
      <w:r>
        <w:separator/>
      </w:r>
    </w:p>
  </w:footnote>
  <w:footnote w:type="continuationSeparator" w:id="0">
    <w:p w14:paraId="536CF534" w14:textId="77777777" w:rsidR="00A959BD" w:rsidRDefault="00A959BD">
      <w:r>
        <w:continuationSeparator/>
      </w:r>
    </w:p>
  </w:footnote>
  <w:footnote w:id="1">
    <w:p w14:paraId="604EC0D2" w14:textId="77777777" w:rsidR="00AC431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Trabalho apresentado na V Jornada Acadêmica de Odontologia (</w:t>
      </w:r>
      <w:r>
        <w:rPr>
          <w:sz w:val="20"/>
          <w:szCs w:val="20"/>
        </w:rPr>
        <w:t>JAO</w:t>
      </w:r>
      <w:r>
        <w:rPr>
          <w:color w:val="000000"/>
          <w:sz w:val="20"/>
          <w:szCs w:val="20"/>
        </w:rPr>
        <w:t>), promovida pelo Centro Universitário Santo Agostinho, nos dias 29 e 30 de maio de 2025.</w:t>
      </w:r>
    </w:p>
  </w:footnote>
  <w:footnote w:id="2">
    <w:p w14:paraId="484810EE" w14:textId="77777777" w:rsidR="00AC431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 </w:t>
      </w:r>
    </w:p>
  </w:footnote>
  <w:footnote w:id="3">
    <w:p w14:paraId="0FBE4FBC" w14:textId="77777777" w:rsidR="00AC431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  </w:t>
      </w:r>
    </w:p>
  </w:footnote>
  <w:footnote w:id="4">
    <w:p w14:paraId="13058789" w14:textId="77777777" w:rsidR="00AC431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Graduada em Odontologia pela Universidade de Pernambuco (1998). Mestre Profissional em Odontologia na Área de Clínicas Odontológicas Integradas pela </w:t>
      </w:r>
      <w:proofErr w:type="spellStart"/>
      <w:r>
        <w:rPr>
          <w:sz w:val="20"/>
          <w:szCs w:val="20"/>
        </w:rPr>
        <w:t>SLMandic</w:t>
      </w:r>
      <w:proofErr w:type="spellEnd"/>
      <w:r>
        <w:rPr>
          <w:color w:val="000000"/>
          <w:sz w:val="20"/>
          <w:szCs w:val="20"/>
        </w:rPr>
        <w:t xml:space="preserve"> - Campinas/SP (2012) e Doutora em Ciências </w:t>
      </w:r>
      <w:r>
        <w:rPr>
          <w:sz w:val="20"/>
          <w:szCs w:val="20"/>
        </w:rPr>
        <w:t>Odontológicas</w:t>
      </w:r>
      <w:r>
        <w:rPr>
          <w:color w:val="000000"/>
          <w:sz w:val="20"/>
          <w:szCs w:val="20"/>
        </w:rPr>
        <w:t xml:space="preserve"> na Área de Clínicas Odontológicas pela em Ciências Odontológicas pela </w:t>
      </w:r>
      <w:proofErr w:type="spellStart"/>
      <w:r>
        <w:rPr>
          <w:sz w:val="20"/>
          <w:szCs w:val="20"/>
        </w:rPr>
        <w:t>SLMandic</w:t>
      </w:r>
      <w:proofErr w:type="spellEnd"/>
      <w:r>
        <w:rPr>
          <w:color w:val="000000"/>
          <w:sz w:val="20"/>
          <w:szCs w:val="20"/>
        </w:rPr>
        <w:t xml:space="preserve"> - Campinas/SP (2016). 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BEBBC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31F8667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1B7407F8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7BB2" w14:textId="77777777" w:rsidR="00AC43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477495" wp14:editId="56504408">
          <wp:simplePos x="0" y="0"/>
          <wp:positionH relativeFrom="column">
            <wp:posOffset>-662303</wp:posOffset>
          </wp:positionH>
          <wp:positionV relativeFrom="paragraph">
            <wp:posOffset>-307205</wp:posOffset>
          </wp:positionV>
          <wp:extent cx="7248500" cy="148441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142984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D897C3B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E6F9DA7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AFFEEAD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277448FA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3206867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D51F920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CCF4C4A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7AEA2E7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1AC409A" w14:textId="77777777" w:rsidR="00AC431B" w:rsidRDefault="00AC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8370EC4" w14:textId="77777777" w:rsidR="00AC431B" w:rsidRDefault="00000000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1B"/>
    <w:rsid w:val="004A0E2F"/>
    <w:rsid w:val="0056468A"/>
    <w:rsid w:val="00A959BD"/>
    <w:rsid w:val="00A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CB0D"/>
  <w15:docId w15:val="{9144D7EE-C9BF-4463-889F-ED23C164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360" w:lineRule="auto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Unitech Administrativo</cp:lastModifiedBy>
  <cp:revision>2</cp:revision>
  <dcterms:created xsi:type="dcterms:W3CDTF">2025-05-23T11:50:00Z</dcterms:created>
  <dcterms:modified xsi:type="dcterms:W3CDTF">2025-05-23T11:52:00Z</dcterms:modified>
</cp:coreProperties>
</file>