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86E93" w:rsidRDefault="00000000">
      <w:r>
        <w:rPr>
          <w:noProof/>
        </w:rPr>
        <w:drawing>
          <wp:anchor distT="0" distB="0" distL="0" distR="0" simplePos="0" relativeHeight="251658240" behindDoc="1" locked="0" layoutInCell="1" hidden="0" allowOverlap="1">
            <wp:simplePos x="0" y="0"/>
            <wp:positionH relativeFrom="column">
              <wp:posOffset>-1090735</wp:posOffset>
            </wp:positionH>
            <wp:positionV relativeFrom="paragraph">
              <wp:posOffset>-923924</wp:posOffset>
            </wp:positionV>
            <wp:extent cx="7578284" cy="10711543"/>
            <wp:effectExtent l="0" t="0" r="0" b="0"/>
            <wp:wrapNone/>
            <wp:docPr id="2128089465" name="image5.png" descr="Texto, Cart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Texto, Carta&#10;&#10;O conteúdo gerado por IA pode estar incorreto."/>
                    <pic:cNvPicPr preferRelativeResize="0"/>
                  </pic:nvPicPr>
                  <pic:blipFill>
                    <a:blip r:embed="rId7"/>
                    <a:srcRect/>
                    <a:stretch>
                      <a:fillRect/>
                    </a:stretch>
                  </pic:blipFill>
                  <pic:spPr>
                    <a:xfrm>
                      <a:off x="0" y="0"/>
                      <a:ext cx="7578284" cy="10711543"/>
                    </a:xfrm>
                    <a:prstGeom prst="rect">
                      <a:avLst/>
                    </a:prstGeom>
                    <a:ln/>
                  </pic:spPr>
                </pic:pic>
              </a:graphicData>
            </a:graphic>
          </wp:anchor>
        </w:drawing>
      </w:r>
    </w:p>
    <w:p w14:paraId="00000002" w14:textId="77777777" w:rsidR="00286E93" w:rsidRDefault="00000000">
      <w:r>
        <w:br w:type="page"/>
      </w:r>
      <w:r>
        <w:rPr>
          <w:noProof/>
        </w:rPr>
        <mc:AlternateContent>
          <mc:Choice Requires="wps">
            <w:drawing>
              <wp:anchor distT="0" distB="0" distL="0" distR="0" simplePos="0" relativeHeight="251659264" behindDoc="1" locked="0" layoutInCell="1" hidden="0" allowOverlap="1">
                <wp:simplePos x="0" y="0"/>
                <wp:positionH relativeFrom="column">
                  <wp:posOffset>508000</wp:posOffset>
                </wp:positionH>
                <wp:positionV relativeFrom="paragraph">
                  <wp:posOffset>6896100</wp:posOffset>
                </wp:positionV>
                <wp:extent cx="718651" cy="392080"/>
                <wp:effectExtent l="0" t="0" r="0" b="0"/>
                <wp:wrapNone/>
                <wp:docPr id="2128089462" name="Retângulo: Cantos Arredondados 2128089462"/>
                <wp:cNvGraphicFramePr/>
                <a:graphic xmlns:a="http://schemas.openxmlformats.org/drawingml/2006/main">
                  <a:graphicData uri="http://schemas.microsoft.com/office/word/2010/wordprocessingShape">
                    <wps:wsp>
                      <wps:cNvSpPr/>
                      <wps:spPr>
                        <a:xfrm>
                          <a:off x="4991437" y="3588723"/>
                          <a:ext cx="709126" cy="382555"/>
                        </a:xfrm>
                        <a:prstGeom prst="roundRect">
                          <a:avLst>
                            <a:gd name="adj" fmla="val 16667"/>
                          </a:avLst>
                        </a:prstGeom>
                        <a:solidFill>
                          <a:srgbClr val="1A9B3C"/>
                        </a:solidFill>
                        <a:ln>
                          <a:noFill/>
                        </a:ln>
                      </wps:spPr>
                      <wps:txbx>
                        <w:txbxContent>
                          <w:p w14:paraId="3A8A15A5" w14:textId="77777777" w:rsidR="00286E93" w:rsidRDefault="00286E93">
                            <w:pPr>
                              <w:textDirection w:val="btLr"/>
                            </w:pPr>
                          </w:p>
                        </w:txbxContent>
                      </wps:txbx>
                      <wps:bodyPr spcFirstLastPara="1" wrap="square" lIns="91425" tIns="91425" rIns="91425" bIns="91425" anchor="ctr" anchorCtr="0">
                        <a:noAutofit/>
                      </wps:bodyPr>
                    </wps:wsp>
                  </a:graphicData>
                </a:graphic>
              </wp:anchor>
            </w:drawing>
          </mc:Choice>
          <mc:Fallback>
            <w:pict>
              <v:roundrect id="Retângulo: Cantos Arredondados 2128089462" o:spid="_x0000_s1026" style="position:absolute;margin-left:40pt;margin-top:543pt;width:56.6pt;height:30.85pt;z-index:-25165721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" fillcolor="#1a9b3c" stroked="f">
                <v:textbox inset="2.53958mm,2.53958mm,2.53958mm,2.53958mm">
                  <w:txbxContent>
                    <w:p w14:paraId="3A8A15A5" w14:textId="77777777" w:rsidR="00286E93" w:rsidRDefault="00286E93">
                      <w:pPr>
                        <w:textDirection w:val="btLr"/>
                      </w:pP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1320800</wp:posOffset>
                </wp:positionH>
                <wp:positionV relativeFrom="paragraph">
                  <wp:posOffset>6832600</wp:posOffset>
                </wp:positionV>
                <wp:extent cx="3703955" cy="1371600"/>
                <wp:effectExtent l="0" t="0" r="0" b="0"/>
                <wp:wrapNone/>
                <wp:docPr id="2128089463" name="Retângulo 2128089463"/>
                <wp:cNvGraphicFramePr/>
                <a:graphic xmlns:a="http://schemas.openxmlformats.org/drawingml/2006/main">
                  <a:graphicData uri="http://schemas.microsoft.com/office/word/2010/wordprocessingShape">
                    <wps:wsp>
                      <wps:cNvSpPr/>
                      <wps:spPr>
                        <a:xfrm>
                          <a:off x="3498785" y="3098963"/>
                          <a:ext cx="3694430" cy="1362075"/>
                        </a:xfrm>
                        <a:prstGeom prst="rect">
                          <a:avLst/>
                        </a:prstGeom>
                        <a:noFill/>
                        <a:ln>
                          <a:noFill/>
                        </a:ln>
                      </wps:spPr>
                      <wps:txbx>
                        <w:txbxContent>
                          <w:p w14:paraId="7EF7992F" w14:textId="77777777" w:rsidR="00286E93" w:rsidRDefault="00000000">
                            <w:pPr>
                              <w:textDirection w:val="btLr"/>
                            </w:pPr>
                            <w:r>
                              <w:rPr>
                                <w:rFonts w:ascii="Antonio" w:eastAsia="Antonio" w:hAnsi="Antonio" w:cs="Antonio"/>
                                <w:color w:val="1A9B3C"/>
                                <w:sz w:val="36"/>
                              </w:rPr>
                              <w:t>ESTADO, POLÍTICAS PÚBLICAS E SISTEMAS ALIMENTARES</w:t>
                            </w:r>
                          </w:p>
                        </w:txbxContent>
                      </wps:txbx>
                      <wps:bodyPr spcFirstLastPara="1" wrap="square" lIns="91425" tIns="45700" rIns="91425" bIns="45700" anchor="t" anchorCtr="0">
                        <a:noAutofit/>
                      </wps:bodyPr>
                    </wps:wsp>
                  </a:graphicData>
                </a:graphic>
              </wp:anchor>
            </w:drawing>
          </mc:Choice>
          <mc:Fallback>
            <w:pict>
              <v:rect id="Retângulo 2128089463" o:spid="_x0000_s1027" style="position:absolute;margin-left:104pt;margin-top:538pt;width:291.65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" filled="f" stroked="f">
                <v:textbox inset="2.53958mm,1.2694mm,2.53958mm,1.2694mm">
                  <w:txbxContent>
                    <w:p w14:paraId="7EF7992F" w14:textId="77777777" w:rsidR="00286E93" w:rsidRDefault="00000000">
                      <w:pPr>
                        <w:textDirection w:val="btLr"/>
                      </w:pPr>
                      <w:r>
                        <w:rPr>
                          <w:rFonts w:ascii="Antonio" w:eastAsia="Antonio" w:hAnsi="Antonio" w:cs="Antonio"/>
                          <w:color w:val="1A9B3C"/>
                          <w:sz w:val="36"/>
                        </w:rPr>
                        <w:t>ESTADO, POLÍTICAS PÚBLICAS E SISTEMAS ALIMENTARES</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508000</wp:posOffset>
                </wp:positionH>
                <wp:positionV relativeFrom="paragraph">
                  <wp:posOffset>6845300</wp:posOffset>
                </wp:positionV>
                <wp:extent cx="821055" cy="503555"/>
                <wp:effectExtent l="0" t="0" r="0" b="0"/>
                <wp:wrapNone/>
                <wp:docPr id="2128089464" name="Retângulo 2128089464"/>
                <wp:cNvGraphicFramePr/>
                <a:graphic xmlns:a="http://schemas.openxmlformats.org/drawingml/2006/main">
                  <a:graphicData uri="http://schemas.microsoft.com/office/word/2010/wordprocessingShape">
                    <wps:wsp>
                      <wps:cNvSpPr/>
                      <wps:spPr>
                        <a:xfrm>
                          <a:off x="4940235" y="3532985"/>
                          <a:ext cx="811530" cy="494030"/>
                        </a:xfrm>
                        <a:prstGeom prst="rect">
                          <a:avLst/>
                        </a:prstGeom>
                        <a:noFill/>
                        <a:ln>
                          <a:noFill/>
                        </a:ln>
                      </wps:spPr>
                      <wps:txbx>
                        <w:txbxContent>
                          <w:p w14:paraId="32F47303" w14:textId="77777777" w:rsidR="00286E93" w:rsidRDefault="00000000">
                            <w:pPr>
                              <w:textDirection w:val="btLr"/>
                            </w:pPr>
                            <w:r>
                              <w:rPr>
                                <w:rFonts w:ascii="Antonio" w:eastAsia="Antonio" w:hAnsi="Antonio" w:cs="Antonio"/>
                                <w:color w:val="F8EDD1"/>
                                <w:sz w:val="44"/>
                              </w:rPr>
                              <w:t>GT 01:</w:t>
                            </w:r>
                          </w:p>
                        </w:txbxContent>
                      </wps:txbx>
                      <wps:bodyPr spcFirstLastPara="1" wrap="square" lIns="91425" tIns="45700" rIns="91425" bIns="45700" anchor="t" anchorCtr="0">
                        <a:noAutofit/>
                      </wps:bodyPr>
                    </wps:wsp>
                  </a:graphicData>
                </a:graphic>
              </wp:anchor>
            </w:drawing>
          </mc:Choice>
          <mc:Fallback>
            <w:pict>
              <v:rect id="Retângulo 2128089464" o:spid="_x0000_s1028" style="position:absolute;margin-left:40pt;margin-top:539pt;width:64.65pt;height:39.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" filled="f" stroked="f">
                <v:textbox inset="2.53958mm,1.2694mm,2.53958mm,1.2694mm">
                  <w:txbxContent>
                    <w:p w14:paraId="32F47303" w14:textId="77777777" w:rsidR="00286E93" w:rsidRDefault="00000000">
                      <w:pPr>
                        <w:textDirection w:val="btLr"/>
                      </w:pPr>
                      <w:r>
                        <w:rPr>
                          <w:rFonts w:ascii="Antonio" w:eastAsia="Antonio" w:hAnsi="Antonio" w:cs="Antonio"/>
                          <w:color w:val="F8EDD1"/>
                          <w:sz w:val="44"/>
                        </w:rPr>
                        <w:t>GT 01:</w:t>
                      </w:r>
                    </w:p>
                  </w:txbxContent>
                </v:textbox>
              </v:rect>
            </w:pict>
          </mc:Fallback>
        </mc:AlternateContent>
      </w:r>
    </w:p>
    <w:p w14:paraId="00000003" w14:textId="11D24750" w:rsidR="00286E93" w:rsidRDefault="00000000">
      <w:pPr>
        <w:spacing w:after="240" w:line="360" w:lineRule="auto"/>
        <w:jc w:val="center"/>
        <w:rPr>
          <w:b/>
        </w:rPr>
      </w:pPr>
      <w:r>
        <w:rPr>
          <w:b/>
        </w:rPr>
        <w:lastRenderedPageBreak/>
        <w:t xml:space="preserve">ANTECEDÊNCIA DA POLÍTICA MUNICIPAL DE AGROECOLOGIA EM </w:t>
      </w:r>
      <w:r w:rsidRPr="00534BFC">
        <w:rPr>
          <w:b/>
        </w:rPr>
        <w:t xml:space="preserve">FLORIANÓPOLIS FRENTE </w:t>
      </w:r>
      <w:r w:rsidR="00534BFC" w:rsidRPr="00534BFC">
        <w:rPr>
          <w:b/>
        </w:rPr>
        <w:t>A POLÍTICA</w:t>
      </w:r>
      <w:r w:rsidRPr="00534BFC">
        <w:rPr>
          <w:b/>
        </w:rPr>
        <w:t xml:space="preserve"> ESTADUAL</w:t>
      </w:r>
      <w:r>
        <w:rPr>
          <w:b/>
        </w:rPr>
        <w:t xml:space="preserve"> DE AGROECOLOGIA CATARINENSE</w:t>
      </w:r>
    </w:p>
    <w:p w14:paraId="00000004" w14:textId="77777777" w:rsidR="00286E93" w:rsidRDefault="00286E93">
      <w:pPr>
        <w:spacing w:line="360" w:lineRule="auto"/>
        <w:ind w:hanging="2"/>
        <w:jc w:val="center"/>
      </w:pPr>
    </w:p>
    <w:p w14:paraId="00000005" w14:textId="77777777" w:rsidR="00286E93" w:rsidRDefault="00000000">
      <w:pPr>
        <w:spacing w:line="360" w:lineRule="auto"/>
        <w:ind w:hanging="2"/>
        <w:jc w:val="center"/>
        <w:rPr>
          <w:vertAlign w:val="superscript"/>
        </w:rPr>
      </w:pPr>
      <w:r>
        <w:t>TAVARES, Karen Isabel Sotero</w:t>
      </w:r>
      <w:r>
        <w:rPr>
          <w:vertAlign w:val="superscript"/>
        </w:rPr>
        <w:footnoteReference w:id="1"/>
      </w:r>
    </w:p>
    <w:p w14:paraId="00000006" w14:textId="77777777" w:rsidR="00286E93" w:rsidRDefault="00000000">
      <w:pPr>
        <w:spacing w:line="360" w:lineRule="auto"/>
        <w:ind w:hanging="2"/>
        <w:jc w:val="center"/>
      </w:pPr>
      <w:r>
        <w:t>OLIVEIRA, Daniela</w:t>
      </w:r>
      <w:r>
        <w:rPr>
          <w:vertAlign w:val="superscript"/>
        </w:rPr>
        <w:footnoteReference w:id="2"/>
      </w:r>
      <w:r>
        <w:rPr>
          <w:vertAlign w:val="superscript"/>
        </w:rPr>
        <w:t xml:space="preserve"> </w:t>
      </w:r>
    </w:p>
    <w:p w14:paraId="00000007" w14:textId="77777777" w:rsidR="00286E93" w:rsidRDefault="00286E93">
      <w:pPr>
        <w:spacing w:line="360" w:lineRule="auto"/>
        <w:ind w:hanging="2"/>
        <w:rPr>
          <w:color w:val="FF0000"/>
        </w:rPr>
      </w:pPr>
    </w:p>
    <w:p w14:paraId="00000008" w14:textId="77777777" w:rsidR="00286E93" w:rsidRDefault="00000000">
      <w:pPr>
        <w:spacing w:line="360" w:lineRule="auto"/>
        <w:ind w:hanging="2"/>
        <w:rPr>
          <w:color w:val="FF0000"/>
        </w:rPr>
      </w:pPr>
      <w:r>
        <w:rPr>
          <w:b/>
        </w:rPr>
        <w:t>GT 01:</w:t>
      </w:r>
      <w:r>
        <w:t xml:space="preserve"> Estado, políticas públicas e sistemas alimentares</w:t>
      </w:r>
    </w:p>
    <w:p w14:paraId="00000009" w14:textId="77777777" w:rsidR="00286E93" w:rsidRDefault="00286E93">
      <w:pPr>
        <w:tabs>
          <w:tab w:val="left" w:pos="3544"/>
        </w:tabs>
        <w:spacing w:line="360" w:lineRule="auto"/>
        <w:ind w:hanging="2"/>
        <w:jc w:val="center"/>
        <w:rPr>
          <w:color w:val="FF0000"/>
        </w:rPr>
      </w:pPr>
    </w:p>
    <w:p w14:paraId="0000000A" w14:textId="77777777" w:rsidR="00286E93" w:rsidRDefault="00000000">
      <w:pPr>
        <w:spacing w:line="360" w:lineRule="auto"/>
        <w:ind w:hanging="2"/>
        <w:jc w:val="center"/>
        <w:rPr>
          <w:b/>
        </w:rPr>
      </w:pPr>
      <w:r>
        <w:rPr>
          <w:b/>
        </w:rPr>
        <w:t xml:space="preserve">RESUMO </w:t>
      </w:r>
    </w:p>
    <w:p w14:paraId="0000000B" w14:textId="77777777" w:rsidR="00286E93" w:rsidRDefault="00000000">
      <w:pPr>
        <w:spacing w:line="360" w:lineRule="auto"/>
        <w:ind w:hanging="2"/>
        <w:jc w:val="both"/>
      </w:pPr>
      <w:r>
        <w:t xml:space="preserve">Considerando a necessidade da construção de sistemas alimentares sustentáveis, entende-se a agroecologia e sua institucionalização, por meio de políticas </w:t>
      </w:r>
      <w:r w:rsidRPr="00534BFC">
        <w:t>estaduais e municipais, como uma etapa importante nesse processo. A partir do estudo da Política Estadual de Agroecologia e Produção Orgânica em Santa Catarina, compreendeu-se a necessidade de analisar os motivos da aprovação da Política Municipal de Agroecologia e Produção Orgânica em Florianópolis ter ocorrido antes da estadual.</w:t>
      </w:r>
      <w:r>
        <w:t xml:space="preserve"> Os embasamentos teóricos utilizados foram </w:t>
      </w:r>
      <w:sdt>
        <w:sdtPr>
          <w:tag w:val="goog_rdk_0"/>
          <w:id w:val="627907385"/>
        </w:sdtPr>
        <w:sdtContent/>
      </w:sdt>
      <w:sdt>
        <w:sdtPr>
          <w:tag w:val="goog_rdk_1"/>
          <w:id w:val="-1457319974"/>
        </w:sdtPr>
        <w:sdtContent/>
      </w:sdt>
      <w:sdt>
        <w:sdtPr>
          <w:tag w:val="goog_rdk_2"/>
          <w:id w:val="2019877809"/>
        </w:sdtPr>
        <w:sdtContent/>
      </w:sdt>
      <w:r>
        <w:t xml:space="preserve">a compreensão do referencial global e setorial, de Muller, bem como a função de um empreendedor de políticas, de </w:t>
      </w:r>
      <w:proofErr w:type="spellStart"/>
      <w:r>
        <w:t>Kingdon</w:t>
      </w:r>
      <w:proofErr w:type="spellEnd"/>
      <w:r>
        <w:t xml:space="preserve">. Conclui-se, que o referencial setorial do município contava com uma forte mobilização em torno, principalmente, da agricultura urbana e que tal elemento, juntamente com a ação de um empreendedor de política, possibilitaram a aprovação da lei municipal. Neste momento a lei estadual, representada pelo referencial global </w:t>
      </w:r>
      <w:sdt>
        <w:sdtPr>
          <w:tag w:val="goog_rdk_3"/>
          <w:id w:val="-2104328397"/>
        </w:sdtPr>
        <w:sdtContent/>
      </w:sdt>
      <w:r>
        <w:t xml:space="preserve">seguia arquivada, sendo aprovada, posteriormente por influência do referencial setorial. </w:t>
      </w:r>
    </w:p>
    <w:p w14:paraId="0000000C" w14:textId="77777777" w:rsidR="00286E93" w:rsidRDefault="00000000">
      <w:pPr>
        <w:spacing w:line="360" w:lineRule="auto"/>
        <w:ind w:left="-2"/>
        <w:jc w:val="both"/>
      </w:pPr>
      <w:r>
        <w:lastRenderedPageBreak/>
        <w:t>Palavras-chave: Agroecologia, Florianópolis, Santa Catarina, Abordagem Cognitiva, Empreendedor de Políticas.</w:t>
      </w:r>
    </w:p>
    <w:p w14:paraId="0000000D" w14:textId="77777777" w:rsidR="00286E93" w:rsidRDefault="00286E93">
      <w:pPr>
        <w:spacing w:line="360" w:lineRule="auto"/>
        <w:ind w:hanging="2"/>
        <w:jc w:val="both"/>
      </w:pPr>
    </w:p>
    <w:p w14:paraId="0000000E" w14:textId="77777777" w:rsidR="00286E93" w:rsidRDefault="00000000">
      <w:pPr>
        <w:spacing w:line="360" w:lineRule="auto"/>
        <w:jc w:val="both"/>
        <w:rPr>
          <w:b/>
        </w:rPr>
      </w:pPr>
      <w:r>
        <w:rPr>
          <w:b/>
        </w:rPr>
        <w:t>INTRODUÇÃO</w:t>
      </w:r>
    </w:p>
    <w:p w14:paraId="0000000F" w14:textId="77777777" w:rsidR="00286E93" w:rsidRDefault="00000000">
      <w:pPr>
        <w:spacing w:line="360" w:lineRule="auto"/>
        <w:ind w:firstLine="708"/>
        <w:jc w:val="both"/>
      </w:pPr>
      <w:sdt>
        <w:sdtPr>
          <w:tag w:val="goog_rdk_4"/>
          <w:id w:val="-1000730685"/>
        </w:sdtPr>
        <w:sdtContent/>
      </w:sdt>
      <w:sdt>
        <w:sdtPr>
          <w:tag w:val="goog_rdk_5"/>
          <w:id w:val="-402370875"/>
        </w:sdtPr>
        <w:sdtContent/>
      </w:sdt>
      <w:sdt>
        <w:sdtPr>
          <w:tag w:val="goog_rdk_6"/>
          <w:id w:val="984278486"/>
        </w:sdtPr>
        <w:sdtContent/>
      </w:sdt>
      <w:r>
        <w:t>Os sistemas alimentares convencionais, industriais, modernos ou globais, intensificam problemáticas ambientais e alimentares como: fragilidades no abastecimento alimentar, mudanças climáticas, sustentabilidade de gerações presentes e futuras e segurança alimentar e nutricional, exigindo-se a construção de sistemas alimentares alternativos (GRISA et al., 2022). O agronegócio e a agricultura industrial se mostram insustentáveis a nível social, político, ambiental, técnico, ecossistêmico e ético (MACHADO; MACHADO FILHO, 2017).</w:t>
      </w:r>
    </w:p>
    <w:p w14:paraId="00000010" w14:textId="77777777" w:rsidR="00286E93" w:rsidRDefault="00000000">
      <w:pPr>
        <w:spacing w:line="360" w:lineRule="auto"/>
        <w:ind w:firstLine="708"/>
        <w:jc w:val="both"/>
      </w:pPr>
      <w:r>
        <w:t xml:space="preserve">Uma forma sustentável e socialmente justa de produzir e comercializar alimentos é a agroecologia. O fato de crises ambientais impulsionarem a agroecologia, mostra o reconhecimento da prática como alternativa sustentável e resiliente para enfrentar consequências futuras do modelo produtivo convencional com externalidades ambientais e econômicas insustentáveis (SABOURIN, 2017). A institucionalização e o incentivo de modelos alimentares sustentáveis, resilientes e com enfrentamento e adaptação às mudanças climáticas passa pela construção e implementação de políticas de incentivo à agroecologia. Assim, é de destaque estudar e analisar casos nos quais políticas públicas buscam incentivar a produção agroecológica.  </w:t>
      </w:r>
    </w:p>
    <w:p w14:paraId="00000011" w14:textId="77777777" w:rsidR="00286E93" w:rsidRDefault="00000000">
      <w:pPr>
        <w:spacing w:line="360" w:lineRule="auto"/>
        <w:ind w:firstLine="708"/>
        <w:jc w:val="both"/>
      </w:pPr>
      <w:r>
        <w:t>Um estado brasileiro que tem avançado na institucionalização da agroecologia e elementos afins, é Santa Catarina, e especificamente o município de Florianópolis. Esse avanço se deve ao trabalho do “Mandato Agroecológico” do, atual Deputado Estadual e ex-Vereador Marcos José de Abreu, o Marquito e sua equipe, bem como da mobilização de organizações urbanas.</w:t>
      </w:r>
    </w:p>
    <w:p w14:paraId="00000012" w14:textId="77777777" w:rsidR="00286E93" w:rsidRDefault="00000000">
      <w:pPr>
        <w:spacing w:line="360" w:lineRule="auto"/>
        <w:ind w:firstLine="708"/>
        <w:jc w:val="both"/>
      </w:pPr>
      <w:r>
        <w:lastRenderedPageBreak/>
        <w:t>Com isso, buscando compreender a construção da Política Estadual de Agroecologia e Produção Orgânica (PEAPO) em Santa Catarina, decidiu-se elencar tópicos do estudo de Rossato Fagundes et al., (2024), que destrincha a PEAPO catarinense. O trabalho utiliza o “</w:t>
      </w:r>
      <w:sdt>
        <w:sdtPr>
          <w:tag w:val="goog_rdk_7"/>
          <w:id w:val="1610006004"/>
        </w:sdtPr>
        <w:sdtContent/>
      </w:sdt>
      <w:sdt>
        <w:sdtPr>
          <w:tag w:val="goog_rdk_8"/>
          <w:id w:val="-1426569562"/>
        </w:sdtPr>
        <w:sdtContent/>
      </w:sdt>
      <w:r>
        <w:t>pentágono da ação pública”, inspirado no livro “Construção de Políticas Estaduais de Agroecologia e Produção Orgânica no Brasil: avanços, obstáculos e efeitos das dinâmicas subnacionais” (SABOURIN et al. 2019), para analisar a PEAPO catarinense.</w:t>
      </w:r>
    </w:p>
    <w:p w14:paraId="00000013" w14:textId="77777777" w:rsidR="00286E93" w:rsidRDefault="00000000">
      <w:pPr>
        <w:spacing w:line="360" w:lineRule="auto"/>
        <w:ind w:firstLine="708"/>
        <w:jc w:val="both"/>
      </w:pPr>
      <w:sdt>
        <w:sdtPr>
          <w:tag w:val="goog_rdk_9"/>
          <w:id w:val="-1097629287"/>
        </w:sdtPr>
        <w:sdtContent/>
      </w:sdt>
      <w:sdt>
        <w:sdtPr>
          <w:tag w:val="goog_rdk_10"/>
          <w:id w:val="593981285"/>
        </w:sdtPr>
        <w:sdtContent/>
      </w:sdt>
      <w:r>
        <w:t xml:space="preserve">Ainda, a inovação do texto é a discussão da abordagem cognitiva de análise de políticas públicas, para refletir o fato de que a implementação da Política Municipal de Agroecologia e Produção Orgânica (PMAPO) de Florianópolis em 2018 </w:t>
      </w:r>
      <w:sdt>
        <w:sdtPr>
          <w:tag w:val="goog_rdk_11"/>
          <w:id w:val="-1895491439"/>
        </w:sdtPr>
        <w:sdtContent/>
      </w:sdt>
      <w:r>
        <w:t>(Lei Nº 10.392/2018)</w:t>
      </w:r>
      <w:sdt>
        <w:sdtPr>
          <w:tag w:val="goog_rdk_12"/>
          <w:id w:val="1589417888"/>
        </w:sdtPr>
        <w:sdtContent/>
      </w:sdt>
      <w:sdt>
        <w:sdtPr>
          <w:tag w:val="goog_rdk_13"/>
          <w:id w:val="812904478"/>
        </w:sdtPr>
        <w:sdtContent/>
      </w:sdt>
      <w:r>
        <w:t xml:space="preserve">, antecedeu  a aprovação da PEAPO, em 2021 </w:t>
      </w:r>
      <w:sdt>
        <w:sdtPr>
          <w:tag w:val="goog_rdk_14"/>
          <w:id w:val="1622955283"/>
        </w:sdtPr>
        <w:sdtContent/>
      </w:sdt>
      <w:r>
        <w:t>(Lei Nº 18.200/2021).</w:t>
      </w:r>
      <w:sdt>
        <w:sdtPr>
          <w:tag w:val="goog_rdk_15"/>
          <w:id w:val="-1799987178"/>
        </w:sdtPr>
        <w:sdtContent/>
      </w:sdt>
      <w:sdt>
        <w:sdtPr>
          <w:tag w:val="goog_rdk_16"/>
          <w:id w:val="-1884158496"/>
        </w:sdtPr>
        <w:sdtContent/>
      </w:sdt>
      <w:r>
        <w:t xml:space="preserve"> Essa reflexão se dá pela interpretação do município como um referencial setorial, e do estado como referencial global, no referente à política de agroecologia, em alusão à teoria de Muller (2005). Ainda, observa-se a importância de um empreendedor de políticas públicas, como o Marquito, para o avanço da pauta, de acordo com a teoria de </w:t>
      </w:r>
      <w:proofErr w:type="spellStart"/>
      <w:r>
        <w:t>Kingdon</w:t>
      </w:r>
      <w:proofErr w:type="spellEnd"/>
      <w:r>
        <w:t xml:space="preserve"> (1995). </w:t>
      </w:r>
    </w:p>
    <w:p w14:paraId="00000014" w14:textId="77777777" w:rsidR="00286E93" w:rsidRDefault="00286E93">
      <w:pPr>
        <w:spacing w:line="360" w:lineRule="auto"/>
        <w:jc w:val="both"/>
      </w:pPr>
    </w:p>
    <w:p w14:paraId="00000015" w14:textId="77777777" w:rsidR="00286E93" w:rsidRDefault="00000000">
      <w:pPr>
        <w:spacing w:line="360" w:lineRule="auto"/>
        <w:jc w:val="both"/>
        <w:rPr>
          <w:b/>
        </w:rPr>
      </w:pPr>
      <w:r>
        <w:rPr>
          <w:b/>
        </w:rPr>
        <w:t>DESENVOLVIMENTO</w:t>
      </w:r>
    </w:p>
    <w:p w14:paraId="00000016" w14:textId="77777777" w:rsidR="00286E93" w:rsidRDefault="00000000">
      <w:pPr>
        <w:spacing w:line="360" w:lineRule="auto"/>
        <w:jc w:val="both"/>
      </w:pPr>
      <w:r>
        <w:t>Objetivo</w:t>
      </w:r>
    </w:p>
    <w:p w14:paraId="00000017" w14:textId="77777777" w:rsidR="00286E93" w:rsidRDefault="00000000">
      <w:pPr>
        <w:spacing w:line="360" w:lineRule="auto"/>
        <w:ind w:firstLine="708"/>
        <w:jc w:val="both"/>
      </w:pPr>
      <w:r>
        <w:t xml:space="preserve">Este trabalho tem como objetivo analisar os processos de construção, institucionalização e implementação de políticas públicas para a agroecologia em Santa Catarina e, especificamente, em Florianópolis. Visa-se refletir a antecedência da lei municipal em relação à estadual, por meio de mecanismos de análise de políticas públicas. </w:t>
      </w:r>
    </w:p>
    <w:p w14:paraId="797BD595" w14:textId="77777777" w:rsidR="00534BFC" w:rsidRDefault="00534BFC">
      <w:pPr>
        <w:spacing w:line="360" w:lineRule="auto"/>
        <w:ind w:firstLine="708"/>
        <w:jc w:val="both"/>
      </w:pPr>
    </w:p>
    <w:p w14:paraId="0000001A" w14:textId="5D9B5283" w:rsidR="00286E93" w:rsidRDefault="00000000" w:rsidP="00534BFC">
      <w:pPr>
        <w:spacing w:line="360" w:lineRule="auto"/>
        <w:jc w:val="both"/>
      </w:pPr>
      <w:r>
        <w:t>Justificativa</w:t>
      </w:r>
      <w:r w:rsidR="00534BFC">
        <w:br/>
        <w:t xml:space="preserve">          </w:t>
      </w:r>
      <w:r>
        <w:t xml:space="preserve">A inspiração para esse trabalho, partiu da leitura do livro “Construção </w:t>
      </w:r>
      <w:r>
        <w:lastRenderedPageBreak/>
        <w:t xml:space="preserve">de Políticas Estaduais de Agroecologia e Produção Orgânica no Brasil: avanços, obstáculos e efeitos das dinâmicas subnacionais” (SABOURIN et al. 2019), que propôs um caráter inovador de avaliação das Políticas Estaduais de Agroecologia e Produção Orgânica – </w:t>
      </w:r>
      <w:proofErr w:type="spellStart"/>
      <w:r>
        <w:t>PEAPOs</w:t>
      </w:r>
      <w:proofErr w:type="spellEnd"/>
      <w:r>
        <w:t xml:space="preserve"> no Brasil. Nele foi utilizada a mesma metodologia de um documento anterior que analisou políticas nacionais a favor da agroecologia em oito países da América Latina, por meio da Rede Políticas Públicas e Desenvolvimento Rural na América Latina (Rede PP-AL) (SABOURIN et al., 2017). </w:t>
      </w:r>
    </w:p>
    <w:p w14:paraId="0000001B" w14:textId="77777777" w:rsidR="00286E93" w:rsidRDefault="00000000">
      <w:pPr>
        <w:spacing w:line="360" w:lineRule="auto"/>
        <w:ind w:firstLine="708"/>
        <w:jc w:val="both"/>
      </w:pPr>
      <w:r>
        <w:t>O estudo de 2019, analisou 9 estados brasileiros e o Distrito Federal (DF, MG, RJ, SP, RS, PR, MA, SE, BA e PA), com representações das 5 macrorregiões (Norte, Nordeste, Centro-Oeste, Sul e Sudeste). Da Região Sul, Paraná e Rio Grande do Sul estão presentes. Em complementaridade, no final de 2024, um trabalho analisou, de forma similar, a PEAPO em Santa Catarina. Esses estudos serviram de base para a ideia central desse trabalho, que visa mobilizar mecanismos de análise de políticas públicas, que expliquem a aprovação da PMAPO de Florianópolis ocorrer em 2018, enquanto a PEAPO encontrava-se arquivada. Pensando ainda, a respeito da influência de legislações municipais, em relação às estaduais, pois a PEAPO catarinense foi aprovada em 2021.</w:t>
      </w:r>
    </w:p>
    <w:p w14:paraId="0000001C" w14:textId="77777777" w:rsidR="00286E93" w:rsidRDefault="00286E93">
      <w:pPr>
        <w:spacing w:line="360" w:lineRule="auto"/>
        <w:jc w:val="both"/>
      </w:pPr>
    </w:p>
    <w:p w14:paraId="0000001D" w14:textId="77777777" w:rsidR="00286E93" w:rsidRDefault="00000000">
      <w:pPr>
        <w:spacing w:line="360" w:lineRule="auto"/>
        <w:jc w:val="both"/>
      </w:pPr>
      <w:r>
        <w:t>Metodologia</w:t>
      </w:r>
    </w:p>
    <w:p w14:paraId="0000001E" w14:textId="77777777" w:rsidR="00286E93" w:rsidRDefault="00000000">
      <w:pPr>
        <w:spacing w:line="360" w:lineRule="auto"/>
        <w:ind w:firstLine="708"/>
        <w:jc w:val="both"/>
      </w:pPr>
      <w:r>
        <w:t xml:space="preserve">A análise se dará por três etapas. Inicialmente, uma breve revisão de literatura a respeito da construção da PEAPO de Santa Catarina, identificando os pontos mais relevantes do estudo proposto para entendê-la: </w:t>
      </w:r>
      <w:sdt>
        <w:sdtPr>
          <w:tag w:val="goog_rdk_17"/>
          <w:id w:val="614947282"/>
        </w:sdtPr>
        <w:sdtContent/>
      </w:sdt>
      <w:sdt>
        <w:sdtPr>
          <w:tag w:val="goog_rdk_18"/>
          <w:id w:val="304443198"/>
        </w:sdtPr>
        <w:sdtContent/>
      </w:sdt>
      <w:r>
        <w:t xml:space="preserve">o “pentágono da ação pública” (LASCOUMES; LE GALÈS, 2012, apud SABOURIN et al. 2019; ROSSATO FAGUNDES et al., 2024). </w:t>
      </w:r>
    </w:p>
    <w:p w14:paraId="0000001F" w14:textId="77777777" w:rsidR="00286E93" w:rsidRDefault="00000000">
      <w:pPr>
        <w:spacing w:line="360" w:lineRule="auto"/>
        <w:ind w:firstLine="708"/>
        <w:jc w:val="both"/>
      </w:pPr>
      <w:r>
        <w:t xml:space="preserve">Em segundo lugar, é proposto o método de “análise cognitiva” e a decomposição do referencial de uma política em dois elementos: o referencial global e o referencial setorial (MULLER 2005, apud GRISA 2011), para entender </w:t>
      </w:r>
      <w:r>
        <w:lastRenderedPageBreak/>
        <w:t>a aprovação da PMAPO de Florianópolis anteceder a PEAPO catarinense. A terceira etapa interpreta a importância de um empreendedor de políticas (</w:t>
      </w:r>
      <w:proofErr w:type="spellStart"/>
      <w:r>
        <w:t>policy</w:t>
      </w:r>
      <w:proofErr w:type="spellEnd"/>
      <w:r>
        <w:t xml:space="preserve"> entrepreneur) (KINGDON,1995) para a aprovação da PMAPO.</w:t>
      </w:r>
    </w:p>
    <w:p w14:paraId="00000020" w14:textId="77777777" w:rsidR="00286E93" w:rsidRDefault="00000000">
      <w:pPr>
        <w:spacing w:line="360" w:lineRule="auto"/>
        <w:ind w:firstLine="708"/>
        <w:jc w:val="both"/>
      </w:pPr>
      <w:r>
        <w:t xml:space="preserve">A construção da PEAPO de Santa Catarina se deu em um contexto posterior a algumas Políticas Municipais de Florianópolis. A ordem cronológica apresentaria a Política Nacional de Agroecologia e Produção Orgânica (PNAPO) (Decreto nº 7.794/2012), passando pela PMAPO de Florianópolis (2018) e chegando na PEAPO catarinense (2021). Aqui, a níveis de análise partirá do contexto Nacional, passando pelo Estadual, para desembarcar no Municipal. </w:t>
      </w:r>
    </w:p>
    <w:p w14:paraId="00000021" w14:textId="77777777" w:rsidR="00286E93" w:rsidRDefault="00286E93">
      <w:pPr>
        <w:spacing w:line="360" w:lineRule="auto"/>
        <w:jc w:val="both"/>
      </w:pPr>
    </w:p>
    <w:p w14:paraId="00000022" w14:textId="77777777" w:rsidR="00286E93" w:rsidRDefault="00000000">
      <w:pPr>
        <w:spacing w:line="360" w:lineRule="auto"/>
        <w:jc w:val="both"/>
      </w:pPr>
      <w:r>
        <w:t>Caracterização do estado de Santa Catarina</w:t>
      </w:r>
    </w:p>
    <w:p w14:paraId="00000023" w14:textId="77777777" w:rsidR="00286E93" w:rsidRDefault="00000000">
      <w:pPr>
        <w:spacing w:line="360" w:lineRule="auto"/>
        <w:ind w:firstLine="708"/>
        <w:jc w:val="both"/>
      </w:pPr>
      <w:r>
        <w:t>De acordo com o do Censo Agropecuário, Santa Catarina contava, em 2006, com 193.668 estabelecimentos agrícolas, passando a 183.066 no de 2017</w:t>
      </w:r>
      <w:r>
        <w:rPr>
          <w:vertAlign w:val="superscript"/>
        </w:rPr>
        <w:footnoteReference w:id="3"/>
      </w:r>
      <w:r>
        <w:t>. Santa Catarina conta com 2.920 agricultores dedicados à produção orgânica. Em 11 anos o uso de agrotóxicos no estado aumentou 4,1%, enquanto, no Brasil, foi de 20,4% (</w:t>
      </w:r>
      <w:r>
        <w:rPr>
          <w:color w:val="000000"/>
        </w:rPr>
        <w:t>SANTA CATARINA, 2018)</w:t>
      </w:r>
      <w:r>
        <w:t xml:space="preserve">. Tais números levam em consideração entrevistas de 129.362 produtores rurais catarinenses de 1º de outubro de 2016 a 30 de setembro de 2017 (SANTA CATARINA, 2018). </w:t>
      </w:r>
    </w:p>
    <w:p w14:paraId="00000024" w14:textId="77777777" w:rsidR="00286E93" w:rsidRDefault="00000000">
      <w:pPr>
        <w:spacing w:line="360" w:lineRule="auto"/>
        <w:ind w:firstLine="708"/>
        <w:jc w:val="both"/>
      </w:pPr>
      <w:r>
        <w:t>Dos espaços por onde permeia a discussão agrícola, é possível citar a Companhia Integrada de Desenvolvimento Agrícola de Santa Catarina (</w:t>
      </w:r>
      <w:proofErr w:type="spellStart"/>
      <w:r>
        <w:t>Cidasc</w:t>
      </w:r>
      <w:proofErr w:type="spellEnd"/>
      <w:r>
        <w:t>); a Empresa de Pesquisa Agropecuária e Extensão Rural de Santa Catarina (Epagri); as Centrais de Abastecimento do Estado de Santa Catarina (Ceasa/SC) e Federação das Cooperativas Agropecuárias de Santa Catarina (</w:t>
      </w:r>
      <w:proofErr w:type="spellStart"/>
      <w:r>
        <w:t>Fecoagro</w:t>
      </w:r>
      <w:proofErr w:type="spellEnd"/>
      <w:r>
        <w:t xml:space="preserve">/SC). A discussão agroecológica, está presente no Centro de Estudos e Promoção da Agricultura de Grupo (CEPAGRO); na Rede </w:t>
      </w:r>
      <w:proofErr w:type="spellStart"/>
      <w:r>
        <w:t>Ecovida</w:t>
      </w:r>
      <w:proofErr w:type="spellEnd"/>
      <w:r>
        <w:t xml:space="preserve"> de agroecologia, na </w:t>
      </w:r>
      <w:r>
        <w:lastRenderedPageBreak/>
        <w:t>Associação dos Agricultores Ecologistas de Santa Rosa de Lima (</w:t>
      </w:r>
      <w:proofErr w:type="spellStart"/>
      <w:r>
        <w:t>Agreco</w:t>
      </w:r>
      <w:proofErr w:type="spellEnd"/>
      <w:r>
        <w:t xml:space="preserve">) e na Rede de Agroecologia do Território Serra Catarinense. </w:t>
      </w:r>
    </w:p>
    <w:p w14:paraId="00000025" w14:textId="77777777" w:rsidR="00286E93" w:rsidRDefault="00000000">
      <w:pPr>
        <w:spacing w:line="360" w:lineRule="auto"/>
        <w:jc w:val="both"/>
      </w:pPr>
      <w:r>
        <w:t xml:space="preserve">Histórico da PEAPO de Santa Catarina </w:t>
      </w:r>
    </w:p>
    <w:p w14:paraId="00000026" w14:textId="77777777" w:rsidR="00286E93" w:rsidRDefault="00000000">
      <w:pPr>
        <w:spacing w:line="360" w:lineRule="auto"/>
        <w:ind w:firstLine="708"/>
        <w:jc w:val="both"/>
      </w:pPr>
      <w:r>
        <w:t xml:space="preserve">A legislação da agroecologia no Brasil, iniciou em 2012 com a Política Nacional de Agroecologia e Produção Orgânica (PNAPO) e o Plano Nacional de Agroecologia e Produção Orgânica (PLANAPO) de 2013. No entanto, não havia definição, por meio do PLANAPO, de como o governo federal articularia a implementação com os estados, não sendo de natural desdobramento a elaboração de </w:t>
      </w:r>
      <w:proofErr w:type="spellStart"/>
      <w:r>
        <w:t>PEAPOs</w:t>
      </w:r>
      <w:proofErr w:type="spellEnd"/>
      <w:r>
        <w:t xml:space="preserve"> a partir da legislação nacional (</w:t>
      </w:r>
      <w:r>
        <w:rPr>
          <w:color w:val="000000"/>
        </w:rPr>
        <w:t>SCHMITT e BARBOSA,</w:t>
      </w:r>
      <w:r>
        <w:t xml:space="preserve"> 2019, p.78). São diversos os estudos relacionados aos motivos e empasses do governo federal em contribuir para o desdobramento da PNAPO a níveis estaduais, mas a mobilização social para a criação da PNAPO, foi de grande contribuição para as </w:t>
      </w:r>
      <w:proofErr w:type="spellStart"/>
      <w:r>
        <w:t>PEAPOs</w:t>
      </w:r>
      <w:proofErr w:type="spellEnd"/>
      <w:r>
        <w:t xml:space="preserve"> (</w:t>
      </w:r>
      <w:r>
        <w:rPr>
          <w:color w:val="000000"/>
        </w:rPr>
        <w:t>SCHMITT e BARBOSA,</w:t>
      </w:r>
      <w:r>
        <w:t xml:space="preserve"> 2019, p.78). </w:t>
      </w:r>
    </w:p>
    <w:p w14:paraId="00000027" w14:textId="77777777" w:rsidR="00286E93" w:rsidRDefault="00000000">
      <w:pPr>
        <w:spacing w:line="360" w:lineRule="auto"/>
        <w:ind w:firstLine="708"/>
        <w:jc w:val="both"/>
      </w:pPr>
      <w:sdt>
        <w:sdtPr>
          <w:tag w:val="goog_rdk_19"/>
          <w:id w:val="1010563473"/>
        </w:sdtPr>
        <w:sdtContent/>
      </w:sdt>
      <w:r>
        <w:t xml:space="preserve">A análise da construção da PEAPO catarinense, partiu do estudo da metodologia adotada por </w:t>
      </w:r>
      <w:proofErr w:type="spellStart"/>
      <w:r>
        <w:t>Sabourin</w:t>
      </w:r>
      <w:proofErr w:type="spellEnd"/>
      <w:r>
        <w:t xml:space="preserve"> et al. (2019) e Rossato Fagundes et al. (2024). Verifica-se, das definições de políticas: “uma série de ações ou inações que autoridades públicas escolhem adotar para regular ou responder a um problema ou um conjunto de problemas interligados”, para Leslie </w:t>
      </w:r>
      <w:proofErr w:type="spellStart"/>
      <w:r>
        <w:t>Pal</w:t>
      </w:r>
      <w:proofErr w:type="spellEnd"/>
      <w:r>
        <w:t xml:space="preserve"> (1992 apud SABOURIN et al. 2019); “o que os governos fazem e porque o fazem” Simeon (1976 apud SABOURIN et al. 2019) e o que os governos “escolhem não fazer” </w:t>
      </w:r>
      <w:proofErr w:type="spellStart"/>
      <w:r>
        <w:t>Dye</w:t>
      </w:r>
      <w:proofErr w:type="spellEnd"/>
      <w:r>
        <w:t xml:space="preserve"> (1984 apud SABOURIN et al. 2019). Em conformidade a isso, o estudo da lei estadual parte do referencial conceitual e metodológico da sociologia da ação pública. Segundo </w:t>
      </w:r>
      <w:proofErr w:type="spellStart"/>
      <w:r>
        <w:t>Lagroye</w:t>
      </w:r>
      <w:proofErr w:type="spellEnd"/>
      <w:r>
        <w:t xml:space="preserve"> et al. (2002 apud SABOURIN et al. 2019) a ação pública é definida como “conjunto de efeitos, não necessariamente previsíveis e coerentes, resultantes de interações entre instituições interdependentes, os agentes dessas instituições e uma quantidade de atores sociais interessados pelas decisões políticas”. </w:t>
      </w:r>
    </w:p>
    <w:p w14:paraId="00000028" w14:textId="77777777" w:rsidR="00286E93" w:rsidRDefault="00000000">
      <w:pPr>
        <w:spacing w:line="360" w:lineRule="auto"/>
        <w:ind w:firstLine="708"/>
        <w:jc w:val="both"/>
      </w:pPr>
      <w:r>
        <w:lastRenderedPageBreak/>
        <w:t>Em compreensão ao motivo e forma que a ação pública foi construída, e seus efeitos, estuda-se a adaptação do quadro de análise “pentágono da ação pública” para o estado (LASCOUMES; LE GALÈS, 2012ª, apud SABOURIN et al. 2019; ROSSATO FAGUNDES et al., 2024), que conta com cinco variáveis: atores, instituições, ideias, processos e resultados. Esses elementos são: atores individuais ou coletivos: dotados de recursos, certa autonomia, estratégias, capazes de fazer escolhas, mais ou menos guiados por interesses materiais e/ou simbólicos; representações: quadros cognitivos e normativos que dão sentido, condicionam e refletem às ações; instituições: normas, regras, rotinas, procedimentos que governam interações; processos: as formas de interação e sua recomposição no tempo; e resultados: (outputs) são as consequências, os efeitos da ação pública (LASCOUMES; LE GALES, 2012, p. 45-46, apud SABOURIN et al. 2019; ROSSATO FAGUNDES et al., 2024).</w:t>
      </w:r>
    </w:p>
    <w:p w14:paraId="00000029" w14:textId="77777777" w:rsidR="00286E93" w:rsidRDefault="00000000">
      <w:pPr>
        <w:spacing w:line="360" w:lineRule="auto"/>
        <w:ind w:firstLine="708"/>
        <w:jc w:val="both"/>
      </w:pPr>
      <w:r>
        <w:t xml:space="preserve">De acordo com Rossato Fagundes, Ferraz Cario e Silva Leite (2024) elencou-se alguns atores que atuaram na construção do PEAPO catarinense. Entre organizações da sociedade civil aparecem </w:t>
      </w:r>
      <w:proofErr w:type="spellStart"/>
      <w:r>
        <w:t>ONG’s</w:t>
      </w:r>
      <w:proofErr w:type="spellEnd"/>
      <w:r>
        <w:t xml:space="preserve"> e associações de produtores orgânicos e agroecológicos; Redes Agroecológicas (Rede </w:t>
      </w:r>
      <w:proofErr w:type="spellStart"/>
      <w:r>
        <w:t>Ecovida</w:t>
      </w:r>
      <w:proofErr w:type="spellEnd"/>
      <w:r>
        <w:t>); Movimentos sociais e sindicatos (FETRAF, FETAESC, FAESC) e Atores privados (produtores orgânicos e agroecológicos). Como Organizações Governamentais: a nível federal o MAPA, a EMBRABA, a UFSC, a UFFS, entre outros; a nível estadual algumas Secretarias do Estado (SAR, SAF, SED, SDS, EPAGRI, CIDASE, UDESE). No internível: deputados, frentes parlamentares, fóruns e comissões.</w:t>
      </w:r>
    </w:p>
    <w:p w14:paraId="0000002A" w14:textId="77777777" w:rsidR="00286E93" w:rsidRDefault="00000000">
      <w:pPr>
        <w:spacing w:line="360" w:lineRule="auto"/>
        <w:ind w:firstLine="708"/>
        <w:jc w:val="both"/>
      </w:pPr>
      <w:r>
        <w:t xml:space="preserve">A PEAPO catarinense contou com dificuldades de aprovação, sendo o seu primeiro projeto de lei proposto em 2017 (ROSSATO FAGUNDES et al., 2024). O documento foi encaminhado para a Assembleia Legislativa de Santa Catarina (ALESC), onde, após a manifestação de diversas Secretarias e órgãos estaduais, apontando inconstitucionalidades, foi rejeitado e arquivado no início de 2019 (ROSSATO FAGUNDES et al., 2024). A </w:t>
      </w:r>
      <w:sdt>
        <w:sdtPr>
          <w:tag w:val="goog_rdk_20"/>
          <w:id w:val="650797781"/>
        </w:sdtPr>
        <w:sdtContent/>
      </w:sdt>
      <w:sdt>
        <w:sdtPr>
          <w:tag w:val="goog_rdk_21"/>
          <w:id w:val="-274800007"/>
        </w:sdtPr>
        <w:sdtContent/>
      </w:sdt>
      <w:r>
        <w:t xml:space="preserve">sua aprovação, em 2021, ilustra um </w:t>
      </w:r>
      <w:r>
        <w:lastRenderedPageBreak/>
        <w:t xml:space="preserve">cenário apresentado por </w:t>
      </w:r>
      <w:proofErr w:type="spellStart"/>
      <w:r>
        <w:t>Guéneau</w:t>
      </w:r>
      <w:proofErr w:type="spellEnd"/>
      <w:r>
        <w:t xml:space="preserve"> et al. (2019 apud ROSSATO FAGUNDES et al., 2024) no país, as tensões e coalizões entre grupos favoráveis a uma produção sustentável de alimentos, em oposição à um grupo que defende o modelo hegemônico de produção. Ainda, essa aprovação se inseriu em uma janela de oportunidades, pois no momento em que políticas voltadas à restrição ao uso de agrotóxicos não avançavam no estado, ações de incentivo à produção sustentável de alimentos passaram a ser vistas com simpatia por atores políticos e pela sociedade.</w:t>
      </w:r>
    </w:p>
    <w:p w14:paraId="0000002B" w14:textId="77777777" w:rsidR="00286E93" w:rsidRDefault="00286E93">
      <w:pPr>
        <w:spacing w:line="360" w:lineRule="auto"/>
        <w:ind w:firstLine="708"/>
        <w:jc w:val="both"/>
      </w:pPr>
    </w:p>
    <w:p w14:paraId="0000002C" w14:textId="77777777" w:rsidR="00286E93" w:rsidRDefault="00000000">
      <w:pPr>
        <w:spacing w:line="360" w:lineRule="auto"/>
        <w:jc w:val="both"/>
      </w:pPr>
      <w:r>
        <w:t>Histórico e análise da aprovação da PMAPO em Florianópolis</w:t>
      </w:r>
    </w:p>
    <w:p w14:paraId="0000002D" w14:textId="77777777" w:rsidR="00286E93" w:rsidRDefault="00000000">
      <w:pPr>
        <w:spacing w:line="360" w:lineRule="auto"/>
        <w:ind w:firstLine="708"/>
        <w:jc w:val="both"/>
      </w:pPr>
      <w:r>
        <w:t>A partir das informações dos empasses pelos quais a implementação da PEAPO catarinense passou, por meio da análise documental, a inovação desse texto se encontra na reflexão a respeito da implementação da Política Municipal de Agroecologia e Produção Orgânica em Florianópolis (PMAPO).</w:t>
      </w:r>
    </w:p>
    <w:p w14:paraId="0000002E" w14:textId="77777777" w:rsidR="00286E93" w:rsidRDefault="00000000">
      <w:pPr>
        <w:spacing w:line="360" w:lineRule="auto"/>
        <w:ind w:firstLine="708"/>
        <w:jc w:val="both"/>
      </w:pPr>
      <w:r>
        <w:t xml:space="preserve">Para refletir sobre essa construção adotou-se a ideia da abordagem </w:t>
      </w:r>
      <w:sdt>
        <w:sdtPr>
          <w:tag w:val="goog_rdk_22"/>
          <w:id w:val="-419181000"/>
        </w:sdtPr>
        <w:sdtContent/>
      </w:sdt>
      <w:sdt>
        <w:sdtPr>
          <w:tag w:val="goog_rdk_23"/>
          <w:id w:val="-1669403275"/>
        </w:sdtPr>
        <w:sdtContent/>
      </w:sdt>
      <w:r>
        <w:t xml:space="preserve">cognitiva de Muller onde é possível decompor o referencial de uma política em dois elementos: o referencial global e o referencial setorial </w:t>
      </w:r>
      <w:sdt>
        <w:sdtPr>
          <w:tag w:val="goog_rdk_24"/>
          <w:id w:val="1091352157"/>
        </w:sdtPr>
        <w:sdtContent/>
      </w:sdt>
      <w:sdt>
        <w:sdtPr>
          <w:tag w:val="goog_rdk_25"/>
          <w:id w:val="2040461081"/>
        </w:sdtPr>
        <w:sdtContent/>
      </w:sdt>
      <w:r>
        <w:t>(Muller 2005, apud GRISA 2011). Dessa maneira, coloca-se aqui o referencial global como a realidade que vigorava no estado de Santa Catarina, havendo uma maioria contra a PEAPO. Como referencial setorial, reflete-se colocar o município de Florianópolis onde alguns grupos se mostravam a favor e com normas e valores específicos, lutando pela implementação de uma PMAPO na capital do estado.</w:t>
      </w:r>
    </w:p>
    <w:p w14:paraId="0000002F" w14:textId="77777777" w:rsidR="00286E93" w:rsidRDefault="00000000">
      <w:pPr>
        <w:spacing w:line="360" w:lineRule="auto"/>
        <w:ind w:firstLine="708"/>
        <w:jc w:val="both"/>
      </w:pPr>
      <w:r>
        <w:t>O</w:t>
      </w:r>
      <w:sdt>
        <w:sdtPr>
          <w:tag w:val="goog_rdk_26"/>
          <w:id w:val="-1446999665"/>
        </w:sdtPr>
        <w:sdtContent/>
      </w:sdt>
      <w:sdt>
        <w:sdtPr>
          <w:tag w:val="goog_rdk_27"/>
          <w:id w:val="-1969429586"/>
        </w:sdtPr>
        <w:sdtContent/>
      </w:sdt>
      <w:r>
        <w:t xml:space="preserve"> referencial setorial estava favorável à criação de uma PMAPO em Florianópolis em 2018, apesar de componentes do referencial global, o estado, terem arquivado a PEAPO de Santa Catarina em 2017. Como coloca Ferreira (2019) a criação da Rede Semear em 2015 e a eleição do Marquito em 2016, como Vereador em Florianópolis, intensificaram a discussão na capital. </w:t>
      </w:r>
    </w:p>
    <w:p w14:paraId="00000030" w14:textId="77777777" w:rsidR="00286E93" w:rsidRDefault="00000000">
      <w:pPr>
        <w:spacing w:line="360" w:lineRule="auto"/>
        <w:ind w:firstLine="708"/>
        <w:jc w:val="both"/>
      </w:pPr>
      <w:r>
        <w:lastRenderedPageBreak/>
        <w:t xml:space="preserve">Em 2017, o então Vereador concretizou um movimento com entidades, ONGs e cidadãos, para criar o texto da PMAPO de Florianópolis, o projeto de lei foi protocolado em 14 de março de 2017 na Câmara de Vereadores de Florianópolis (FERREIRA, 2019). Essas movimentações estavam ligadas à reivindicação da ocupação democrática de espaços da cidade, com agricultura urbana de base agroecológica (FERREIRA, 2019). Ferreira (2019) mostra que são diversos os exemplos de hortas urbanas na capital catarinense em 2019, a Horta: do </w:t>
      </w:r>
      <w:proofErr w:type="spellStart"/>
      <w:r>
        <w:t>Pacuca</w:t>
      </w:r>
      <w:proofErr w:type="spellEnd"/>
      <w:r>
        <w:t>, da Associação dos Moradores do Jardim das Castanheiras (AMOJAC), da Luz, Quintal Comunitário do Córrego, das Garças, da Fazenda, Alecrim, da Avenida Beira-Mar de São José, do Jardim Botânico; além de outras presentes em centros de saúde e escolas municipais.</w:t>
      </w:r>
    </w:p>
    <w:p w14:paraId="00000031" w14:textId="77777777" w:rsidR="00286E93" w:rsidRDefault="00000000">
      <w:pPr>
        <w:spacing w:line="360" w:lineRule="auto"/>
        <w:ind w:firstLine="708"/>
        <w:jc w:val="both"/>
      </w:pPr>
      <w:r>
        <w:t>Analisando reivindicações de grupos como a Rede Semear e agricultores urbanos para implementar uma política que regulamente a agricultura urbana, verificou-se que essa demanda urbana, gerou um benefício também para o rural, em nível municipal e estadual, por construir uma discussão em torno da agroecologia. Ideias do referencial setorial do município, puderam construir bases para a aprovação da PEAPO tempo depois, mesmo contra o referencial global de estado. Na sequência, em confluência com a PMAPO, a discussão da agricultura sustentável de base agroecológica, no município continua se fortalecendo o que se visualiza com a aprovação da Lei nº10.501, de 8 de abril de 2019, que dispõe sobre a obrigatoriedade da reciclagem de resíduos sólidos urbanos no município; da Lei nº10.628, de 8 de outubro de 2019, que institui e define Florianópolis como zona livre de agrotóxicos; e da aprovação da Emenda Aditiva ao anexo do Projeto de Lei nº17.794/2019, que incluiu a agricultura urbana na Lei Orçamentária do município (FERREIRA, 2019).</w:t>
      </w:r>
    </w:p>
    <w:p w14:paraId="2517EE3C" w14:textId="77777777" w:rsidR="00534BFC" w:rsidRDefault="00534BFC">
      <w:pPr>
        <w:spacing w:line="360" w:lineRule="auto"/>
        <w:ind w:firstLine="708"/>
        <w:jc w:val="both"/>
      </w:pPr>
    </w:p>
    <w:p w14:paraId="6E3E7712" w14:textId="77777777" w:rsidR="00534BFC" w:rsidRDefault="00000000">
      <w:pPr>
        <w:spacing w:line="360" w:lineRule="auto"/>
        <w:jc w:val="both"/>
      </w:pPr>
      <w:r>
        <w:t>Empreendedor da PMAPO</w:t>
      </w:r>
    </w:p>
    <w:p w14:paraId="00000033" w14:textId="6D6AD995" w:rsidR="00286E93" w:rsidRDefault="00000000" w:rsidP="00534BFC">
      <w:pPr>
        <w:spacing w:line="360" w:lineRule="auto"/>
        <w:ind w:firstLine="708"/>
        <w:jc w:val="both"/>
      </w:pPr>
      <w:r>
        <w:lastRenderedPageBreak/>
        <w:t>Além do referencial setorial do município de Florianópolis compor um quadro inovador, para uma discussão mais ampla e amparar a aprovação da PEAPO no referencial global, embasa-se o contexto também na ideia do empreendedor de políticas (</w:t>
      </w:r>
      <w:proofErr w:type="spellStart"/>
      <w:r>
        <w:t>policy</w:t>
      </w:r>
      <w:proofErr w:type="spellEnd"/>
      <w:r>
        <w:t xml:space="preserve"> entrepreneur). Um importante estudioso do conceito é John </w:t>
      </w:r>
      <w:proofErr w:type="spellStart"/>
      <w:r>
        <w:t>Kingdon</w:t>
      </w:r>
      <w:proofErr w:type="spellEnd"/>
      <w:r>
        <w:t xml:space="preserve">, no livro “Agendas, </w:t>
      </w:r>
      <w:proofErr w:type="spellStart"/>
      <w:r>
        <w:t>alternatives</w:t>
      </w:r>
      <w:proofErr w:type="spellEnd"/>
      <w:r>
        <w:t xml:space="preserve"> </w:t>
      </w:r>
      <w:proofErr w:type="spellStart"/>
      <w:r>
        <w:t>and</w:t>
      </w:r>
      <w:proofErr w:type="spellEnd"/>
      <w:r>
        <w:t xml:space="preserve"> </w:t>
      </w:r>
      <w:proofErr w:type="spellStart"/>
      <w:r>
        <w:t>public</w:t>
      </w:r>
      <w:proofErr w:type="spellEnd"/>
      <w:r>
        <w:t xml:space="preserve"> policies” (1995 apud </w:t>
      </w:r>
      <w:r>
        <w:rPr>
          <w:color w:val="000000"/>
        </w:rPr>
        <w:t>Lima &amp; Medeiros, 2012</w:t>
      </w:r>
      <w:r>
        <w:t>). Segundo o autor, empreendedores de política são “advogados dispostos a investir seus recursos – tempo, energia, reputação e dinheiro - na esperança de obter futuros benefícios</w:t>
      </w:r>
      <w:r w:rsidRPr="00534BFC">
        <w:t>” (K</w:t>
      </w:r>
      <w:r>
        <w:t xml:space="preserve">INGDON 1995, apud </w:t>
      </w:r>
      <w:r>
        <w:rPr>
          <w:color w:val="000000"/>
        </w:rPr>
        <w:t>LIMA &amp; MEDEIROS, 2012</w:t>
      </w:r>
      <w:r>
        <w:t>). Podem ser motivados por: preocupação direta com problemas, busca por benefícios próprios, reconhecimento pelas suas realizações, promoção de seus valores e mero prazer da participação (KINGDON, 1995). São encontrados em diversos locais: sendo políticos eleitos, funcionários públicos, lobistas, acadêmicos ou jornalistas (KINGDON, 1995).</w:t>
      </w:r>
    </w:p>
    <w:p w14:paraId="00000034" w14:textId="77777777" w:rsidR="00286E93" w:rsidRDefault="00000000">
      <w:pPr>
        <w:spacing w:line="360" w:lineRule="auto"/>
        <w:ind w:firstLine="708"/>
        <w:jc w:val="both"/>
      </w:pPr>
      <w:r>
        <w:t>O então Vereador, e atual Deputado Estadual, Marquito, ao propor o “Mandato Agroecológico”, desde 2016 e protocolar leis na pauta da agroecologia em Florianópolis, é, sem dúvida, um empreendedor de política na área. Em entrevista para o Núcleo de Pesquisa de Nutrição em Produção de Refeições (NUPPRE) do Departamento de Nutrição, do Centro de Ciências da Saúde da Universidade Federal de Santa Catarina (UFSC), em abril de 2017, fala sobre a elaboração e implementação da PMAPO. “Essa política precisa discutir o direito à cidade, o uso da terra, a função social da propriedade, discutir qual é a cidade que queremos, [...] o plano diretor, a especulação imobiliária, formas organizativas de produzir alimentos” (ABREU, 2017).</w:t>
      </w:r>
    </w:p>
    <w:p w14:paraId="00000035" w14:textId="77777777" w:rsidR="00286E93" w:rsidRDefault="00000000">
      <w:pPr>
        <w:spacing w:line="360" w:lineRule="auto"/>
        <w:ind w:firstLine="708"/>
        <w:jc w:val="both"/>
      </w:pPr>
      <w:r>
        <w:t xml:space="preserve">Sua difusão da agroecologia, coloca-o como um empreendedor de política que investiu e continua investindo recursos em prol da pauta. A sua localização se dá como um político eleito, mas também com base acadêmica para defender suas propostas, como agrônomo e mestre em agroecossistemas pela UFSC busca solucionar problemas que vivencia com a comunidade, bem </w:t>
      </w:r>
      <w:r>
        <w:lastRenderedPageBreak/>
        <w:t xml:space="preserve">como promover seus valores e ter o prazer de atuar na causa. Na entrevista, coloca que a construção da lei envolve e beneficia muitos atores: </w:t>
      </w:r>
    </w:p>
    <w:p w14:paraId="00000036" w14:textId="77777777" w:rsidR="00286E93" w:rsidRDefault="00000000">
      <w:pPr>
        <w:spacing w:line="360" w:lineRule="auto"/>
        <w:ind w:left="2268" w:firstLine="708"/>
        <w:jc w:val="both"/>
        <w:rPr>
          <w:sz w:val="20"/>
          <w:szCs w:val="20"/>
        </w:rPr>
      </w:pPr>
      <w:r>
        <w:rPr>
          <w:sz w:val="20"/>
          <w:szCs w:val="20"/>
        </w:rPr>
        <w:t>A PMAPO, que prevê [...]: demarcação de áreas rurais dentro da cidade; criação de feiras orgânicas em mais bairros; regulamentação de terrenos baldios para a produção de alimentos; garantia e ampliação dos 30% de alimentos da merenda escolar municipal vindos de agricultura familiar, como já previsto em lei nacional; entre outras medidas. [...] A gente vê surgindo na cidade um movimento da sociedade organizada em coletivos, em redes, em ONGs, promovendo hortas comunitárias em espaços públicos como escolas, postos de saúde e praças. Precisamos amparar essas atividades. [...] Ter em mente os princípios desse projeto: o primeiro é que não é “o projeto do vereador Marquito”, é o projeto que foi construído no âmbito da sociedade civil, com servidores públicos municipais que vêm trabalhando com diversas secretarias. Segundo que é um projeto intersetorial, nessa visão sistêmica e que abrange várias ações, o que é muito melhor que projetinhos picados. E terceiro é entender bem o projeto para apoiá-lo, seja através de campanha com mais pessoas ou de ligar e mandar e-mail para os vereadores demonstrando conhecimento e apoio. Forçar e reforçar isso com os vereadores e com as secretarias (ABREU, 2017).</w:t>
      </w:r>
    </w:p>
    <w:p w14:paraId="00000037" w14:textId="77777777" w:rsidR="00286E93" w:rsidRDefault="00286E93">
      <w:pPr>
        <w:spacing w:line="360" w:lineRule="auto"/>
        <w:jc w:val="both"/>
      </w:pPr>
    </w:p>
    <w:p w14:paraId="00000038" w14:textId="77777777" w:rsidR="00286E93" w:rsidRDefault="00000000">
      <w:pPr>
        <w:spacing w:line="360" w:lineRule="auto"/>
        <w:jc w:val="both"/>
        <w:rPr>
          <w:b/>
        </w:rPr>
      </w:pPr>
      <w:r>
        <w:rPr>
          <w:b/>
        </w:rPr>
        <w:t>CONSIDERAÇÕES FINAIS (OU CONCLUSÕES)</w:t>
      </w:r>
    </w:p>
    <w:p w14:paraId="00000039" w14:textId="77777777" w:rsidR="00286E93" w:rsidRDefault="00000000">
      <w:pPr>
        <w:spacing w:line="360" w:lineRule="auto"/>
        <w:jc w:val="both"/>
      </w:pPr>
      <w:r>
        <w:tab/>
        <w:t xml:space="preserve">Através da análise da institucionalização legislativa da agroecologia no estado de Santa Catarina, o presente trabalho visou fazer um recorte de compreensão da construção da PEAPO catarinense, de acordo com uma metodologia de revisão bibliográfica, somada à uma observação própria de quais instrumentos de análise de política pública poderia justificar o fato da aprovação da PMAPO de Florianópolis anteceder a PEAPO de Santa Catarina. </w:t>
      </w:r>
    </w:p>
    <w:p w14:paraId="0000003A" w14:textId="77777777" w:rsidR="00286E93" w:rsidRDefault="00000000">
      <w:pPr>
        <w:spacing w:line="360" w:lineRule="auto"/>
        <w:jc w:val="both"/>
      </w:pPr>
      <w:r>
        <w:tab/>
        <w:t xml:space="preserve">A compreensão da antecedência da Política Municipal à Estadual, se deu pelo estudo do referencial global e setorial. Para este caso, considerando o </w:t>
      </w:r>
      <w:r>
        <w:lastRenderedPageBreak/>
        <w:t xml:space="preserve">estado catarinense como nível global e a capital Florianópolis como setorial. Identificou-se que a PMAPO surgiu, principalmente, a partir da mobilização da comunidade da capital, para fortalecer a agricultura urbana. O rural, aqui, não foi o objetivo principal. Ainda, coube a análise da relevância da ação de um empreendedor de políticas, para dar mais voz aos movimentos sociais e organizações que reivindicavam direitos à cidade, uso da terra, criação de feiras orgânicas, dentre outros. O principal representante da pauta é o então Vereador e atual Deputado Estadual, Marquito e seu “Mandato Agroecológico". </w:t>
      </w:r>
    </w:p>
    <w:p w14:paraId="0000003B" w14:textId="77777777" w:rsidR="00286E93" w:rsidRDefault="00000000">
      <w:pPr>
        <w:spacing w:line="360" w:lineRule="auto"/>
        <w:jc w:val="both"/>
      </w:pPr>
      <w:r>
        <w:tab/>
        <w:t xml:space="preserve">Dessa forma cabe a compreensão de que a partir da realidade setorial da agricultura urbana em Florianópolis, foi possível a aprovação da PMAPO, e na sequência outras legislações ligadas ao tema. Vimos que, somente </w:t>
      </w:r>
      <w:sdt>
        <w:sdtPr>
          <w:tag w:val="goog_rdk_28"/>
          <w:id w:val="-580990983"/>
        </w:sdtPr>
        <w:sdtContent/>
      </w:sdt>
      <w:r>
        <w:t xml:space="preserve"> alguns anos depois, a PEAPO foi aprovada e isso parece revelar a importância que a agricultura urbana, neste caso, teve como geradora de mudanças para o rural. Ainda, verifica-se a importância da presença de um empreendedor, ou representante forte da causa para que uma política seja implementada, mesmo quando o cenário é desfavorável para essa ocorrência, como era o caso do referencial global do estado, em relação ao setorial da capital. </w:t>
      </w:r>
    </w:p>
    <w:p w14:paraId="0000003C" w14:textId="77777777" w:rsidR="00286E93" w:rsidRDefault="00286E93"/>
    <w:p w14:paraId="0000003D" w14:textId="77777777" w:rsidR="00286E93" w:rsidRDefault="00000000">
      <w:pPr>
        <w:spacing w:line="360" w:lineRule="auto"/>
        <w:ind w:hanging="2"/>
        <w:jc w:val="both"/>
        <w:rPr>
          <w:b/>
          <w:color w:val="000000"/>
        </w:rPr>
      </w:pPr>
      <w:r>
        <w:rPr>
          <w:b/>
          <w:color w:val="000000"/>
          <w:highlight w:val="white"/>
        </w:rPr>
        <w:t>REFERÊNCIAS</w:t>
      </w:r>
    </w:p>
    <w:p w14:paraId="0000003E" w14:textId="77777777" w:rsidR="00286E93" w:rsidRDefault="00000000">
      <w:pPr>
        <w:spacing w:line="360" w:lineRule="auto"/>
        <w:ind w:hanging="2"/>
        <w:jc w:val="both"/>
        <w:rPr>
          <w:color w:val="000000"/>
        </w:rPr>
      </w:pPr>
      <w:r>
        <w:rPr>
          <w:color w:val="000000"/>
        </w:rPr>
        <w:t>ABREU, Marcos José de (Marquito - Entrevistado). Entrevista sobre o Projeto de Lei da PMAPO. In: NUPPRE/UFSC, 17 abr. 2017. Disponível em: https://nuppre.ufsc.br/2017/04/17/projeto-de-lei-da-politica-municipal-de-agroecologia-e-producao-organica-pmapo/. Acesso em: 27 abr. 2025.</w:t>
      </w:r>
    </w:p>
    <w:p w14:paraId="0000003F" w14:textId="77777777" w:rsidR="00286E93" w:rsidRDefault="00286E93">
      <w:pPr>
        <w:spacing w:line="360" w:lineRule="auto"/>
        <w:ind w:hanging="2"/>
        <w:jc w:val="both"/>
      </w:pPr>
    </w:p>
    <w:p w14:paraId="00000040" w14:textId="77777777" w:rsidR="00286E93" w:rsidRDefault="00000000">
      <w:pPr>
        <w:spacing w:line="360" w:lineRule="auto"/>
        <w:ind w:hanging="2"/>
        <w:jc w:val="both"/>
        <w:rPr>
          <w:color w:val="000000"/>
        </w:rPr>
      </w:pPr>
      <w:r>
        <w:rPr>
          <w:color w:val="000000"/>
        </w:rPr>
        <w:t>FERREIRA, G. C. (2019). Pelo direito à cidade: Políticas públicas e hortas urbanas em Florianópolis. HISTÓRIA UNICAP, 6(12), 259–273. https://doi.org/10.25247/hu.2019.v6n12.p259-273</w:t>
      </w:r>
    </w:p>
    <w:p w14:paraId="00000041" w14:textId="77777777" w:rsidR="00286E93" w:rsidRDefault="00286E93">
      <w:pPr>
        <w:spacing w:line="360" w:lineRule="auto"/>
        <w:ind w:left="-2"/>
        <w:jc w:val="both"/>
      </w:pPr>
    </w:p>
    <w:p w14:paraId="00000042" w14:textId="77777777" w:rsidR="00286E93" w:rsidRDefault="00000000">
      <w:pPr>
        <w:spacing w:line="360" w:lineRule="auto"/>
        <w:ind w:left="-2"/>
        <w:jc w:val="both"/>
        <w:rPr>
          <w:color w:val="000000"/>
        </w:rPr>
      </w:pPr>
      <w:r>
        <w:rPr>
          <w:color w:val="000000"/>
        </w:rPr>
        <w:lastRenderedPageBreak/>
        <w:t xml:space="preserve">FLORIANÓPOLIS. Lei nº </w:t>
      </w:r>
      <w:r>
        <w:t xml:space="preserve">10.392 de 06 de junho de 2018. Dispõe sobre a Política Municipal de Agroecologia e Produção Orgânica de Florianópolis (PMAPO). </w:t>
      </w:r>
    </w:p>
    <w:p w14:paraId="00000043" w14:textId="77777777" w:rsidR="00286E93" w:rsidRDefault="00286E93">
      <w:pPr>
        <w:spacing w:line="360" w:lineRule="auto"/>
        <w:ind w:left="-2"/>
        <w:jc w:val="both"/>
      </w:pPr>
    </w:p>
    <w:p w14:paraId="00000044" w14:textId="77777777" w:rsidR="00286E93" w:rsidRDefault="00000000">
      <w:pPr>
        <w:spacing w:line="360" w:lineRule="auto"/>
        <w:ind w:left="-2"/>
        <w:jc w:val="both"/>
      </w:pPr>
      <w:r>
        <w:rPr>
          <w:color w:val="000000"/>
        </w:rPr>
        <w:t>FLORIANÓPOLIS.</w:t>
      </w:r>
      <w:r>
        <w:t xml:space="preserve"> Lei nº 10.501, de 8 de abril de 2019. Dispõe sobre a obrigatoriedade da reciclagem de resíduos sólidos orgânicos no município de </w:t>
      </w:r>
    </w:p>
    <w:p w14:paraId="00000045" w14:textId="77777777" w:rsidR="00286E93" w:rsidRDefault="00000000">
      <w:pPr>
        <w:spacing w:line="360" w:lineRule="auto"/>
        <w:ind w:hanging="2"/>
        <w:jc w:val="both"/>
        <w:rPr>
          <w:color w:val="000000"/>
        </w:rPr>
      </w:pPr>
      <w:r>
        <w:rPr>
          <w:color w:val="000000"/>
        </w:rPr>
        <w:t xml:space="preserve">FLORIANÓPOLIS. </w:t>
      </w:r>
      <w:r>
        <w:t>L</w:t>
      </w:r>
      <w:r>
        <w:rPr>
          <w:color w:val="000000"/>
        </w:rPr>
        <w:t xml:space="preserve">ei nº 10.628, de 08 de outubro de 2019. Institui e </w:t>
      </w:r>
      <w:r>
        <w:t>define</w:t>
      </w:r>
      <w:r>
        <w:rPr>
          <w:color w:val="000000"/>
        </w:rPr>
        <w:t xml:space="preserve"> como zona livre de agrotóxicos a produção agrícola, pecuária, extrativista e as práticas de manejo dos recursos naturais no município de Florianópolis. </w:t>
      </w:r>
    </w:p>
    <w:p w14:paraId="00000046" w14:textId="77777777" w:rsidR="00286E93" w:rsidRDefault="00286E93">
      <w:pPr>
        <w:spacing w:line="360" w:lineRule="auto"/>
        <w:ind w:hanging="2"/>
        <w:jc w:val="both"/>
      </w:pPr>
    </w:p>
    <w:p w14:paraId="00000047" w14:textId="77777777" w:rsidR="00286E93" w:rsidRDefault="00000000">
      <w:pPr>
        <w:spacing w:line="360" w:lineRule="auto"/>
        <w:ind w:hanging="2"/>
        <w:jc w:val="both"/>
      </w:pPr>
      <w:r>
        <w:rPr>
          <w:color w:val="000000"/>
        </w:rPr>
        <w:t xml:space="preserve">GOVERNO DE SANTA CATARINA. </w:t>
      </w:r>
      <w:r>
        <w:t>Lei nº 18.200 13 de setembro de 2021. Institui a Política Estadual de Agroecologia e Produção Orgânica (PEAPO).</w:t>
      </w:r>
    </w:p>
    <w:p w14:paraId="00000048" w14:textId="77777777" w:rsidR="00286E93" w:rsidRDefault="00286E93">
      <w:pPr>
        <w:spacing w:line="360" w:lineRule="auto"/>
        <w:ind w:hanging="2"/>
        <w:jc w:val="both"/>
      </w:pPr>
    </w:p>
    <w:p w14:paraId="00000049" w14:textId="77777777" w:rsidR="00286E93" w:rsidRDefault="00000000">
      <w:pPr>
        <w:spacing w:line="360" w:lineRule="auto"/>
        <w:ind w:hanging="2"/>
        <w:jc w:val="both"/>
        <w:rPr>
          <w:color w:val="000000"/>
        </w:rPr>
      </w:pPr>
      <w:r>
        <w:rPr>
          <w:color w:val="000000"/>
        </w:rPr>
        <w:t>GRISA, C. As ideias na produção de políticas públicas: contribuições da abordagem cognitiva. In: BONNAL, P.; LEITE, S.P. Análise comparada de políticas agrícolas. Rio de Janeiro: Mauad X, 2011, p. 93-110.</w:t>
      </w:r>
    </w:p>
    <w:p w14:paraId="0000004A" w14:textId="77777777" w:rsidR="00286E93" w:rsidRDefault="00286E93">
      <w:pPr>
        <w:spacing w:line="360" w:lineRule="auto"/>
        <w:ind w:hanging="2"/>
        <w:jc w:val="both"/>
        <w:rPr>
          <w:color w:val="000000"/>
        </w:rPr>
      </w:pPr>
    </w:p>
    <w:p w14:paraId="0000004B" w14:textId="77777777" w:rsidR="00286E93" w:rsidRDefault="00000000">
      <w:pPr>
        <w:spacing w:line="360" w:lineRule="auto"/>
        <w:ind w:hanging="2"/>
        <w:jc w:val="both"/>
        <w:rPr>
          <w:color w:val="000000"/>
        </w:rPr>
      </w:pPr>
      <w:r>
        <w:rPr>
          <w:color w:val="000000"/>
        </w:rPr>
        <w:t xml:space="preserve">GRISA, C.; SABOURIN, </w:t>
      </w:r>
      <w:proofErr w:type="gramStart"/>
      <w:r>
        <w:rPr>
          <w:color w:val="000000"/>
        </w:rPr>
        <w:t>E.(</w:t>
      </w:r>
      <w:proofErr w:type="gramEnd"/>
      <w:r>
        <w:rPr>
          <w:color w:val="000000"/>
        </w:rPr>
        <w:t>Org.); ELOY, L.(Org.); MALUF, R.(Org.).</w:t>
      </w:r>
      <w:r>
        <w:t xml:space="preserve"> </w:t>
      </w:r>
      <w:r>
        <w:rPr>
          <w:color w:val="000000"/>
        </w:rPr>
        <w:t xml:space="preserve">Sistemas alimentares e territórios no Brasil. 1.ed. Porto </w:t>
      </w:r>
      <w:proofErr w:type="spellStart"/>
      <w:r>
        <w:rPr>
          <w:color w:val="000000"/>
        </w:rPr>
        <w:t>Alegre:Editora</w:t>
      </w:r>
      <w:proofErr w:type="spellEnd"/>
      <w:r>
        <w:rPr>
          <w:color w:val="000000"/>
        </w:rPr>
        <w:t xml:space="preserve"> UFRGS,</w:t>
      </w:r>
      <w:proofErr w:type="gramStart"/>
      <w:r>
        <w:rPr>
          <w:color w:val="000000"/>
        </w:rPr>
        <w:t>2022.v.</w:t>
      </w:r>
      <w:proofErr w:type="gramEnd"/>
      <w:r>
        <w:rPr>
          <w:color w:val="000000"/>
        </w:rPr>
        <w:t>1.</w:t>
      </w:r>
    </w:p>
    <w:p w14:paraId="0000004C" w14:textId="77777777" w:rsidR="00286E93" w:rsidRDefault="00286E93">
      <w:pPr>
        <w:spacing w:line="360" w:lineRule="auto"/>
        <w:ind w:hanging="2"/>
        <w:jc w:val="both"/>
        <w:rPr>
          <w:color w:val="000000"/>
        </w:rPr>
      </w:pPr>
    </w:p>
    <w:p w14:paraId="0000004D" w14:textId="77777777" w:rsidR="00286E93" w:rsidRPr="00534BFC" w:rsidRDefault="00000000">
      <w:pPr>
        <w:spacing w:line="360" w:lineRule="auto"/>
        <w:ind w:hanging="2"/>
        <w:jc w:val="both"/>
        <w:rPr>
          <w:color w:val="000000"/>
          <w:lang w:val="fr-FR"/>
        </w:rPr>
      </w:pPr>
      <w:r w:rsidRPr="00534BFC">
        <w:rPr>
          <w:color w:val="000000"/>
          <w:lang w:val="fr-FR"/>
        </w:rPr>
        <w:t xml:space="preserve">KINGDON, John W. </w:t>
      </w:r>
      <w:r w:rsidRPr="00534BFC">
        <w:rPr>
          <w:i/>
          <w:color w:val="000000"/>
          <w:lang w:val="fr-FR"/>
        </w:rPr>
        <w:t>Agendas, alternatives, and public policies</w:t>
      </w:r>
      <w:r w:rsidRPr="00534BFC">
        <w:rPr>
          <w:color w:val="000000"/>
          <w:lang w:val="fr-FR"/>
        </w:rPr>
        <w:t>. 2. ed. Nova York: HarperCollins College Publishers, 1995.</w:t>
      </w:r>
    </w:p>
    <w:p w14:paraId="0000004E" w14:textId="77777777" w:rsidR="00286E93" w:rsidRPr="00534BFC" w:rsidRDefault="00286E93">
      <w:pPr>
        <w:spacing w:line="360" w:lineRule="auto"/>
        <w:ind w:hanging="2"/>
        <w:jc w:val="both"/>
        <w:rPr>
          <w:lang w:val="fr-FR"/>
        </w:rPr>
      </w:pPr>
    </w:p>
    <w:p w14:paraId="0000004F" w14:textId="77777777" w:rsidR="00286E93" w:rsidRDefault="00000000">
      <w:pPr>
        <w:spacing w:line="360" w:lineRule="auto"/>
        <w:ind w:hanging="2"/>
        <w:jc w:val="both"/>
        <w:rPr>
          <w:color w:val="000000"/>
        </w:rPr>
      </w:pPr>
      <w:r>
        <w:rPr>
          <w:color w:val="000000"/>
        </w:rPr>
        <w:t xml:space="preserve">LIMA, M. L. de O. F. de, &amp; MEDEIROS, J. J. (2012). Empreendedores de políticas públicas na implementação de programas governamentais. </w:t>
      </w:r>
      <w:r>
        <w:rPr>
          <w:i/>
          <w:color w:val="000000"/>
        </w:rPr>
        <w:t>Revista de Administração Pública</w:t>
      </w:r>
      <w:r>
        <w:rPr>
          <w:color w:val="000000"/>
        </w:rPr>
        <w:t xml:space="preserve">, </w:t>
      </w:r>
      <w:r>
        <w:rPr>
          <w:i/>
          <w:color w:val="000000"/>
        </w:rPr>
        <w:t>46</w:t>
      </w:r>
      <w:r>
        <w:rPr>
          <w:color w:val="000000"/>
        </w:rPr>
        <w:t xml:space="preserve">(5), 1251–1270. </w:t>
      </w:r>
    </w:p>
    <w:p w14:paraId="00000050" w14:textId="77777777" w:rsidR="00286E93" w:rsidRDefault="00286E93">
      <w:pPr>
        <w:spacing w:line="360" w:lineRule="auto"/>
        <w:ind w:hanging="2"/>
        <w:jc w:val="both"/>
      </w:pPr>
    </w:p>
    <w:p w14:paraId="00000051" w14:textId="77777777" w:rsidR="00286E93" w:rsidRDefault="00000000">
      <w:pPr>
        <w:pBdr>
          <w:top w:val="nil"/>
          <w:left w:val="nil"/>
          <w:bottom w:val="nil"/>
          <w:right w:val="nil"/>
          <w:between w:val="nil"/>
        </w:pBdr>
        <w:spacing w:line="360" w:lineRule="auto"/>
        <w:ind w:hanging="2"/>
        <w:jc w:val="both"/>
      </w:pPr>
      <w:r>
        <w:rPr>
          <w:color w:val="000000"/>
        </w:rPr>
        <w:t xml:space="preserve">MACHADO, L. C. P.; MACHADO FILHO, L. C. P. A dialética da agroecologia. SP: </w:t>
      </w:r>
      <w:r>
        <w:t>Expressão Popular, 2017.</w:t>
      </w:r>
    </w:p>
    <w:p w14:paraId="00000052" w14:textId="77777777" w:rsidR="00286E93" w:rsidRDefault="00286E93">
      <w:pPr>
        <w:pBdr>
          <w:top w:val="nil"/>
          <w:left w:val="nil"/>
          <w:bottom w:val="nil"/>
          <w:right w:val="nil"/>
          <w:between w:val="nil"/>
        </w:pBdr>
        <w:spacing w:line="360" w:lineRule="auto"/>
        <w:ind w:hanging="2"/>
        <w:jc w:val="both"/>
      </w:pPr>
    </w:p>
    <w:p w14:paraId="00000053" w14:textId="77777777" w:rsidR="00286E93" w:rsidRDefault="00000000">
      <w:pPr>
        <w:pBdr>
          <w:top w:val="nil"/>
          <w:left w:val="nil"/>
          <w:bottom w:val="nil"/>
          <w:right w:val="nil"/>
          <w:between w:val="nil"/>
        </w:pBdr>
        <w:spacing w:line="360" w:lineRule="auto"/>
        <w:ind w:hanging="2"/>
        <w:jc w:val="both"/>
        <w:rPr>
          <w:color w:val="000000"/>
        </w:rPr>
      </w:pPr>
      <w:r>
        <w:t>R</w:t>
      </w:r>
      <w:r>
        <w:rPr>
          <w:color w:val="000000"/>
        </w:rPr>
        <w:t xml:space="preserve">OSSATO FAGUNDES, J., ANTÔNIO FERRAZ CÁRIO, S., &amp; DA SILVA LEITE, A. L. (2024). Limites à institucionalização da política orgânica e agroecológica catarinense, Brasil. Mundos </w:t>
      </w:r>
      <w:proofErr w:type="spellStart"/>
      <w:r>
        <w:rPr>
          <w:color w:val="000000"/>
        </w:rPr>
        <w:t>Plurales</w:t>
      </w:r>
      <w:proofErr w:type="spellEnd"/>
      <w:r>
        <w:rPr>
          <w:color w:val="000000"/>
        </w:rPr>
        <w:t xml:space="preserve"> - Revista </w:t>
      </w:r>
      <w:proofErr w:type="spellStart"/>
      <w:r>
        <w:rPr>
          <w:color w:val="000000"/>
        </w:rPr>
        <w:t>Latinoamericana</w:t>
      </w:r>
      <w:proofErr w:type="spellEnd"/>
      <w:r>
        <w:rPr>
          <w:color w:val="000000"/>
        </w:rPr>
        <w:t xml:space="preserve"> de Políticas y </w:t>
      </w:r>
      <w:proofErr w:type="spellStart"/>
      <w:r>
        <w:rPr>
          <w:color w:val="000000"/>
        </w:rPr>
        <w:t>Acción</w:t>
      </w:r>
      <w:proofErr w:type="spellEnd"/>
      <w:r>
        <w:rPr>
          <w:color w:val="000000"/>
        </w:rPr>
        <w:t xml:space="preserve"> Pública, 11(2), 70–93.</w:t>
      </w:r>
    </w:p>
    <w:p w14:paraId="00000054" w14:textId="77777777" w:rsidR="00286E93" w:rsidRDefault="00000000">
      <w:pPr>
        <w:spacing w:line="360" w:lineRule="auto"/>
        <w:ind w:hanging="2"/>
        <w:jc w:val="both"/>
        <w:rPr>
          <w:color w:val="000000"/>
        </w:rPr>
      </w:pPr>
      <w:r>
        <w:rPr>
          <w:color w:val="000000"/>
        </w:rPr>
        <w:t xml:space="preserve">SABOURIN Eric. 2017. Políticas públicas para a agroecologia na América Latina e Caribe. </w:t>
      </w:r>
      <w:proofErr w:type="spellStart"/>
      <w:r>
        <w:rPr>
          <w:color w:val="000000"/>
        </w:rPr>
        <w:t>In:anais</w:t>
      </w:r>
      <w:proofErr w:type="spellEnd"/>
      <w:r>
        <w:rPr>
          <w:color w:val="000000"/>
        </w:rPr>
        <w:t xml:space="preserve"> dos Diálogos entre campos. Janaina Diniz. Planaltina: MADER FUP UnB, 7 p. Seminário Ciclo de debates "Diálogos entre campos", Planaltina, </w:t>
      </w:r>
      <w:proofErr w:type="spellStart"/>
      <w:r>
        <w:rPr>
          <w:color w:val="000000"/>
        </w:rPr>
        <w:t>Brésil</w:t>
      </w:r>
      <w:proofErr w:type="spellEnd"/>
      <w:r>
        <w:rPr>
          <w:color w:val="000000"/>
        </w:rPr>
        <w:t xml:space="preserve">, 29 </w:t>
      </w:r>
      <w:proofErr w:type="spellStart"/>
      <w:r>
        <w:rPr>
          <w:color w:val="000000"/>
        </w:rPr>
        <w:t>Août</w:t>
      </w:r>
      <w:proofErr w:type="spellEnd"/>
      <w:r>
        <w:rPr>
          <w:color w:val="000000"/>
        </w:rPr>
        <w:t xml:space="preserve"> 2017/29 </w:t>
      </w:r>
      <w:proofErr w:type="spellStart"/>
      <w:r>
        <w:rPr>
          <w:color w:val="000000"/>
        </w:rPr>
        <w:t>Août</w:t>
      </w:r>
      <w:proofErr w:type="spellEnd"/>
      <w:r>
        <w:rPr>
          <w:color w:val="000000"/>
        </w:rPr>
        <w:t xml:space="preserve"> 2017. </w:t>
      </w:r>
    </w:p>
    <w:p w14:paraId="00000055" w14:textId="77777777" w:rsidR="00286E93" w:rsidRDefault="00000000">
      <w:pPr>
        <w:spacing w:before="240" w:after="240" w:line="360" w:lineRule="auto"/>
        <w:jc w:val="both"/>
      </w:pPr>
      <w:r>
        <w:t xml:space="preserve">SABOURIN, Eric; GUÉNEAU, Stéphane; COLONNA, </w:t>
      </w:r>
      <w:proofErr w:type="spellStart"/>
      <w:r>
        <w:t>Julianna</w:t>
      </w:r>
      <w:proofErr w:type="spellEnd"/>
      <w:r>
        <w:t>; SILVA, Luiz Raimundo Tadeu da. Construção de Políticas Estaduais de Agroecologia e Produção Orgânica no Brasil: avanços, obstáculos e efeitos das dinâmicas subnacionais. Editora CRV, Curitiba – Brasil, 2019.</w:t>
      </w:r>
    </w:p>
    <w:p w14:paraId="00000056" w14:textId="77777777" w:rsidR="00286E93" w:rsidRDefault="00000000">
      <w:pPr>
        <w:spacing w:line="360" w:lineRule="auto"/>
        <w:ind w:hanging="2"/>
        <w:jc w:val="both"/>
        <w:rPr>
          <w:color w:val="000000"/>
        </w:rPr>
      </w:pPr>
      <w:r>
        <w:rPr>
          <w:color w:val="000000"/>
        </w:rPr>
        <w:t xml:space="preserve">SANTA CATARINA. Agência de Notícias SECOM. Censo Agro: Santa Catarina </w:t>
      </w:r>
      <w:r>
        <w:t>amplia a área</w:t>
      </w:r>
      <w:r>
        <w:rPr>
          <w:color w:val="000000"/>
        </w:rPr>
        <w:t xml:space="preserve"> destinada à produção agropecuária. 2018. Disponível em: https://estado.sc.gov.br/noticias/censo-agro-santa-catarina-amplia-area-destinada-a-producao-agropecuaria/. Acesso em: 26 abr. 2025.</w:t>
      </w:r>
    </w:p>
    <w:p w14:paraId="00000057" w14:textId="77777777" w:rsidR="00286E93" w:rsidRDefault="00000000">
      <w:pPr>
        <w:spacing w:before="240" w:after="240" w:line="360" w:lineRule="auto"/>
        <w:jc w:val="both"/>
      </w:pPr>
      <w:r>
        <w:t xml:space="preserve">SCHMITT, C.J., BARBOSA, Y. R. S., A Construção da Política Estadual de Agroecologia d Produção Orgânica em Minas Gerais: interações Estado-sociedade na institucionalização da agroecologia. In: SABOURIN, Eric; GUÉNEAU, Stéphane; COLONNA, </w:t>
      </w:r>
      <w:proofErr w:type="spellStart"/>
      <w:r>
        <w:t>Julianna</w:t>
      </w:r>
      <w:proofErr w:type="spellEnd"/>
      <w:r>
        <w:t>; SILVA, Luiz Raimundo Tadeu da. Construção de Políticas Estaduais de Agroecologia e Produção Orgânica no Brasil: avanços, obstáculos e efeitos das dinâmicas subnacionais. Editora CRV, Curitiba – Brasil, 2019.</w:t>
      </w:r>
    </w:p>
    <w:p w14:paraId="00000058" w14:textId="77777777" w:rsidR="00286E93" w:rsidRDefault="00286E93">
      <w:pPr>
        <w:spacing w:line="360" w:lineRule="auto"/>
        <w:ind w:hanging="2"/>
        <w:jc w:val="both"/>
      </w:pPr>
    </w:p>
    <w:p w14:paraId="00000059" w14:textId="77777777" w:rsidR="00286E93" w:rsidRDefault="00286E93">
      <w:pPr>
        <w:spacing w:line="360" w:lineRule="auto"/>
        <w:ind w:hanging="2"/>
        <w:rPr>
          <w:color w:val="000000"/>
        </w:rPr>
      </w:pPr>
    </w:p>
    <w:sectPr w:rsidR="00286E93">
      <w:headerReference w:type="default" r:id="rId8"/>
      <w:pgSz w:w="11906" w:h="16838"/>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47997" w14:textId="77777777" w:rsidR="001005B8" w:rsidRDefault="001005B8">
      <w:r>
        <w:separator/>
      </w:r>
    </w:p>
  </w:endnote>
  <w:endnote w:type="continuationSeparator" w:id="0">
    <w:p w14:paraId="72CEABF9" w14:textId="77777777" w:rsidR="001005B8" w:rsidRDefault="00100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embedRegular r:id="rId1" w:fontKey="{1ADB9C58-5A11-42EE-B0F2-02E5210959EF}"/>
    <w:embedBold r:id="rId2" w:fontKey="{69402695-F2C8-4F29-B3D0-B2EA4327DE29}"/>
    <w:embedItalic r:id="rId3" w:fontKey="{4EAA3A64-E495-4D15-BF97-5438BE1417E0}"/>
  </w:font>
  <w:font w:name="Garamond">
    <w:panose1 w:val="02020404030301010803"/>
    <w:charset w:val="00"/>
    <w:family w:val="roman"/>
    <w:pitch w:val="variable"/>
    <w:sig w:usb0="00000287" w:usb1="00000000" w:usb2="00000000" w:usb3="00000000" w:csb0="0000009F" w:csb1="00000000"/>
    <w:embedRegular r:id="rId4" w:fontKey="{EDF6138D-CE5E-4A27-8C1B-87FF00BC5F24}"/>
  </w:font>
  <w:font w:name="Times New Roman">
    <w:panose1 w:val="02020603050405020304"/>
    <w:charset w:val="00"/>
    <w:family w:val="roman"/>
    <w:pitch w:val="variable"/>
    <w:sig w:usb0="E0002EFF" w:usb1="C000785B" w:usb2="00000009" w:usb3="00000000" w:csb0="000001FF" w:csb1="00000000"/>
  </w:font>
  <w:font w:name="Antonio">
    <w:altName w:val="Cambria"/>
    <w:panose1 w:val="00000000000000000000"/>
    <w:charset w:val="00"/>
    <w:family w:val="roman"/>
    <w:notTrueType/>
    <w:pitch w:val="default"/>
  </w:font>
  <w:font w:name="Avenir">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B3527" w14:textId="77777777" w:rsidR="001005B8" w:rsidRDefault="001005B8">
      <w:r>
        <w:separator/>
      </w:r>
    </w:p>
  </w:footnote>
  <w:footnote w:type="continuationSeparator" w:id="0">
    <w:p w14:paraId="1E5CDA7B" w14:textId="77777777" w:rsidR="001005B8" w:rsidRDefault="001005B8">
      <w:r>
        <w:continuationSeparator/>
      </w:r>
    </w:p>
  </w:footnote>
  <w:footnote w:id="1">
    <w:p w14:paraId="0000005A" w14:textId="4A2878BF" w:rsidR="00286E93" w:rsidRDefault="00000000">
      <w:pPr>
        <w:widowControl w:val="0"/>
        <w:pBdr>
          <w:top w:val="nil"/>
          <w:left w:val="nil"/>
          <w:bottom w:val="nil"/>
          <w:right w:val="nil"/>
          <w:between w:val="nil"/>
        </w:pBdr>
        <w:rPr>
          <w:rFonts w:ascii="Avenir" w:eastAsia="Avenir" w:hAnsi="Avenir" w:cs="Avenir"/>
          <w:color w:val="000000"/>
          <w:sz w:val="20"/>
          <w:szCs w:val="20"/>
        </w:rPr>
      </w:pPr>
      <w:r>
        <w:rPr>
          <w:vertAlign w:val="superscript"/>
        </w:rPr>
        <w:footnoteRef/>
      </w:r>
      <w:r>
        <w:rPr>
          <w:rFonts w:ascii="Avenir" w:eastAsia="Avenir" w:hAnsi="Avenir" w:cs="Avenir"/>
          <w:color w:val="000000"/>
          <w:sz w:val="20"/>
          <w:szCs w:val="20"/>
        </w:rPr>
        <w:t xml:space="preserve"> Mestranda no Programa de Pós-Graduação em Desenvolvimento Rural – Universidade Federal do Rio Grande do Sul – PGDR / UFRGS, </w:t>
      </w:r>
      <w:hyperlink r:id="rId1">
        <w:r>
          <w:rPr>
            <w:rFonts w:ascii="Avenir" w:eastAsia="Avenir" w:hAnsi="Avenir" w:cs="Avenir"/>
            <w:color w:val="467886"/>
            <w:sz w:val="20"/>
            <w:szCs w:val="20"/>
            <w:u w:val="single"/>
          </w:rPr>
          <w:t>karentavares.ufrgs@gmail.com</w:t>
        </w:r>
      </w:hyperlink>
      <w:r>
        <w:rPr>
          <w:rFonts w:ascii="Avenir" w:eastAsia="Avenir" w:hAnsi="Avenir" w:cs="Avenir"/>
          <w:color w:val="000000"/>
          <w:sz w:val="20"/>
          <w:szCs w:val="20"/>
        </w:rPr>
        <w:t>.</w:t>
      </w:r>
    </w:p>
  </w:footnote>
  <w:footnote w:id="2">
    <w:p w14:paraId="0000005B" w14:textId="3A6C36C4" w:rsidR="00286E93" w:rsidRDefault="00000000">
      <w:pPr>
        <w:widowControl w:val="0"/>
        <w:pBdr>
          <w:top w:val="nil"/>
          <w:left w:val="nil"/>
          <w:bottom w:val="nil"/>
          <w:right w:val="nil"/>
          <w:between w:val="nil"/>
        </w:pBdr>
        <w:rPr>
          <w:rFonts w:ascii="Avenir" w:eastAsia="Avenir" w:hAnsi="Avenir" w:cs="Avenir"/>
          <w:sz w:val="20"/>
          <w:szCs w:val="20"/>
        </w:rPr>
      </w:pPr>
      <w:r>
        <w:rPr>
          <w:vertAlign w:val="superscript"/>
        </w:rPr>
        <w:footnoteRef/>
      </w:r>
      <w:r w:rsidR="00534BFC">
        <w:rPr>
          <w:rFonts w:ascii="Avenir" w:eastAsia="Avenir" w:hAnsi="Avenir" w:cs="Avenir"/>
          <w:sz w:val="20"/>
          <w:szCs w:val="20"/>
        </w:rPr>
        <w:t xml:space="preserve"> </w:t>
      </w:r>
      <w:r>
        <w:rPr>
          <w:rFonts w:ascii="Avenir" w:eastAsia="Avenir" w:hAnsi="Avenir" w:cs="Avenir"/>
          <w:sz w:val="20"/>
          <w:szCs w:val="20"/>
        </w:rPr>
        <w:t>Profa. D</w:t>
      </w:r>
      <w:proofErr w:type="spellStart"/>
      <w:r>
        <w:rPr>
          <w:rFonts w:ascii="Avenir" w:eastAsia="Avenir" w:hAnsi="Avenir" w:cs="Avenir"/>
          <w:sz w:val="20"/>
          <w:szCs w:val="20"/>
        </w:rPr>
        <w:t>ra</w:t>
      </w:r>
      <w:proofErr w:type="spellEnd"/>
      <w:r>
        <w:rPr>
          <w:rFonts w:ascii="Avenir" w:eastAsia="Avenir" w:hAnsi="Avenir" w:cs="Avenir"/>
          <w:sz w:val="20"/>
          <w:szCs w:val="20"/>
        </w:rPr>
        <w:t xml:space="preserve"> Docente na Universidade Federal do Rio Grande do Sul, </w:t>
      </w:r>
      <w:r w:rsidR="00534BFC">
        <w:rPr>
          <w:rFonts w:ascii="Avenir" w:eastAsia="Avenir" w:hAnsi="Avenir" w:cs="Avenir"/>
          <w:sz w:val="20"/>
          <w:szCs w:val="20"/>
        </w:rPr>
        <w:fldChar w:fldCharType="begin"/>
      </w:r>
      <w:r w:rsidR="00534BFC">
        <w:rPr>
          <w:rFonts w:ascii="Avenir" w:eastAsia="Avenir" w:hAnsi="Avenir" w:cs="Avenir"/>
          <w:sz w:val="20"/>
          <w:szCs w:val="20"/>
        </w:rPr>
        <w:instrText>HYPERLINK "mailto:daniela.oliveira@ufrgs.br"</w:instrText>
      </w:r>
      <w:r w:rsidR="00534BFC">
        <w:rPr>
          <w:rFonts w:ascii="Avenir" w:eastAsia="Avenir" w:hAnsi="Avenir" w:cs="Avenir"/>
          <w:sz w:val="20"/>
          <w:szCs w:val="20"/>
        </w:rPr>
        <w:fldChar w:fldCharType="separate"/>
      </w:r>
      <w:r w:rsidR="00534BFC" w:rsidRPr="009F73AD">
        <w:rPr>
          <w:rStyle w:val="Hyperlink"/>
          <w:rFonts w:ascii="Avenir" w:eastAsia="Avenir" w:hAnsi="Avenir" w:cs="Avenir"/>
          <w:sz w:val="20"/>
          <w:szCs w:val="20"/>
        </w:rPr>
        <w:t>daniela.oliveira@ufrgs.br</w:t>
      </w:r>
      <w:r w:rsidR="00534BFC">
        <w:rPr>
          <w:rFonts w:ascii="Avenir" w:eastAsia="Avenir" w:hAnsi="Avenir" w:cs="Avenir"/>
          <w:sz w:val="20"/>
          <w:szCs w:val="20"/>
        </w:rPr>
        <w:fldChar w:fldCharType="end"/>
      </w:r>
      <w:r w:rsidR="00534BFC">
        <w:rPr>
          <w:rFonts w:ascii="Avenir" w:eastAsia="Avenir" w:hAnsi="Avenir" w:cs="Avenir"/>
          <w:sz w:val="20"/>
          <w:szCs w:val="20"/>
        </w:rPr>
        <w:t xml:space="preserve"> </w:t>
      </w:r>
      <w:r>
        <w:rPr>
          <w:rFonts w:ascii="Avenir" w:eastAsia="Avenir" w:hAnsi="Avenir" w:cs="Avenir"/>
          <w:sz w:val="20"/>
          <w:szCs w:val="20"/>
        </w:rPr>
        <w:t>.</w:t>
      </w:r>
    </w:p>
  </w:footnote>
  <w:footnote w:id="3">
    <w:p w14:paraId="0000005C" w14:textId="77777777" w:rsidR="00286E93"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IBGE.Ver:&lt;https://cidades.ibge.gov.br/brasil/sc/pesquisa/24/76693?ano=2006</w:t>
      </w:r>
      <w:proofErr w:type="gramStart"/>
      <w:r>
        <w:rPr>
          <w:color w:val="000000"/>
          <w:sz w:val="20"/>
          <w:szCs w:val="20"/>
        </w:rPr>
        <w:t>&gt;.&lt;</w:t>
      </w:r>
      <w:proofErr w:type="gramEnd"/>
      <w:r>
        <w:rPr>
          <w:color w:val="000000"/>
          <w:sz w:val="20"/>
          <w:szCs w:val="20"/>
        </w:rPr>
        <w:t xml:space="preserve">https://cidades.ibge.gov.br/brasil/sc/pesquisa/24/76693?ano=2017&gt;.  Acesso em: 24 abril 2025. </w:t>
      </w:r>
    </w:p>
    <w:p w14:paraId="0000005D" w14:textId="77777777" w:rsidR="00286E93" w:rsidRDefault="00000000">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E" w14:textId="77777777" w:rsidR="00286E93"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simplePos x="0" y="0"/>
          <wp:positionH relativeFrom="column">
            <wp:posOffset>-1080134</wp:posOffset>
          </wp:positionH>
          <wp:positionV relativeFrom="paragraph">
            <wp:posOffset>-450214</wp:posOffset>
          </wp:positionV>
          <wp:extent cx="7566660" cy="2136140"/>
          <wp:effectExtent l="0" t="0" r="0" b="0"/>
          <wp:wrapSquare wrapText="bothSides" distT="0" distB="0" distL="114300" distR="114300"/>
          <wp:docPr id="2128089466" name="image1.png" descr="Uma imagem contendo Text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Uma imagem contendo Texto&#10;&#10;O conteúdo gerado por IA pode estar incorreto."/>
                  <pic:cNvPicPr preferRelativeResize="0"/>
                </pic:nvPicPr>
                <pic:blipFill>
                  <a:blip r:embed="rId1"/>
                  <a:srcRect/>
                  <a:stretch>
                    <a:fillRect/>
                  </a:stretch>
                </pic:blipFill>
                <pic:spPr>
                  <a:xfrm>
                    <a:off x="0" y="0"/>
                    <a:ext cx="7566660" cy="21361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E93"/>
    <w:rsid w:val="001005B8"/>
    <w:rsid w:val="00286E93"/>
    <w:rsid w:val="00534BFC"/>
    <w:rsid w:val="006857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4A2CB"/>
  <w15:docId w15:val="{BD0A479B-67D5-4FE5-A822-025A296E2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rebuchet MS"/>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semiHidden/>
    <w:unhideWhenUsed/>
    <w:qFormat/>
    <w:rsid w:val="00D46408"/>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pPr>
      <w:spacing w:after="160"/>
    </w:pPr>
    <w:rPr>
      <w:color w:val="595959"/>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sz w:val="22"/>
      <w:szCs w:val="22"/>
      <w:lang w:val="en-US" w:eastAsia="zh-CN"/>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sz w:val="20"/>
      <w:szCs w:val="20"/>
      <w:lang w:val="pt-PT"/>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943730"/>
    <w:rPr>
      <w:color w:val="467886" w:themeColor="hyperlink"/>
      <w:u w:val="single"/>
    </w:rPr>
  </w:style>
  <w:style w:type="character" w:styleId="MenoPendente">
    <w:name w:val="Unresolved Mention"/>
    <w:basedOn w:val="Fontepargpadro"/>
    <w:uiPriority w:val="99"/>
    <w:semiHidden/>
    <w:unhideWhenUsed/>
    <w:rsid w:val="00943730"/>
    <w:rPr>
      <w:color w:val="605E5C"/>
      <w:shd w:val="clear" w:color="auto" w:fill="E1DFDD"/>
    </w:rPr>
  </w:style>
  <w:style w:type="character" w:styleId="Refdecomentrio">
    <w:name w:val="annotation reference"/>
    <w:basedOn w:val="Fontepargpadro"/>
    <w:uiPriority w:val="99"/>
    <w:semiHidden/>
    <w:unhideWhenUsed/>
    <w:rsid w:val="00430A2E"/>
    <w:rPr>
      <w:sz w:val="16"/>
      <w:szCs w:val="16"/>
    </w:rPr>
  </w:style>
  <w:style w:type="paragraph" w:styleId="Textodecomentrio">
    <w:name w:val="annotation text"/>
    <w:basedOn w:val="Normal"/>
    <w:link w:val="TextodecomentrioChar"/>
    <w:uiPriority w:val="99"/>
    <w:semiHidden/>
    <w:unhideWhenUsed/>
    <w:rsid w:val="00430A2E"/>
    <w:rPr>
      <w:sz w:val="20"/>
      <w:szCs w:val="20"/>
    </w:rPr>
  </w:style>
  <w:style w:type="character" w:customStyle="1" w:styleId="TextodecomentrioChar">
    <w:name w:val="Texto de comentário Char"/>
    <w:basedOn w:val="Fontepargpadro"/>
    <w:link w:val="Textodecomentrio"/>
    <w:uiPriority w:val="99"/>
    <w:semiHidden/>
    <w:rsid w:val="00430A2E"/>
    <w:rPr>
      <w:sz w:val="20"/>
      <w:szCs w:val="20"/>
    </w:rPr>
  </w:style>
  <w:style w:type="paragraph" w:styleId="Assuntodocomentrio">
    <w:name w:val="annotation subject"/>
    <w:basedOn w:val="Textodecomentrio"/>
    <w:next w:val="Textodecomentrio"/>
    <w:link w:val="AssuntodocomentrioChar"/>
    <w:uiPriority w:val="99"/>
    <w:semiHidden/>
    <w:unhideWhenUsed/>
    <w:rsid w:val="00430A2E"/>
    <w:rPr>
      <w:b/>
      <w:bCs/>
    </w:rPr>
  </w:style>
  <w:style w:type="character" w:customStyle="1" w:styleId="AssuntodocomentrioChar">
    <w:name w:val="Assunto do comentário Char"/>
    <w:basedOn w:val="TextodecomentrioChar"/>
    <w:link w:val="Assuntodocomentrio"/>
    <w:uiPriority w:val="99"/>
    <w:semiHidden/>
    <w:rsid w:val="00430A2E"/>
    <w:rPr>
      <w:b/>
      <w:bCs/>
      <w:sz w:val="20"/>
      <w:szCs w:val="20"/>
    </w:rPr>
  </w:style>
  <w:style w:type="table" w:styleId="Tabelacomgrade">
    <w:name w:val="Table Grid"/>
    <w:basedOn w:val="Tabelanormal"/>
    <w:uiPriority w:val="39"/>
    <w:rsid w:val="00CA4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53FF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karentavares.ufrg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nesZ5EP8ESc1NjjWkXUJpqlKeQ==">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3851</Words>
  <Characters>20800</Characters>
  <Application>Microsoft Office Word</Application>
  <DocSecurity>0</DocSecurity>
  <Lines>173</Lines>
  <Paragraphs>49</Paragraphs>
  <ScaleCrop>false</ScaleCrop>
  <Company/>
  <LinksUpToDate>false</LinksUpToDate>
  <CharactersWithSpaces>24602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Tomin</dc:creator>
  <cp:lastModifiedBy>Karen Tavares</cp:lastModifiedBy>
  <cp:revision>2</cp:revision>
  <dcterms:created xsi:type="dcterms:W3CDTF">2025-02-20T16:32:00Z</dcterms:created>
  <dcterms:modified xsi:type="dcterms:W3CDTF">2025-05-12T19:47:00Z</dcterms:modified>
</cp:coreProperties>
</file>