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PARA ELABORAÇÃO E FORMATAÇÃO DE RESUMOS EXPANDIDOS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Este resumo, não deve ultrapassar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150 palavras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devendo constar de forma sucinta, introdução (uma frase), com objetivo claro, material utilizado na elaboração do texto, métodos utilizados sistematizado de forma concisa, resultado, discussão breve e conclusão. Ao que tange ao resumo expandido este,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deverá conter no mínimo quatro e no máximo seis páginas,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deve-se utilizar do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template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para a elaboração do texto sem fazer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alterações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as palavras-chave recomendamos um parágrafo único com 3 (três) a 5 (cinco) palavras separadas por ponto-e-vírgula, com a primeira letra de cada palavra em maiúsculo e finalizadas por ponto, conforme exemplo abaixo.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Aqui o espaçamento é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Palavras-Chaves: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Resumo Expandido; Normas; Educação; Diversidade; Direitos Humanos.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(Aqui o espaçamento contínua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introdução deverá trazer informações que justifiquem o seu trabalho, bem como deve conter informações que demonstrem o assunto a ser tratado.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Deve-se reservar uma linha em branco entre os itens - INTRODUÇÃO, METODOLOGIA, RESULTADOS E DISCUSSÃO, CONCLUSÕES e REFERÊNCIAS.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introdução não possui limites de palavras, assim como o texto como um todo, mas, deve-se ter cuidado para não reduzir o espaço dos demais itens.</w:t>
      </w:r>
    </w:p>
    <w:p w:rsidR="00000000" w:rsidDel="00000000" w:rsidP="00000000" w:rsidRDefault="00000000" w:rsidRPr="00000000" w14:paraId="0000000D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citações dentro do corpo do texto deverão ser da seguinte forma: para um único autor (NOME DO AUTOR EM MAIÚSCULAS, ano da obra, e página – ex. (ARISTÓTELES, 2006, p. 33).  Para dois autores (MOKWUNYE; HAMMOND, 1992) para mais de três autores; (SILVA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2010. É de suma importância que, as referências citadas no texto deverão constar no item “REFERÊNCIAS”.</w:t>
      </w:r>
    </w:p>
    <w:p w:rsidR="00000000" w:rsidDel="00000000" w:rsidP="00000000" w:rsidRDefault="00000000" w:rsidRPr="00000000" w14:paraId="0000000E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último parágrafo da introdução, deve ser reservado para trazer os objetivos do trabalho, de forma clara e sucinta.</w:t>
      </w:r>
    </w:p>
    <w:p w:rsidR="00000000" w:rsidDel="00000000" w:rsidP="00000000" w:rsidRDefault="00000000" w:rsidRPr="00000000" w14:paraId="0000000F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trabalhos apresentados na modalidade resumo expandido, devem conter no mínimo 3 páginas e no máximo 5 páginas considerando as referências. </w:t>
      </w:r>
    </w:p>
    <w:p w:rsidR="00000000" w:rsidDel="00000000" w:rsidP="00000000" w:rsidRDefault="00000000" w:rsidRPr="00000000" w14:paraId="00000010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2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item “metodologia”, deve constar, a forma que o trabalho foi realizado, seja ele fruto de pesquisa bibliográfica, ou resultado de um projeto de ensino, pesquisa e extensão. Deve constar neste item, a área que o texto abrange, bem como a descrição sucinta dos procedimentos utilizados e adaptações que o trabalho sofreu (caso tenha ocorrido) para poder seguir em frente. </w:t>
      </w:r>
    </w:p>
    <w:p w:rsidR="00000000" w:rsidDel="00000000" w:rsidP="00000000" w:rsidRDefault="00000000" w:rsidRPr="00000000" w14:paraId="00000013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15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aqui apresentados, não devem apenas ser apresentados e evidenciados, mas, devem ser discutidos e, se possível, problematizados. </w:t>
      </w:r>
    </w:p>
    <w:p w:rsidR="00000000" w:rsidDel="00000000" w:rsidP="00000000" w:rsidRDefault="00000000" w:rsidRPr="00000000" w14:paraId="00000016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8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Redigir cada conclusão em novo parágrafo, sem linha em branco entre cada parágrafo.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(seguir normas da ABNT)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EXEMPLOS DE REFERÊNCIAS DE LIVROS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GUACIRA LOURO, Lopes.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Currículo, Gênero e Sexualidade.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Porto: Porto Editora, 2000.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EXEMPLOS DE REFERÊNCIAS DE CAPÍTULO DE LIVRO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DAGMAR MEYER, Estermann. Gênero e educação: teoria e política. In. GUACIRA LOURO, Lopes; FELIPE, JANE; SILVANA GOELLNER, Vilodre.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Corpo, Gênero e Sexualidade: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 debate contemporâneo na educação. 9. ed. Petrópolis, RJ: Vozes, 2013.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EXEMPLO DE REFERÊNCIA DE TESE/DISSERTAÇÃO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BARROS, Simone da Cunha Tourino.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A inclusão educacional e o envelhecimento: análise crítica a partir do Programa Brasil Alfabetizado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.2019.273f. Tese (Doutorado em Educação) - Universidade Federal de Uberlândia, Uberlândia,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FERREIRA, Ewerton da Silva.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Plano nacional de promoção da cidadania e direitos humanos de LGBT: um estudo de caso sobre sua implementação no currículo do ensino médio em uma escola pública no município de São Borja/RS (2009-2020)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2021. 112 p. Dissertação (Mestrado Profissional de Políticas Públicas) - Universidade Federal do Pampa, Campus São Borja, São Borja,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EXEMPLOS DE REFERÊNCIAS DE TRABALHOS PUBLICADOS EM ANAIS DE EVENTOS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TELMA GURGEL,. Feminismo de classe: história, movimento e desafios teóricos-políticos do feminismo na contemporaneidade. In: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Fazendo Gênero 9 – Diásporas, Diversidades, Deslocamentos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2010, Florianópolis, SC. Anais (on-line). Florianópolis, 2010. Disponível: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http://www.mulheresprogressistas.org/AudioVideo/FEMINISMO%20E%20LUTA%20DE%20CLASSE.pdf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Acesso em 10 mai de 2018.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EXEMPLOS DE REFERÊNCIAS DE REVISTAS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BELUSSO, G.; SOUZA, J. E. de. O estudo de instituições escolares: A produção do Programa de Pós-Graduação em educação UCS (2008-2023).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Estudos Interdisciplinares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 l.], v. 5, n. 4, p. 41–51, 2023. DOI: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https://doi.org/10.56579/rei.v5i4.726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</w:t>
      </w:r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u w:val="single"/>
          <w:rtl w:val="0"/>
        </w:rPr>
        <w:t xml:space="preserve">https://revistas.ceeinter.com.br/revistadeestudosinterdisciplinar/article/view/726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12 set. 2023.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RODRIGUES MARONEZE, A.; GENZ BÖLTER, 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judicialização como fenômeno das democracias modernas.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VERUM: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Iniciação Científica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 l.], v. 3, n. 1, p. 52–68, 2023. DOI: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ttps://doi.org/10.56579/verum.v3i1.800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Disponível em: </w:t>
      </w:r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rtl w:val="0"/>
        </w:rPr>
        <w:t xml:space="preserve">https://revistas.ceeinter.com.br/revistadeiniciacaocientifica/article/view/800.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Acesso em: 12 set. 2023.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EXEMPLOS DE REFERÊNCIAS DE SITES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da República Federativa do Brasil, 1988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http://www.planalto.gov.br/ccivil_03/constituicao/ConstituicaoCompilado.htm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20 Out. 2015. 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Direito ao mais alto patamar de saúde física e mental.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Brasília: Coordenação Geral de Educação em SDH/PR, Direitos Humanos, Secretaria Nacional de Promoção e Defesa dos Direitos Humanos, 2013.</w:t>
      </w:r>
    </w:p>
    <w:p w:rsidR="00000000" w:rsidDel="00000000" w:rsidP="00000000" w:rsidRDefault="00000000" w:rsidRPr="00000000" w14:paraId="00000033">
      <w:pP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851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8.080, de 19 de setembro de 1990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Dispõe sobre as condições para a promoção, proteção e recuperação da saúde, a organização e o funcionamento dos serviços correspondentes e dá outras providências. Disponível em: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http://www.planalto.gov.br/ccivil_03/Leis/L8080.htm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20 Out. 2015. </w:t>
      </w:r>
    </w:p>
    <w:p w:rsidR="00000000" w:rsidDel="00000000" w:rsidP="00000000" w:rsidRDefault="00000000" w:rsidRPr="00000000" w14:paraId="00000035">
      <w:pPr>
        <w:tabs>
          <w:tab w:val="left" w:leader="none" w:pos="851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GRANDE DO SUL.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Secretaria de Políticas para as Mulheres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http://www2.spm.rs.gov.br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Acesso em 22 mar. 2017.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SOUZA, Mércia Cardoso De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 Convenção Interamericana para Prevenir, Punir e Erradicar a Violência Contra a Mulher (Convenção de Belém do Pará) e a Lei Maria da Penha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Âmbito Jurídico,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Rio Grande, XIII, n. 77, jun 2010. Disponível em: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rtl w:val="0"/>
          </w:rPr>
          <w:t xml:space="preserve">http://www.ambitojuridico.com.br/site/index.php?n_link=revista_artigos_leitura&amp;artigo_id=7874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Acesso em 18 mar. 2017.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1134" w:top="1701" w:left="1701" w:right="1134" w:header="5.669291338582678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Maior titulação, filiação institucional. E-mail: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meuemail@paracontato.com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Maior titulação, filiação institucional. E-mail: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meuemail@paracontato.com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Maior titulação, filiação institucional. E-mail: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meuemail@paracontato.com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ab/>
        <w:t xml:space="preserve">(Nesta área e em todas as notas de rodapé a fonte será Times 10, espaço simples, justificado)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110701</wp:posOffset>
          </wp:positionV>
          <wp:extent cx="7573328" cy="1476375"/>
          <wp:effectExtent b="0" l="0" r="0" t="0"/>
          <wp:wrapSquare wrapText="bothSides" distB="114300" distT="11430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3328" cy="1476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notaderodap">
    <w:name w:val="footnote text"/>
    <w:basedOn w:val="Normal"/>
    <w:link w:val="TextodenotaderodapChar"/>
    <w:unhideWhenUsed w:val="1"/>
    <w:rsid w:val="00884C2F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F31FA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1D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1DDE"/>
    <w:rPr>
      <w:rFonts w:ascii="Tahoma" w:cs="Tahoma" w:hAnsi="Tahoma"/>
      <w:sz w:val="16"/>
      <w:szCs w:val="16"/>
    </w:rPr>
  </w:style>
  <w:style w:type="character" w:styleId="Forte">
    <w:name w:val="Strong"/>
    <w:uiPriority w:val="22"/>
    <w:qFormat w:val="1"/>
    <w:rsid w:val="00AD1DDE"/>
    <w:rPr>
      <w:b w:val="1"/>
      <w:bCs w:val="1"/>
    </w:rPr>
  </w:style>
  <w:style w:type="character" w:styleId="Caracteresdenotaderodap" w:customStyle="1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54FD2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i.org/10.56579/verum.v3i1.800" TargetMode="External"/><Relationship Id="rId10" Type="http://schemas.openxmlformats.org/officeDocument/2006/relationships/hyperlink" Target="https://doi.org/10.56579/verum.v3i1.800" TargetMode="External"/><Relationship Id="rId13" Type="http://schemas.openxmlformats.org/officeDocument/2006/relationships/hyperlink" Target="http://www.planalto.gov.br/ccivil_03/Leis/L8080.htm" TargetMode="External"/><Relationship Id="rId12" Type="http://schemas.openxmlformats.org/officeDocument/2006/relationships/hyperlink" Target="http://www.planalto.gov.br/ccivil_03/constituicao/ConstituicaoCompilado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i.org/10.56579/rei.v5i4.726" TargetMode="External"/><Relationship Id="rId15" Type="http://schemas.openxmlformats.org/officeDocument/2006/relationships/hyperlink" Target="http://www.ambitojuridico.com.br/site/index.php?n_link=revista_artigos_leitura&amp;artigo_id=7874" TargetMode="External"/><Relationship Id="rId14" Type="http://schemas.openxmlformats.org/officeDocument/2006/relationships/hyperlink" Target="http://www2.spm.rs.gov.br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mulheresprogressistas.org/AudioVideo/FEMINISMO%20E%20LUTA%20DE%20CLASSE.pdf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meuemail@paracontato.com" TargetMode="External"/><Relationship Id="rId2" Type="http://schemas.openxmlformats.org/officeDocument/2006/relationships/hyperlink" Target="mailto:meuemail@paracontato.com" TargetMode="External"/><Relationship Id="rId3" Type="http://schemas.openxmlformats.org/officeDocument/2006/relationships/hyperlink" Target="mailto:meuemail@paracontat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uVSB4G2PVXdwXkly/heT7nFjA==">CgMxLjA4AHIhMVFxalFvU1U3eDRwWlVHV1oxNGk3NHRGdzd2bzc5ZTRQ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2023-09-12T23:57:00Z</dcterms:created>
  <dc:creator>cliente</dc:creator>
</cp:coreProperties>
</file>