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Título do Artigo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vertAlign w:val="baseline"/>
          <w:rtl w:val="0"/>
        </w:rPr>
        <w:t xml:space="preserve">Título del Artículo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vertAlign w:val="baseline"/>
          <w:rtl w:val="0"/>
        </w:rPr>
        <w:t xml:space="preserve">Article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 completo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 completo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1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Este documento contém informações para a preparação da versão final de um artigo aceito para publicação. Por favor, siga cuidadosamente as instruções para garantir a legibilidade e uniformidade dos artigos aceitos.</w:t>
      </w:r>
    </w:p>
    <w:p w:rsidR="00000000" w:rsidDel="00000000" w:rsidP="00000000" w:rsidRDefault="00000000" w:rsidRPr="00000000" w14:paraId="0000000A">
      <w:pPr>
        <w:spacing w:after="0" w:line="240" w:lineRule="auto"/>
        <w:ind w:right="-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Palavras-Chave: Aproximadamente cinco palavras-chave ou frases, separadas por ponto e vírgula.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Este documento contiene información para la preparación de la versión final de un artículo aceptado para su publicación. Por favor, siga las instrucciones con cuidado para garantizar la legibilidad y la uniformidad de los artículos aceptados.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Palabras claves: Aproximadamente cinco palabras claves o frases, separados por punto y coma.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This document contains information on the preparation of the final version of a paper accepted for publication. Please carefully follow the instructions provided to ensure legibility and uniformity of accepted papers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Keywords: About five keywords of phrases, separated by semicolon.</w:t>
      </w:r>
    </w:p>
    <w:p w:rsidR="00000000" w:rsidDel="00000000" w:rsidP="00000000" w:rsidRDefault="00000000" w:rsidRPr="00000000" w14:paraId="00000015">
      <w:pPr>
        <w:spacing w:line="240" w:lineRule="auto"/>
        <w:ind w:right="-1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O propósito deste documento é fornecer informações para ajudar os autores a produzir artigos com aparência profissional.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Instruções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Quando escrever o seu artigo, por favor, atente às seguintes instruções: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Tamanho e formato do papel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Os trabalhos serão publicados exatamente como você os submeter. Desta forma, a organização e o esmero são de extrema importância. Por favor, faça uma revisão cuidadosa dos erros gramaticais e de digitação antes da submissão. Os artigos e documentos terão a dimensão mínima de 08 (oito) laudas e a máxima de 20 (vinte) laudas, incluídas bibliografia e notas. Os trabalhos poderão ser redigidos em português, inglês, espanhol ou francês.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Os artigos devem ser preparados em texto corrido. Defina as margens superior e inferior em 2,5 cm e as margens esquerda e direita em 2,5 cm. Use espaçamento 1,5 entre as linhas.</w:t>
      </w:r>
    </w:p>
    <w:p w:rsidR="00000000" w:rsidDel="00000000" w:rsidP="00000000" w:rsidRDefault="00000000" w:rsidRPr="00000000" w14:paraId="0000001D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2.2. Resumo e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Os artigos escritos em língua portuguesa devem possuir também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o título, o resumo e as palavras-chave traduzidos para a língua inglesa e espanhola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como neste exemplo e os escritos em língua inglesa ou espanhola devem ter os itens citados traduzidos para o português e para a terceira língua faltante. </w:t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resumo deve apresentar de forma concisa, os objetivos, a metodologia e os resultados alcançados, não ultrapassando 300 palavras. Não deve conter citações. “Deve ser constituído de uma sequência de frases concisas e não de uma simples enumeração de tópicos. Deve-se usar o verbo na voz ativa e na terceira pessoa do singular”. Utilize espaçamento simples.</w:t>
      </w:r>
    </w:p>
    <w:p w:rsidR="00000000" w:rsidDel="00000000" w:rsidP="00000000" w:rsidRDefault="00000000" w:rsidRPr="00000000" w14:paraId="00000020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2.3. Seções e subseções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As seções devem ser numeradas com números arábicos a partir do 1 (um) e ter o título alinhado à esquerda. Já as subseções devem seguir a numeração progressiva a partir da seção primária e também devem estar alinhadas à esquerda e em negrito.</w:t>
      </w:r>
    </w:p>
    <w:p w:rsidR="00000000" w:rsidDel="00000000" w:rsidP="00000000" w:rsidRDefault="00000000" w:rsidRPr="00000000" w14:paraId="00000022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2.4. Figuras e 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Figuras e tabelas devem ser incluídas como parte do texto sempre que possível. Evite colocá-las antes de sua primeira menção no texto. É desejável que as figuras tenham elementos coloridos e seus títulos devem ser posicionados depois das mesmas. Quando houver mais de uma ilustração, a mesma deve ser numerada com algarismos arábicos, de modo crescente, precedido da palavra que a designa. </w:t>
      </w:r>
    </w:p>
    <w:p w:rsidR="00000000" w:rsidDel="00000000" w:rsidP="00000000" w:rsidRDefault="00000000" w:rsidRPr="00000000" w14:paraId="0000002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Exemplo: Quadro 1 – Título, Fotografia 1 – Título, Gráfico 1 – Título.  Sua localização deve ser na parte inferior da ilustração; ao utilizar-se de ilustrações extraídas de outras fontes, deve-se mencionar sua autoria, ano de publicação e página da publicação original e, fazer as Referências ao final do texto. A indicação da fonte consultada (após a ilustração, na parte inferior), é obrigatório mesmo que seja produção do próprio autor.</w:t>
      </w:r>
    </w:p>
    <w:p w:rsidR="00000000" w:rsidDel="00000000" w:rsidP="00000000" w:rsidRDefault="00000000" w:rsidRPr="00000000" w14:paraId="0000002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 Figura 1 é um exemplo prático de inserção ao longo do texto.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2038985" cy="99060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Times New Roman" w:cs="Times New Roman" w:eastAsia="Times New Roman" w:hAnsi="Times New Roman"/>
          <w:sz w:val="15"/>
          <w:szCs w:val="1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vertAlign w:val="baseline"/>
          <w:rtl w:val="0"/>
        </w:rPr>
        <w:t xml:space="preserve">Figura 1 - Logo da Revista Conexões Culturais.</w:t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vertAlign w:val="baseline"/>
          <w:rtl w:val="0"/>
        </w:rPr>
        <w:t xml:space="preserve">Fonte: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Para as Tabelas, o procedimento é diferente: seus títulos devem ser posicionados antes das mesmas e centralizados. A fonte deve ser colocada imediatamente abaixo da tabela em letra maiúscula/minúscula para indicar a autoridade dos dados e/ou informações da tabela, precedida da palavra Fonte</w:t>
      </w:r>
    </w:p>
    <w:p w:rsidR="00000000" w:rsidDel="00000000" w:rsidP="00000000" w:rsidRDefault="00000000" w:rsidRPr="00000000" w14:paraId="0000002E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2.5. Fontes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Use fonte do tipo Times New Roman. Os tamanhos sugeridos para a serem usados são mostrados na Tabela 1.</w:t>
      </w:r>
    </w:p>
    <w:p w:rsidR="00000000" w:rsidDel="00000000" w:rsidP="00000000" w:rsidRDefault="00000000" w:rsidRPr="00000000" w14:paraId="00000030">
      <w:pPr>
        <w:spacing w:after="0" w:line="360" w:lineRule="auto"/>
        <w:ind w:right="-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right="-1"/>
        <w:jc w:val="center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vertAlign w:val="baseline"/>
          <w:rtl w:val="0"/>
        </w:rPr>
        <w:t xml:space="preserve">Tabela 1 - Tamanhos e tipos de fontes.</w:t>
      </w:r>
    </w:p>
    <w:tbl>
      <w:tblPr>
        <w:tblStyle w:val="Table1"/>
        <w:tblW w:w="38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9"/>
        <w:gridCol w:w="992"/>
        <w:gridCol w:w="1109"/>
        <w:tblGridChange w:id="0">
          <w:tblGrid>
            <w:gridCol w:w="1779"/>
            <w:gridCol w:w="992"/>
            <w:gridCol w:w="11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Texto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Tamanho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Estilo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Título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16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Negrito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Título – Língua estrangeira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15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Itálico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Texto Principal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12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Título das seções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12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Negrito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Títulos das subseções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12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Negrito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Títulos do resumo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10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Negrito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Resumo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10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Legendas das figuras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9,5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Legendas das tabelas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9,5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Texto da tabela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9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Referências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center" w:pos="388"/>
              </w:tabs>
              <w:spacing w:line="360" w:lineRule="auto"/>
              <w:ind w:right="-1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ab/>
              <w:t xml:space="preserve">12 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ind w:right="-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Normal</w:t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sz w:val="19"/>
          <w:szCs w:val="19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vertAlign w:val="baseline"/>
          <w:rtl w:val="0"/>
        </w:rPr>
        <w:t xml:space="preserve">Fonte: XXXX (2015, p.22)</w:t>
      </w:r>
    </w:p>
    <w:p w:rsidR="00000000" w:rsidDel="00000000" w:rsidP="00000000" w:rsidRDefault="00000000" w:rsidRPr="00000000" w14:paraId="0000005A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2.6.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As referências são apresentadas em ordem alfabética de autor e alinhadas somente à margem esquerda.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 referências ao final do trabalho devem ser separadas entre si por um espaço simples em branco. Ao final deste texto tem-se exemplos de como listá-las, dependendo do tipo.</w:t>
      </w:r>
    </w:p>
    <w:p w:rsidR="00000000" w:rsidDel="00000000" w:rsidP="00000000" w:rsidRDefault="00000000" w:rsidRPr="00000000" w14:paraId="0000005C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2.7. Outras questões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Título deverá ser enviado em versões em português, inglês e espanhol.</w:t>
      </w:r>
    </w:p>
    <w:p w:rsidR="00000000" w:rsidDel="00000000" w:rsidP="00000000" w:rsidRDefault="00000000" w:rsidRPr="00000000" w14:paraId="0000005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Não use notas de rodapé a menos que sejam estritamente necessárias e neste caso, procure não agrupá-las. </w:t>
      </w:r>
    </w:p>
    <w:p w:rsidR="00000000" w:rsidDel="00000000" w:rsidP="00000000" w:rsidRDefault="00000000" w:rsidRPr="00000000" w14:paraId="0000005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Por favor, certifique-se de ter incluído titulação, nome completo, endereço, afiliação e e-mail dos autores, no sistema de submissão e no artigo.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 transcrições com mais de 3 linhas deverão ser separadas do texto, sem colchetes iniciais ou finais, com letra Times New Roman 10 pt, com espaço simples, com 4cm de margem esquerda e com espaço de 1,5 antes e depois para separar a transcrição do corpo do texto.</w:t>
      </w:r>
    </w:p>
    <w:p w:rsidR="00000000" w:rsidDel="00000000" w:rsidP="00000000" w:rsidRDefault="00000000" w:rsidRPr="00000000" w14:paraId="0000006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 citações/ remissões bibliográficas com até três linhas serão feitas no corpo do próprio texto, entre aspas duplas, seguindo a norma da ABNT, contendo o nome do autor seguido da data de publicação da obra e do número da página, separados por vírgula, como se segue: </w:t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“Não resta dúvida que a capacidade para agir é a mais perigosa de todas as aptidões e possibilidades humanas.” (ARENDT, 1972, p.95). </w:t>
      </w:r>
    </w:p>
    <w:p w:rsidR="00000000" w:rsidDel="00000000" w:rsidP="00000000" w:rsidRDefault="00000000" w:rsidRPr="00000000" w14:paraId="0000006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Segundo Revel (1998, p.19), a mudança da escala de análise é essencial para a definição da micro-história (...).</w:t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Expressões em língua estrangeira, títulos de obras e passagens do texto que o autor deseje destacar devem ser digitados em itálico, evitando-se assim o uso do negrito.</w:t>
      </w:r>
    </w:p>
    <w:p w:rsidR="00000000" w:rsidDel="00000000" w:rsidP="00000000" w:rsidRDefault="00000000" w:rsidRPr="00000000" w14:paraId="00000068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 seção de conclusões não é obrigatória. Embora esta possa rever os pontos principais do artigo, não repita o resumo como conclusão. A conclusão deve discorrer sobre a importância do trabalho ou sugerir aplicações e extensões. Indique de forma clara as vantagens, as limitações e as possíveis aplicações. As conclusões devem responder às questões da pesquisa, correspondentes aos objetivos e hipóteses; devem ser breves podendo apresentar recomendações e sugestões para trabalhos futuros; para artigos de revisão deve-se excluir material, método e resultados.</w:t>
      </w:r>
    </w:p>
    <w:p w:rsidR="00000000" w:rsidDel="00000000" w:rsidP="00000000" w:rsidRDefault="00000000" w:rsidRPr="00000000" w14:paraId="0000006B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AZEVEDO, M. A.; GUERRA, V. N.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Mania de bater: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 punição corporal doméstica de crianças e adolescentes no Brasil. São Paulo: Iglu, 2001. 386 p. (Obra completa)</w:t>
      </w:r>
    </w:p>
    <w:p w:rsidR="00000000" w:rsidDel="00000000" w:rsidP="00000000" w:rsidRDefault="00000000" w:rsidRPr="00000000" w14:paraId="0000006D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FREUD, S. (1909).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Duas histórias clínicas (o pequeno Hans e o homem dos ratos)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Trad. Sob a direção de Jayme Salomão. Rio de Janeiro, Iamgo, 1977. (Edição Standard Brasileira das Obras Psicológicas Completas de Sigmund Freud, v.10) (Obra completa)</w:t>
      </w:r>
    </w:p>
    <w:p w:rsidR="00000000" w:rsidDel="00000000" w:rsidP="00000000" w:rsidRDefault="00000000" w:rsidRPr="00000000" w14:paraId="0000006F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BANKS-LEITE, 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As questões lingüísticas na obra de Piaget: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apontamentos para uma reflexão crítica. In: ________. (Org.). Percursos piagetianos. São Paulo: Cortez, 1997. p. 207-223. (Capítulo de Livro)</w:t>
      </w:r>
    </w:p>
    <w:p w:rsidR="00000000" w:rsidDel="00000000" w:rsidP="00000000" w:rsidRDefault="00000000" w:rsidRPr="00000000" w14:paraId="00000071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GRIZE, J.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Psicologia genética e 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In: BANKS-LEITE, L. (Org.). Percursos piagetianos. São Paulo: Cortez, 1997. p. 63-76. (Capítulo de Livro)</w:t>
      </w:r>
    </w:p>
    <w:p w:rsidR="00000000" w:rsidDel="00000000" w:rsidP="00000000" w:rsidRDefault="00000000" w:rsidRPr="00000000" w14:paraId="00000073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FERRARI, F.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Piriguetes e Princesas: moda, sexualidade e performances de gênero na sociedade contemporânea.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2016. 130 f. Dissertação (Mestrado em Artes, Cultura e Linguagens) – Instituto de Artes e Design, Universidade Federal de Juiz de Fora, Juiz de Fora. 2016. (Dissertação ou Tese)</w:t>
      </w:r>
    </w:p>
    <w:p w:rsidR="00000000" w:rsidDel="00000000" w:rsidP="00000000" w:rsidRDefault="00000000" w:rsidRPr="00000000" w14:paraId="00000075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BENTO, F. R. Conexões entre Marxismo e religião.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RELACult - Revista Latino-Americana de Estudos em Cultura e Sociedade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[S.l.], v. 2, n. 02, p. 07-25, out. 2016. ISSN 2525-7870.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vertAlign w:val="baseline"/>
            <w:rtl w:val="0"/>
          </w:rPr>
          <w:t xml:space="preserve">http://periodicos.claec.org/index.php/relacult/article/view/6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Acesso em: 31 dez. 2016. (Artigo em Periódico Digital)</w:t>
      </w:r>
    </w:p>
    <w:p w:rsidR="00000000" w:rsidDel="00000000" w:rsidP="00000000" w:rsidRDefault="00000000" w:rsidRPr="00000000" w14:paraId="00000077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SANTEIRO, T. V. Criatividade em psicanálise: produção científica internacional (1996-1998).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Psicologia: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Teoria e Prática, São Paulo, v. 2, n. 2, p. 43-59, jul./dez. 2000. (Artigo em Periódico Físico)</w:t>
      </w:r>
    </w:p>
    <w:p w:rsidR="00000000" w:rsidDel="00000000" w:rsidP="00000000" w:rsidRDefault="00000000" w:rsidRPr="00000000" w14:paraId="00000079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CARONE, I. Psicanálise fim de século. Ensaios críticos. São Paulo: Hacker, 1998. Resenha de: FRAYZE-PEREIRA, J. A. Da possibilidade da crítica à cultura: psicanálise e filosofia.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Revista Brasileira de Psicanálise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v. 35, n. 2, p. 403-405, 2001. (Resenha)</w:t>
      </w:r>
    </w:p>
    <w:p w:rsidR="00000000" w:rsidDel="00000000" w:rsidP="00000000" w:rsidRDefault="00000000" w:rsidRPr="00000000" w14:paraId="0000007B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AZEVEDO, M. A.; GUERRA, V. N. A. Quando a violência doméstica contra crianças e adolescentes pode ser considerada terror? In: CONGRESSO LATINOAMERICANO DE PREVENCIÓN Y ATENCION DEL MALTRATO INFANTIL, 6., 2001, Buenos Aires. Anais… Buenos Aires, 2001. (Trabalho em Anais de Congresso)</w:t>
      </w:r>
    </w:p>
    <w:p w:rsidR="00000000" w:rsidDel="00000000" w:rsidP="00000000" w:rsidRDefault="00000000" w:rsidRPr="00000000" w14:paraId="0000007D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Portal do Centro Latino-Americano de Estudos em Cultura (CLAEC).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vertAlign w:val="baseline"/>
            <w:rtl w:val="0"/>
          </w:rPr>
          <w:t xml:space="preserve">http://www.claec.org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Acesso em: 26 julho 2015. (Modelo para Sites).</w:t>
      </w:r>
    </w:p>
    <w:sectPr>
      <w:headerReference r:id="rId11" w:type="default"/>
      <w:headerReference r:id="rId12" w:type="first"/>
      <w:footerReference r:id="rId13" w:type="default"/>
      <w:pgSz w:h="16838" w:w="11906" w:orient="portrait"/>
      <w:pgMar w:bottom="1418" w:top="1418" w:left="1418" w:right="1418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Artigo apresentado no VII Encontro Humanístico Multidisciplinar - EHM e VI Congresso Latino-Americano de Estudos Humanísticos Multidisciplinares, na modalidade online, 2020.</w:t>
      </w:r>
    </w:p>
  </w:footnote>
  <w:footnote w:id="1"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Maior Titulação; Afiliação; cidade, estado e país; e e-mail de contato. Exemplo: “Mestre em Estudos Culturais; Centro Latino-Americano de Estudos em Cultura - CLAEC; Foz do Iguaçu, Paraná, Brasil;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teste@claec.org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”.</w:t>
      </w:r>
    </w:p>
  </w:footnote>
  <w:footnote w:id="2"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Maior Titulação; Afiliação; cidade, estado e país; e e-mail de contato. Exemplo: “Mestre em Estudos Culturais; Centro Latino-Americano de Estudos em Cultura - CLAEC; Foz do Iguaçu, Paraná, Brasil;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teste@claec.org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after="0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Anais | VII Encontro Humanístico Multidisciplinar - EHM e VI Congresso Latino-Americano de Estudos Humanísticos Multidisciplinares - CLAEHM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after="0" w:line="240" w:lineRule="auto"/>
      <w:jc w:val="right"/>
      <w:rPr>
        <w:rFonts w:ascii="Times New Roman" w:cs="Times New Roman" w:eastAsia="Times New Roman" w:hAnsi="Times New Roman"/>
        <w:sz w:val="18"/>
        <w:szCs w:val="1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vertAlign w:val="baseline"/>
        <w:rtl w:val="0"/>
      </w:rPr>
      <w:t xml:space="preserve">Dezembro de 2021, Online |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vertAlign w:val="baseline"/>
          <w:rtl w:val="0"/>
        </w:rPr>
        <w:t xml:space="preserve">claec.org/ehm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line="240" w:lineRule="auto"/>
      <w:jc w:val="right"/>
      <w:rPr>
        <w:rFonts w:ascii="Times New Roman" w:cs="Times New Roman" w:eastAsia="Times New Roman" w:hAnsi="Times New Roman"/>
        <w:b w:val="0"/>
        <w:sz w:val="18"/>
        <w:szCs w:val="1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vertAlign w:val="baseline"/>
        <w:rtl w:val="0"/>
      </w:rPr>
      <w:t xml:space="preserve">Artigos Completos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spacing w:after="0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Anais | I Seminário Latino-Americano de Estudos em Cultura - SEMLACult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pacing w:after="0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I Seminario Latinoamericano de Estudios en Cultura - SEMLACult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after="0" w:line="240" w:lineRule="auto"/>
      <w:jc w:val="right"/>
      <w:rPr>
        <w:rFonts w:ascii="Times New Roman" w:cs="Times New Roman" w:eastAsia="Times New Roman" w:hAnsi="Times New Roman"/>
        <w:sz w:val="18"/>
        <w:szCs w:val="1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vertAlign w:val="baseline"/>
        <w:rtl w:val="0"/>
      </w:rPr>
      <w:t xml:space="preserve">28, 29 e 30 de junho de 2017, Foz do Iguaçu/PR, Brasil |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vertAlign w:val="baseline"/>
          <w:rtl w:val="0"/>
        </w:rPr>
        <w:t xml:space="preserve">claec.org/semlacult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">
    <w:name w:val="Menção"/>
    <w:next w:val="Menção"/>
    <w:autoRedefine w:val="0"/>
    <w:hidden w:val="0"/>
    <w:qFormat w:val="1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claec.or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eriodicos.claec.org/index.php/relacult/article/view/6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teste@claec.org" TargetMode="External"/><Relationship Id="rId2" Type="http://schemas.openxmlformats.org/officeDocument/2006/relationships/hyperlink" Target="mailto:teste@claec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claec.org/eh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claec.org/semlacu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qANCEGZZOd7NjhnrMWtsXXDW9g==">AMUW2mUJeoG/6h2m8+TrJ5B15n99FpAu1tXU4joL61QoTvSpk6KxUfUeOc0iKz10bgYfXUGm5j4phvqh/0NN0kcV+R9p3LJ6fJHkrtBNBWtTCMgTkK8ULUP55lZKOb5JtPjJMfOeRGCG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2020-07-15T21:15:00Z</dcterms:created>
  <dc:creator>Bruno César Alves Marcelino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