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0AE7BEF7" w:rsidR="00E3782C" w:rsidRPr="00AD22F1" w:rsidRDefault="006E1DF2" w:rsidP="00E3782C">
      <w:pPr>
        <w:pStyle w:val="Ttulo"/>
      </w:pPr>
      <w:r>
        <w:t>EMPREGOS VERDES: UMA PROPOSTA METODOLÓGICA PARA A CLASSIFICAÇÃO BRASILEIRA DE OCUPAÇÕES “</w:t>
      </w:r>
      <w:r w:rsidR="004E6C88">
        <w:t xml:space="preserve">CBOs </w:t>
      </w:r>
      <w:r>
        <w:t>VERDES”</w:t>
      </w:r>
    </w:p>
    <w:p w14:paraId="58281A71" w14:textId="54133142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DB283F">
        <w:rPr>
          <w:sz w:val="24"/>
          <w:szCs w:val="24"/>
        </w:rPr>
        <w:t>Stela Luiza de Mattos Ansanelli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DB283F" w:rsidRPr="00DB283F">
        <w:rPr>
          <w:sz w:val="24"/>
          <w:szCs w:val="24"/>
        </w:rPr>
        <w:t>Carolina Thomaz Squincalha</w:t>
      </w:r>
    </w:p>
    <w:p w14:paraId="158B3CEA" w14:textId="2697A26F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DB283F">
        <w:rPr>
          <w:i/>
          <w:sz w:val="24"/>
          <w:szCs w:val="24"/>
        </w:rPr>
        <w:t>Universidade Estadual Paulista Júliio de Mesquita Filho (UNESP)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DB283F">
        <w:rPr>
          <w:i/>
          <w:sz w:val="24"/>
          <w:szCs w:val="24"/>
        </w:rPr>
        <w:t>stela.luiza@unesp.br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DB283F">
        <w:rPr>
          <w:i/>
          <w:sz w:val="24"/>
          <w:szCs w:val="24"/>
        </w:rPr>
        <w:t>Universidade Estadual Paulista Júlio de Mesquita Filho (UNESP)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DB283F" w:rsidRPr="00DB283F">
        <w:rPr>
          <w:i/>
          <w:spacing w:val="-3"/>
          <w:sz w:val="24"/>
          <w:szCs w:val="24"/>
        </w:rPr>
        <w:t>carolina.squincalha@unesp.br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7DA25C6A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DB283F">
        <w:rPr>
          <w:b/>
          <w:bCs/>
          <w:i/>
          <w:spacing w:val="-2"/>
          <w:sz w:val="24"/>
          <w:szCs w:val="24"/>
        </w:rPr>
        <w:t xml:space="preserve"> 3 Educação Ambiental e Saúde</w:t>
      </w:r>
    </w:p>
    <w:p w14:paraId="125F6DD1" w14:textId="218FFAB6" w:rsidR="009C4B75" w:rsidRPr="005F70B0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DB283F">
        <w:rPr>
          <w:b/>
          <w:bCs/>
          <w:i/>
          <w:spacing w:val="-2"/>
          <w:sz w:val="24"/>
          <w:szCs w:val="24"/>
        </w:rPr>
        <w:t xml:space="preserve"> Inclusão, racismo e justiça socioambiental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1BE61825" w:rsidR="00E3782C" w:rsidRPr="00C20394" w:rsidRDefault="00E3782C" w:rsidP="00E3782C">
      <w:pPr>
        <w:ind w:right="209"/>
        <w:jc w:val="both"/>
        <w:rPr>
          <w:iCs/>
          <w:sz w:val="24"/>
          <w:szCs w:val="24"/>
        </w:rPr>
      </w:pPr>
      <w:r w:rsidRPr="00C20394">
        <w:rPr>
          <w:iCs/>
          <w:sz w:val="24"/>
          <w:szCs w:val="24"/>
        </w:rPr>
        <w:t>D</w:t>
      </w:r>
      <w:r w:rsidR="003C1641" w:rsidRPr="00C20394">
        <w:rPr>
          <w:iCs/>
          <w:sz w:val="24"/>
          <w:szCs w:val="24"/>
        </w:rPr>
        <w:t xml:space="preserve">iante da importância dos empregos verdes para superação de crises econômicas e socioambientais e considerando a falta de padronização metodológica da abordagem ocupacional no Brasil, o objetivo deste trabalho é </w:t>
      </w:r>
      <w:r w:rsidR="003C1641" w:rsidRPr="00C20394">
        <w:rPr>
          <w:sz w:val="24"/>
          <w:szCs w:val="24"/>
        </w:rPr>
        <w:t xml:space="preserve">propor um método para levantamento </w:t>
      </w:r>
      <w:r w:rsidR="00C20394" w:rsidRPr="00C20394">
        <w:rPr>
          <w:sz w:val="24"/>
          <w:szCs w:val="24"/>
        </w:rPr>
        <w:t>das ocupações verdes no país.</w:t>
      </w:r>
      <w:r w:rsidR="003C1641" w:rsidRPr="00C20394">
        <w:rPr>
          <w:sz w:val="24"/>
          <w:szCs w:val="24"/>
        </w:rPr>
        <w:t xml:space="preserve"> </w:t>
      </w:r>
      <w:r w:rsidR="00937ED9" w:rsidRPr="00C20394">
        <w:rPr>
          <w:sz w:val="24"/>
          <w:szCs w:val="24"/>
        </w:rPr>
        <w:t xml:space="preserve">Foi </w:t>
      </w:r>
      <w:r w:rsidR="00821084" w:rsidRPr="00C20394">
        <w:rPr>
          <w:sz w:val="24"/>
          <w:szCs w:val="24"/>
        </w:rPr>
        <w:t xml:space="preserve">montado um quadro de </w:t>
      </w:r>
      <w:r w:rsidR="003C1641" w:rsidRPr="00C20394">
        <w:rPr>
          <w:sz w:val="24"/>
          <w:szCs w:val="24"/>
        </w:rPr>
        <w:t xml:space="preserve"> c</w:t>
      </w:r>
      <w:r w:rsidR="00937ED9" w:rsidRPr="00C20394">
        <w:rPr>
          <w:sz w:val="24"/>
          <w:szCs w:val="24"/>
        </w:rPr>
        <w:t>orrespondência entre os</w:t>
      </w:r>
      <w:r w:rsidR="003C1641" w:rsidRPr="00C20394">
        <w:rPr>
          <w:sz w:val="24"/>
          <w:szCs w:val="24"/>
        </w:rPr>
        <w:t xml:space="preserve"> códigos da Classificação Brasileira de Ocupações (CBOs) do Ministério do Trabalho e Emprego</w:t>
      </w:r>
      <w:r w:rsidR="00937ED9" w:rsidRPr="00C20394">
        <w:rPr>
          <w:sz w:val="24"/>
          <w:szCs w:val="24"/>
        </w:rPr>
        <w:t xml:space="preserve"> e da</w:t>
      </w:r>
      <w:r w:rsidR="003C1641" w:rsidRPr="00C20394">
        <w:rPr>
          <w:sz w:val="24"/>
          <w:szCs w:val="24"/>
        </w:rPr>
        <w:t xml:space="preserve"> </w:t>
      </w:r>
      <w:r w:rsidR="003C1641" w:rsidRPr="00C20394">
        <w:rPr>
          <w:i/>
          <w:iCs/>
          <w:sz w:val="24"/>
          <w:szCs w:val="24"/>
        </w:rPr>
        <w:t>Occupational Information Network- Standard Occupational Classification</w:t>
      </w:r>
      <w:r w:rsidR="003C1641" w:rsidRPr="00C20394">
        <w:rPr>
          <w:sz w:val="24"/>
          <w:szCs w:val="24"/>
        </w:rPr>
        <w:t xml:space="preserve"> (O*NET-SOC)</w:t>
      </w:r>
      <w:r w:rsidR="0099248E" w:rsidRPr="00C20394">
        <w:rPr>
          <w:sz w:val="24"/>
          <w:szCs w:val="24"/>
        </w:rPr>
        <w:t xml:space="preserve"> </w:t>
      </w:r>
      <w:r w:rsidR="0099248E" w:rsidRPr="00C20394">
        <w:rPr>
          <w:i/>
          <w:iCs/>
          <w:sz w:val="24"/>
          <w:szCs w:val="24"/>
        </w:rPr>
        <w:t>Green Occupations</w:t>
      </w:r>
      <w:r w:rsidR="003C1641" w:rsidRPr="00C20394">
        <w:rPr>
          <w:sz w:val="24"/>
          <w:szCs w:val="24"/>
        </w:rPr>
        <w:t xml:space="preserve">, que é a principal fonte de informação ocupacional dos Estados Unidos da América (EUA). </w:t>
      </w:r>
      <w:r w:rsidR="00937ED9" w:rsidRPr="00C20394">
        <w:rPr>
          <w:sz w:val="24"/>
          <w:szCs w:val="24"/>
        </w:rPr>
        <w:t xml:space="preserve">Os resultados mostraram que há compatibilidade </w:t>
      </w:r>
      <w:r w:rsidR="00C20394" w:rsidRPr="00C20394">
        <w:rPr>
          <w:sz w:val="24"/>
          <w:szCs w:val="24"/>
        </w:rPr>
        <w:t xml:space="preserve">entre </w:t>
      </w:r>
      <w:r w:rsidR="00937ED9" w:rsidRPr="00C20394">
        <w:rPr>
          <w:sz w:val="24"/>
          <w:szCs w:val="24"/>
        </w:rPr>
        <w:t xml:space="preserve">a grande maioria das ocupações, o que permite construir indicadores padronizados e passíveis de comparação em nível internacional, </w:t>
      </w:r>
      <w:r w:rsidR="00CE3AB0" w:rsidRPr="00C20394">
        <w:rPr>
          <w:sz w:val="24"/>
          <w:szCs w:val="24"/>
        </w:rPr>
        <w:t>porém</w:t>
      </w:r>
      <w:r w:rsidR="00937ED9" w:rsidRPr="00C20394">
        <w:rPr>
          <w:sz w:val="24"/>
          <w:szCs w:val="24"/>
        </w:rPr>
        <w:t xml:space="preserve"> faltam algumas correspondências para as ocupações novas e emergentes, que envolvem atividades e tecnologias mais avançadas.</w:t>
      </w:r>
    </w:p>
    <w:p w14:paraId="762F9B08" w14:textId="77777777" w:rsidR="00E3782C" w:rsidRPr="00B61455" w:rsidRDefault="00E3782C" w:rsidP="00E3782C">
      <w:pPr>
        <w:jc w:val="both"/>
        <w:rPr>
          <w:b/>
          <w:sz w:val="24"/>
          <w:szCs w:val="24"/>
          <w:highlight w:val="yellow"/>
        </w:rPr>
      </w:pPr>
    </w:p>
    <w:p w14:paraId="006243D2" w14:textId="4357515B" w:rsidR="009C4B75" w:rsidRDefault="00E3782C" w:rsidP="009C4B75">
      <w:pPr>
        <w:jc w:val="both"/>
        <w:rPr>
          <w:spacing w:val="-2"/>
          <w:sz w:val="24"/>
          <w:szCs w:val="24"/>
        </w:rPr>
      </w:pPr>
      <w:r w:rsidRPr="003C1641">
        <w:rPr>
          <w:b/>
          <w:sz w:val="24"/>
          <w:szCs w:val="24"/>
        </w:rPr>
        <w:t>Palavras-chave:</w:t>
      </w:r>
      <w:r w:rsidRPr="003C1641">
        <w:rPr>
          <w:b/>
          <w:spacing w:val="-2"/>
          <w:sz w:val="24"/>
          <w:szCs w:val="24"/>
        </w:rPr>
        <w:t xml:space="preserve"> </w:t>
      </w:r>
      <w:r w:rsidR="003C1641" w:rsidRPr="003C1641">
        <w:rPr>
          <w:sz w:val="24"/>
          <w:szCs w:val="24"/>
        </w:rPr>
        <w:t>Empregos verdes; Metodologia; Ocupações verdes.</w:t>
      </w:r>
      <w:r w:rsidR="00FB79C1">
        <w:rPr>
          <w:sz w:val="24"/>
          <w:szCs w:val="24"/>
        </w:rPr>
        <w:t xml:space="preserve"> 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6B56797A" w14:textId="23D6EE16" w:rsidR="006E1DF2" w:rsidRPr="006E1DF2" w:rsidRDefault="006072B1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Os empregos verdes são fundamentais para superação de crises sócioeconômicas e ambientais, como a pandêmica. Porém, n</w:t>
      </w:r>
      <w:r w:rsidR="006E1DF2" w:rsidRPr="006E1DF2">
        <w:rPr>
          <w:sz w:val="24"/>
          <w:szCs w:val="24"/>
        </w:rPr>
        <w:t xml:space="preserve">ão há uma definição </w:t>
      </w:r>
      <w:r w:rsidR="006E1DF2" w:rsidRPr="00E27CCA">
        <w:rPr>
          <w:sz w:val="24"/>
          <w:szCs w:val="24"/>
        </w:rPr>
        <w:t>un</w:t>
      </w:r>
      <w:r w:rsidR="00EC5C3F" w:rsidRPr="00E27CCA">
        <w:rPr>
          <w:sz w:val="24"/>
          <w:szCs w:val="24"/>
        </w:rPr>
        <w:t>â</w:t>
      </w:r>
      <w:r w:rsidR="006E1DF2" w:rsidRPr="00E27CCA">
        <w:rPr>
          <w:sz w:val="24"/>
          <w:szCs w:val="24"/>
        </w:rPr>
        <w:t>nime</w:t>
      </w:r>
      <w:r w:rsidR="006E1DF2" w:rsidRPr="006E1DF2">
        <w:rPr>
          <w:sz w:val="24"/>
          <w:szCs w:val="24"/>
        </w:rPr>
        <w:t xml:space="preserve"> aceita de empregos verdes entre pesquisadores e </w:t>
      </w:r>
      <w:r w:rsidR="006E1DF2" w:rsidRPr="00EC54D5">
        <w:rPr>
          <w:i/>
          <w:iCs/>
          <w:sz w:val="24"/>
          <w:szCs w:val="24"/>
        </w:rPr>
        <w:t>policy makers</w:t>
      </w:r>
      <w:r w:rsidR="00C761CF">
        <w:rPr>
          <w:sz w:val="24"/>
          <w:szCs w:val="24"/>
        </w:rPr>
        <w:t>;</w:t>
      </w:r>
      <w:r w:rsidR="006E1DF2" w:rsidRPr="006E1DF2">
        <w:rPr>
          <w:sz w:val="24"/>
          <w:szCs w:val="24"/>
        </w:rPr>
        <w:t xml:space="preserve"> no entanto há forte ligação entre empregos verdes e trabalho decente, bem como muitos partem d</w:t>
      </w:r>
      <w:r w:rsidR="00E27CCA">
        <w:rPr>
          <w:sz w:val="24"/>
          <w:szCs w:val="24"/>
        </w:rPr>
        <w:t xml:space="preserve">as </w:t>
      </w:r>
      <w:r w:rsidR="006E1DF2" w:rsidRPr="006E1DF2">
        <w:rPr>
          <w:sz w:val="24"/>
          <w:szCs w:val="24"/>
        </w:rPr>
        <w:t xml:space="preserve"> definições de organizações internacionais (</w:t>
      </w:r>
      <w:r w:rsidR="00120E63" w:rsidRPr="006E1DF2">
        <w:rPr>
          <w:sz w:val="24"/>
          <w:szCs w:val="24"/>
        </w:rPr>
        <w:t xml:space="preserve">Stanef-Puicã </w:t>
      </w:r>
      <w:r w:rsidR="006E1DF2" w:rsidRPr="006E1DF2">
        <w:rPr>
          <w:sz w:val="24"/>
          <w:szCs w:val="24"/>
        </w:rPr>
        <w:t>et al, 2022). Uma das mais amplas e aceitas, é a da O</w:t>
      </w:r>
      <w:r w:rsidR="00EC54D5">
        <w:rPr>
          <w:sz w:val="24"/>
          <w:szCs w:val="24"/>
        </w:rPr>
        <w:t>rganização Internacional do Trabalho (OIT)</w:t>
      </w:r>
      <w:r w:rsidR="006E1DF2" w:rsidRPr="006E1DF2">
        <w:rPr>
          <w:sz w:val="24"/>
          <w:szCs w:val="24"/>
        </w:rPr>
        <w:t>, que define empregos verdes como “postos de trabalho decente em atividades econômicas que contribuem significativamente para reduzir emissões de carbono e/ou para melhorar/conservar a qualidade ambiental”. Vale destacar que por trabalho decente entende-se um trabalho “produtivo, adequadamente remunerado, exercido em condições de liberdade, igualdade e segurança, que seja capaz de garantir uma vida digna para os trabalhadores e trabalhadoras e suas famílias” (</w:t>
      </w:r>
      <w:r w:rsidR="00120E63" w:rsidRPr="006E1DF2">
        <w:rPr>
          <w:sz w:val="24"/>
          <w:szCs w:val="24"/>
        </w:rPr>
        <w:t>Muçouçah,</w:t>
      </w:r>
      <w:r w:rsidR="006E1DF2" w:rsidRPr="006E1DF2">
        <w:rPr>
          <w:sz w:val="24"/>
          <w:szCs w:val="24"/>
        </w:rPr>
        <w:t xml:space="preserve"> 2009, p. 11).</w:t>
      </w:r>
    </w:p>
    <w:p w14:paraId="16FDABA8" w14:textId="17A11BF5" w:rsidR="009C4B75" w:rsidRDefault="006E1DF2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E1DF2">
        <w:rPr>
          <w:sz w:val="24"/>
          <w:szCs w:val="24"/>
        </w:rPr>
        <w:t>A partir da evidência internacional e nacional</w:t>
      </w:r>
      <w:r w:rsidR="005771C9">
        <w:rPr>
          <w:sz w:val="24"/>
          <w:szCs w:val="24"/>
        </w:rPr>
        <w:t xml:space="preserve"> </w:t>
      </w:r>
      <w:r w:rsidR="00C16EE6">
        <w:rPr>
          <w:sz w:val="24"/>
          <w:szCs w:val="24"/>
        </w:rPr>
        <w:t>é possível</w:t>
      </w:r>
      <w:r w:rsidRPr="006E1DF2">
        <w:rPr>
          <w:sz w:val="24"/>
          <w:szCs w:val="24"/>
        </w:rPr>
        <w:t xml:space="preserve"> classificar as </w:t>
      </w:r>
      <w:r w:rsidR="005771C9">
        <w:rPr>
          <w:sz w:val="24"/>
          <w:szCs w:val="24"/>
        </w:rPr>
        <w:t>abordagens</w:t>
      </w:r>
      <w:r w:rsidRPr="006E1DF2">
        <w:rPr>
          <w:sz w:val="24"/>
          <w:szCs w:val="24"/>
        </w:rPr>
        <w:t xml:space="preserve"> a partir do setor no qual estão alocados os postos de trabalho (setorial) ou </w:t>
      </w:r>
      <w:r w:rsidR="005771C9">
        <w:rPr>
          <w:sz w:val="24"/>
          <w:szCs w:val="24"/>
        </w:rPr>
        <w:t>do</w:t>
      </w:r>
      <w:r w:rsidRPr="006E1DF2">
        <w:rPr>
          <w:sz w:val="24"/>
          <w:szCs w:val="24"/>
        </w:rPr>
        <w:t xml:space="preserve"> tipo de tarefas e </w:t>
      </w:r>
      <w:r w:rsidRPr="006E1DF2">
        <w:rPr>
          <w:sz w:val="24"/>
          <w:szCs w:val="24"/>
        </w:rPr>
        <w:lastRenderedPageBreak/>
        <w:t xml:space="preserve">habilidades </w:t>
      </w:r>
      <w:r w:rsidR="005771C9">
        <w:rPr>
          <w:sz w:val="24"/>
          <w:szCs w:val="24"/>
        </w:rPr>
        <w:t>necessárias</w:t>
      </w:r>
      <w:r w:rsidRPr="006E1DF2">
        <w:rPr>
          <w:sz w:val="24"/>
          <w:szCs w:val="24"/>
        </w:rPr>
        <w:t>, independentemente das atividades econômicas onde estão empregados (ocupacional)</w:t>
      </w:r>
      <w:r w:rsidR="005771C9">
        <w:rPr>
          <w:sz w:val="24"/>
          <w:szCs w:val="24"/>
        </w:rPr>
        <w:t xml:space="preserve"> (</w:t>
      </w:r>
      <w:r w:rsidR="005771C9" w:rsidRPr="006E1DF2">
        <w:rPr>
          <w:sz w:val="24"/>
          <w:szCs w:val="24"/>
        </w:rPr>
        <w:t>Ansanelli, Moraes, Paglialarmi</w:t>
      </w:r>
      <w:r w:rsidR="005771C9">
        <w:rPr>
          <w:sz w:val="24"/>
          <w:szCs w:val="24"/>
        </w:rPr>
        <w:t xml:space="preserve">; </w:t>
      </w:r>
      <w:r w:rsidR="005771C9" w:rsidRPr="006E1DF2">
        <w:rPr>
          <w:sz w:val="24"/>
          <w:szCs w:val="24"/>
        </w:rPr>
        <w:t>2025)</w:t>
      </w:r>
      <w:r w:rsidR="005771C9">
        <w:rPr>
          <w:sz w:val="24"/>
          <w:szCs w:val="24"/>
        </w:rPr>
        <w:t>.</w:t>
      </w:r>
    </w:p>
    <w:p w14:paraId="68C2FC65" w14:textId="5502D596" w:rsidR="006E1DF2" w:rsidRPr="006E1DF2" w:rsidRDefault="006E1DF2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E1DF2">
        <w:rPr>
          <w:sz w:val="24"/>
          <w:szCs w:val="24"/>
        </w:rPr>
        <w:t>D</w:t>
      </w:r>
      <w:r w:rsidR="00542CB2">
        <w:rPr>
          <w:sz w:val="24"/>
          <w:szCs w:val="24"/>
        </w:rPr>
        <w:t>a ótica</w:t>
      </w:r>
      <w:r w:rsidRPr="006E1DF2">
        <w:rPr>
          <w:sz w:val="24"/>
          <w:szCs w:val="24"/>
        </w:rPr>
        <w:t xml:space="preserve"> ocupacional, estudos internacionais foram realizados a partir da </w:t>
      </w:r>
      <w:r w:rsidRPr="00F763F9">
        <w:rPr>
          <w:i/>
          <w:iCs/>
          <w:sz w:val="24"/>
          <w:szCs w:val="24"/>
        </w:rPr>
        <w:t>Occupational Information Network- Standard Occupational Classification</w:t>
      </w:r>
      <w:r w:rsidRPr="006E1DF2">
        <w:rPr>
          <w:sz w:val="24"/>
          <w:szCs w:val="24"/>
        </w:rPr>
        <w:t xml:space="preserve"> (O*NET-SOC), que é a principal fonte de informação ocupacional dos Estados Unidos da América (EUA), desenvolvida pelo </w:t>
      </w:r>
      <w:r w:rsidRPr="003D0CA2">
        <w:rPr>
          <w:i/>
          <w:iCs/>
          <w:sz w:val="24"/>
          <w:szCs w:val="24"/>
        </w:rPr>
        <w:t>U.S. Department of Labor/Employment and Training Administration</w:t>
      </w:r>
      <w:r w:rsidRPr="003D0CA2">
        <w:rPr>
          <w:sz w:val="24"/>
          <w:szCs w:val="24"/>
        </w:rPr>
        <w:t>. Da O*NET</w:t>
      </w:r>
      <w:r w:rsidR="005407AC" w:rsidRPr="003D0CA2">
        <w:rPr>
          <w:sz w:val="24"/>
          <w:szCs w:val="24"/>
        </w:rPr>
        <w:t>-SOC</w:t>
      </w:r>
      <w:r w:rsidRPr="003D0CA2">
        <w:rPr>
          <w:sz w:val="24"/>
          <w:szCs w:val="24"/>
        </w:rPr>
        <w:t xml:space="preserve">, foi construída a classificação das </w:t>
      </w:r>
      <w:r w:rsidRPr="003D0CA2">
        <w:rPr>
          <w:i/>
          <w:iCs/>
          <w:sz w:val="24"/>
          <w:szCs w:val="24"/>
        </w:rPr>
        <w:t>Green Occupation</w:t>
      </w:r>
      <w:r w:rsidR="0067624D" w:rsidRPr="003D0CA2">
        <w:rPr>
          <w:i/>
          <w:iCs/>
          <w:sz w:val="24"/>
          <w:szCs w:val="24"/>
        </w:rPr>
        <w:t>s</w:t>
      </w:r>
      <w:r w:rsidRPr="003D0CA2">
        <w:rPr>
          <w:i/>
          <w:iCs/>
          <w:sz w:val="24"/>
          <w:szCs w:val="24"/>
        </w:rPr>
        <w:t xml:space="preserve"> </w:t>
      </w:r>
      <w:r w:rsidR="005407AC" w:rsidRPr="003D0CA2">
        <w:rPr>
          <w:sz w:val="24"/>
          <w:szCs w:val="24"/>
        </w:rPr>
        <w:t xml:space="preserve">(O*NET-SOC </w:t>
      </w:r>
      <w:r w:rsidR="005407AC" w:rsidRPr="003D0CA2">
        <w:rPr>
          <w:i/>
          <w:iCs/>
          <w:sz w:val="24"/>
          <w:szCs w:val="24"/>
        </w:rPr>
        <w:t>Green Occupations</w:t>
      </w:r>
      <w:r w:rsidR="005407AC" w:rsidRPr="003D0CA2">
        <w:rPr>
          <w:sz w:val="24"/>
          <w:szCs w:val="24"/>
        </w:rPr>
        <w:t>)</w:t>
      </w:r>
      <w:r w:rsidRPr="003D0CA2">
        <w:rPr>
          <w:sz w:val="24"/>
          <w:szCs w:val="24"/>
        </w:rPr>
        <w:t>, que</w:t>
      </w:r>
      <w:r w:rsidRPr="006E1DF2">
        <w:rPr>
          <w:sz w:val="24"/>
          <w:szCs w:val="24"/>
        </w:rPr>
        <w:t xml:space="preserve"> partem de uma ampla gama de atividades de trabalho voltadas a “reduzir o uso de combustíveis fósseis, reduzir poluição e a emissão de gases de efeito estufa, aumentar a eficiência energética, a reciclagem de materiais e o desenvolvimento e adoção de energias renováveis” (</w:t>
      </w:r>
      <w:r w:rsidR="00120E63" w:rsidRPr="006E1DF2">
        <w:rPr>
          <w:sz w:val="24"/>
          <w:szCs w:val="24"/>
        </w:rPr>
        <w:t>Vona, Marin, Consoli</w:t>
      </w:r>
      <w:r w:rsidRPr="006E1DF2">
        <w:rPr>
          <w:sz w:val="24"/>
          <w:szCs w:val="24"/>
        </w:rPr>
        <w:t>, 2019, p.6).</w:t>
      </w:r>
    </w:p>
    <w:p w14:paraId="594FA79B" w14:textId="50580080" w:rsidR="006E1DF2" w:rsidRPr="006E1DF2" w:rsidRDefault="00065ECA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Segundo tal categorização, n</w:t>
      </w:r>
      <w:r w:rsidR="006E1DF2" w:rsidRPr="006E1DF2">
        <w:rPr>
          <w:sz w:val="24"/>
          <w:szCs w:val="24"/>
        </w:rPr>
        <w:t>os EUA, Vona, Marin, Consoli (2019)</w:t>
      </w:r>
      <w:r>
        <w:rPr>
          <w:sz w:val="24"/>
          <w:szCs w:val="24"/>
        </w:rPr>
        <w:t xml:space="preserve"> verific</w:t>
      </w:r>
      <w:r w:rsidR="004C1434">
        <w:rPr>
          <w:sz w:val="24"/>
          <w:szCs w:val="24"/>
        </w:rPr>
        <w:t>a</w:t>
      </w:r>
      <w:r>
        <w:rPr>
          <w:sz w:val="24"/>
          <w:szCs w:val="24"/>
        </w:rPr>
        <w:t xml:space="preserve">ram que, </w:t>
      </w:r>
      <w:r w:rsidR="006E1DF2" w:rsidRPr="006E1DF2">
        <w:rPr>
          <w:sz w:val="24"/>
          <w:szCs w:val="24"/>
        </w:rPr>
        <w:t>entre 2006 e 2014</w:t>
      </w:r>
      <w:r>
        <w:rPr>
          <w:sz w:val="24"/>
          <w:szCs w:val="24"/>
        </w:rPr>
        <w:t>, tais ocupações</w:t>
      </w:r>
      <w:r w:rsidR="006E1DF2" w:rsidRPr="006E1DF2">
        <w:rPr>
          <w:sz w:val="24"/>
          <w:szCs w:val="24"/>
        </w:rPr>
        <w:t xml:space="preserve"> foram pró-cíclic</w:t>
      </w:r>
      <w:r w:rsidR="00E7728C">
        <w:rPr>
          <w:sz w:val="24"/>
          <w:szCs w:val="24"/>
        </w:rPr>
        <w:t>a</w:t>
      </w:r>
      <w:r w:rsidR="006E1DF2" w:rsidRPr="006E1DF2">
        <w:rPr>
          <w:sz w:val="24"/>
          <w:szCs w:val="24"/>
        </w:rPr>
        <w:t>s, apresentaram maior grau de qualificação</w:t>
      </w:r>
      <w:r w:rsidR="00E7728C">
        <w:rPr>
          <w:sz w:val="24"/>
          <w:szCs w:val="24"/>
        </w:rPr>
        <w:t xml:space="preserve"> e</w:t>
      </w:r>
      <w:r w:rsidR="006E1DF2" w:rsidRPr="006E1DF2">
        <w:rPr>
          <w:sz w:val="24"/>
          <w:szCs w:val="24"/>
        </w:rPr>
        <w:t xml:space="preserve"> níve</w:t>
      </w:r>
      <w:r w:rsidR="00E7728C">
        <w:rPr>
          <w:sz w:val="24"/>
          <w:szCs w:val="24"/>
        </w:rPr>
        <w:t>is</w:t>
      </w:r>
      <w:r w:rsidR="006E1DF2" w:rsidRPr="006E1DF2">
        <w:rPr>
          <w:sz w:val="24"/>
          <w:szCs w:val="24"/>
        </w:rPr>
        <w:t xml:space="preserve"> de escolaridade e renda </w:t>
      </w:r>
      <w:r w:rsidR="00E7728C">
        <w:rPr>
          <w:sz w:val="24"/>
          <w:szCs w:val="24"/>
        </w:rPr>
        <w:t>e</w:t>
      </w:r>
      <w:r w:rsidR="006E1DF2" w:rsidRPr="006E1DF2">
        <w:rPr>
          <w:sz w:val="24"/>
          <w:szCs w:val="24"/>
        </w:rPr>
        <w:t xml:space="preserve"> se concentraram em atividades de alta intensidade </w:t>
      </w:r>
      <w:r w:rsidR="00BA2D84">
        <w:rPr>
          <w:sz w:val="24"/>
          <w:szCs w:val="24"/>
        </w:rPr>
        <w:t xml:space="preserve"> </w:t>
      </w:r>
      <w:r w:rsidR="006E1DF2" w:rsidRPr="006E1DF2">
        <w:rPr>
          <w:sz w:val="24"/>
          <w:szCs w:val="24"/>
        </w:rPr>
        <w:t xml:space="preserve">tecnológica. Bowen, Kuralbeyeva, Tipoe (2018) </w:t>
      </w:r>
      <w:r>
        <w:rPr>
          <w:sz w:val="24"/>
          <w:szCs w:val="24"/>
        </w:rPr>
        <w:t xml:space="preserve">observaram que, em 2014, </w:t>
      </w:r>
      <w:r w:rsidR="006E1DF2" w:rsidRPr="006E1DF2">
        <w:rPr>
          <w:sz w:val="24"/>
          <w:szCs w:val="24"/>
        </w:rPr>
        <w:t>19,4% d</w:t>
      </w:r>
      <w:r>
        <w:rPr>
          <w:sz w:val="24"/>
          <w:szCs w:val="24"/>
        </w:rPr>
        <w:t>as ocupações eram verdes</w:t>
      </w:r>
      <w:r w:rsidR="006E1DF2" w:rsidRPr="006E1DF2">
        <w:rPr>
          <w:sz w:val="24"/>
          <w:szCs w:val="24"/>
        </w:rPr>
        <w:t xml:space="preserve">, sobretudo nos setores de construção, utilidades e manufatura. Os </w:t>
      </w:r>
      <w:r>
        <w:rPr>
          <w:sz w:val="24"/>
          <w:szCs w:val="24"/>
        </w:rPr>
        <w:t xml:space="preserve">autores separaram as ocupações em 3 subcategorias, </w:t>
      </w:r>
      <w:r w:rsidR="006E1DF2" w:rsidRPr="006E1DF2">
        <w:rPr>
          <w:sz w:val="24"/>
          <w:szCs w:val="24"/>
        </w:rPr>
        <w:t xml:space="preserve">conforme o grau de esverdeamento: verde com demanda crescente (empregos existentes com demanda aumentada, mas sem mudanças significativas em tarefas); habilidades aprimoradas verdes (empregos existentes que requerem alterações significativas </w:t>
      </w:r>
      <w:r>
        <w:rPr>
          <w:sz w:val="24"/>
          <w:szCs w:val="24"/>
        </w:rPr>
        <w:t>nas tarefas</w:t>
      </w:r>
      <w:r w:rsidR="006E1DF2" w:rsidRPr="006E1DF2">
        <w:rPr>
          <w:sz w:val="24"/>
          <w:szCs w:val="24"/>
        </w:rPr>
        <w:t xml:space="preserve">); e verde novo e emergente (empregos unicamente criados para atender às novas necessidades da Economia Verde). </w:t>
      </w:r>
      <w:r w:rsidR="00E7728C">
        <w:rPr>
          <w:sz w:val="24"/>
          <w:szCs w:val="24"/>
        </w:rPr>
        <w:t>Notou-se que, n</w:t>
      </w:r>
      <w:r w:rsidR="006E1DF2" w:rsidRPr="006E1DF2">
        <w:rPr>
          <w:sz w:val="24"/>
          <w:szCs w:val="24"/>
        </w:rPr>
        <w:t xml:space="preserve">o curto prazo, o esverdeamento </w:t>
      </w:r>
      <w:r w:rsidR="00D170DA">
        <w:rPr>
          <w:sz w:val="24"/>
          <w:szCs w:val="24"/>
        </w:rPr>
        <w:t>tende a atingir</w:t>
      </w:r>
      <w:r w:rsidR="006E1DF2" w:rsidRPr="006E1DF2">
        <w:rPr>
          <w:sz w:val="24"/>
          <w:szCs w:val="24"/>
        </w:rPr>
        <w:t xml:space="preserve"> a primeira subcategoria, enquanto a segunda e terceira terão papel mais importante no longo prazo</w:t>
      </w:r>
      <w:r>
        <w:rPr>
          <w:sz w:val="24"/>
          <w:szCs w:val="24"/>
        </w:rPr>
        <w:t>,</w:t>
      </w:r>
      <w:r w:rsidR="00D170DA">
        <w:rPr>
          <w:sz w:val="24"/>
          <w:szCs w:val="24"/>
        </w:rPr>
        <w:t xml:space="preserve"> </w:t>
      </w:r>
      <w:r>
        <w:rPr>
          <w:sz w:val="24"/>
          <w:szCs w:val="24"/>
        </w:rPr>
        <w:t>exigindo elevado</w:t>
      </w:r>
      <w:r w:rsidR="006E1DF2" w:rsidRPr="006E1DF2">
        <w:rPr>
          <w:sz w:val="24"/>
          <w:szCs w:val="24"/>
        </w:rPr>
        <w:t xml:space="preserve"> grau de educação</w:t>
      </w:r>
      <w:r w:rsidR="00E7728C">
        <w:rPr>
          <w:sz w:val="24"/>
          <w:szCs w:val="24"/>
        </w:rPr>
        <w:t>,</w:t>
      </w:r>
      <w:r w:rsidR="006E1DF2" w:rsidRPr="006E1DF2">
        <w:rPr>
          <w:sz w:val="24"/>
          <w:szCs w:val="24"/>
        </w:rPr>
        <w:t xml:space="preserve"> experiência, </w:t>
      </w:r>
      <w:r w:rsidR="00E7728C">
        <w:rPr>
          <w:sz w:val="24"/>
          <w:szCs w:val="24"/>
        </w:rPr>
        <w:t>e</w:t>
      </w:r>
      <w:r>
        <w:rPr>
          <w:sz w:val="24"/>
          <w:szCs w:val="24"/>
        </w:rPr>
        <w:t xml:space="preserve"> oferecendo </w:t>
      </w:r>
      <w:r w:rsidR="006E1DF2" w:rsidRPr="006E1DF2">
        <w:rPr>
          <w:sz w:val="24"/>
          <w:szCs w:val="24"/>
        </w:rPr>
        <w:t>maior rendimento</w:t>
      </w:r>
      <w:r>
        <w:rPr>
          <w:sz w:val="24"/>
          <w:szCs w:val="24"/>
        </w:rPr>
        <w:t>.</w:t>
      </w:r>
    </w:p>
    <w:p w14:paraId="712EFC7C" w14:textId="57C1BB86" w:rsidR="006E1DF2" w:rsidRPr="003D0CA2" w:rsidRDefault="006E1DF2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3D0CA2">
        <w:rPr>
          <w:sz w:val="24"/>
          <w:szCs w:val="24"/>
        </w:rPr>
        <w:t>No Brasil</w:t>
      </w:r>
      <w:r w:rsidR="009B18D2" w:rsidRPr="003D0CA2">
        <w:rPr>
          <w:sz w:val="24"/>
          <w:szCs w:val="24"/>
        </w:rPr>
        <w:t xml:space="preserve">, </w:t>
      </w:r>
      <w:r w:rsidRPr="004D49D1">
        <w:rPr>
          <w:sz w:val="24"/>
          <w:szCs w:val="24"/>
        </w:rPr>
        <w:t xml:space="preserve">Caruso (2010) fez uma análise das ocupações verdes </w:t>
      </w:r>
      <w:r w:rsidR="004D49D1" w:rsidRPr="004D49D1">
        <w:rPr>
          <w:sz w:val="24"/>
          <w:szCs w:val="24"/>
        </w:rPr>
        <w:t>a partir</w:t>
      </w:r>
      <w:r w:rsidRPr="004D49D1">
        <w:rPr>
          <w:sz w:val="24"/>
          <w:szCs w:val="24"/>
        </w:rPr>
        <w:t xml:space="preserve"> da Classificação Brasileira de Ocupações (CBO), selecionando famílias ocupacionais que tivessem pelo menos uma ocupação relacionada ao meio ambiente ou à reciclagem</w:t>
      </w:r>
      <w:r w:rsidR="003407D2">
        <w:rPr>
          <w:sz w:val="24"/>
          <w:szCs w:val="24"/>
        </w:rPr>
        <w:t>, que participaram com</w:t>
      </w:r>
      <w:r w:rsidR="004D49D1" w:rsidRPr="004D49D1">
        <w:rPr>
          <w:sz w:val="24"/>
          <w:szCs w:val="24"/>
        </w:rPr>
        <w:t xml:space="preserve"> </w:t>
      </w:r>
      <w:r w:rsidRPr="004D49D1">
        <w:rPr>
          <w:sz w:val="24"/>
          <w:szCs w:val="24"/>
        </w:rPr>
        <w:t>12% do total de empregos formais em 2008,</w:t>
      </w:r>
      <w:r w:rsidR="003407D2">
        <w:rPr>
          <w:sz w:val="24"/>
          <w:szCs w:val="24"/>
        </w:rPr>
        <w:t xml:space="preserve"> </w:t>
      </w:r>
      <w:r w:rsidR="003407D2" w:rsidRPr="003407D2">
        <w:rPr>
          <w:sz w:val="24"/>
          <w:szCs w:val="24"/>
        </w:rPr>
        <w:t>destacando-se</w:t>
      </w:r>
      <w:r w:rsidRPr="003407D2">
        <w:rPr>
          <w:sz w:val="24"/>
          <w:szCs w:val="24"/>
        </w:rPr>
        <w:t xml:space="preserve"> monitores</w:t>
      </w:r>
      <w:r w:rsidR="003407D2">
        <w:rPr>
          <w:sz w:val="24"/>
          <w:szCs w:val="24"/>
        </w:rPr>
        <w:t xml:space="preserve"> ambientais</w:t>
      </w:r>
      <w:r w:rsidRPr="003407D2">
        <w:rPr>
          <w:sz w:val="24"/>
          <w:szCs w:val="24"/>
        </w:rPr>
        <w:t xml:space="preserve"> e da implementação da legislação </w:t>
      </w:r>
      <w:r w:rsidRPr="00681BCB">
        <w:rPr>
          <w:sz w:val="24"/>
          <w:szCs w:val="24"/>
        </w:rPr>
        <w:t>ambiental e em setores agrícolas e de energias renováveis</w:t>
      </w:r>
      <w:r w:rsidRPr="00E71037">
        <w:rPr>
          <w:sz w:val="24"/>
          <w:szCs w:val="24"/>
        </w:rPr>
        <w:t xml:space="preserve">. Nonato e Maciente (2012) </w:t>
      </w:r>
      <w:r w:rsidR="00E95F6A" w:rsidRPr="00E95F6A">
        <w:rPr>
          <w:sz w:val="24"/>
          <w:szCs w:val="24"/>
        </w:rPr>
        <w:t xml:space="preserve">estimaram </w:t>
      </w:r>
      <w:r w:rsidRPr="00E95F6A">
        <w:rPr>
          <w:sz w:val="24"/>
          <w:szCs w:val="24"/>
        </w:rPr>
        <w:t xml:space="preserve">mais de 16 milhões de ocupações verdes em 2010, sobretudo nos setores </w:t>
      </w:r>
      <w:r w:rsidR="00E95F6A" w:rsidRPr="00E95F6A">
        <w:rPr>
          <w:sz w:val="24"/>
          <w:szCs w:val="24"/>
        </w:rPr>
        <w:t xml:space="preserve">da </w:t>
      </w:r>
      <w:r w:rsidRPr="00E95F6A">
        <w:rPr>
          <w:sz w:val="24"/>
          <w:szCs w:val="24"/>
        </w:rPr>
        <w:t>pecuári</w:t>
      </w:r>
      <w:r w:rsidR="00E95F6A" w:rsidRPr="00E95F6A">
        <w:rPr>
          <w:sz w:val="24"/>
          <w:szCs w:val="24"/>
        </w:rPr>
        <w:t>a</w:t>
      </w:r>
      <w:r w:rsidRPr="00E95F6A">
        <w:rPr>
          <w:sz w:val="24"/>
          <w:szCs w:val="24"/>
        </w:rPr>
        <w:t xml:space="preserve"> e </w:t>
      </w:r>
      <w:r w:rsidR="00E95F6A" w:rsidRPr="00E95F6A">
        <w:rPr>
          <w:sz w:val="24"/>
          <w:szCs w:val="24"/>
        </w:rPr>
        <w:t xml:space="preserve">da </w:t>
      </w:r>
      <w:r w:rsidRPr="00E95F6A">
        <w:rPr>
          <w:sz w:val="24"/>
          <w:szCs w:val="24"/>
        </w:rPr>
        <w:t>agr</w:t>
      </w:r>
      <w:r w:rsidR="00E95F6A" w:rsidRPr="00E95F6A">
        <w:rPr>
          <w:sz w:val="24"/>
          <w:szCs w:val="24"/>
        </w:rPr>
        <w:t>icultura</w:t>
      </w:r>
      <w:r w:rsidRPr="00E95F6A">
        <w:rPr>
          <w:sz w:val="24"/>
          <w:szCs w:val="24"/>
        </w:rPr>
        <w:t xml:space="preserve"> (lavouras temporárias e permanentes). </w:t>
      </w:r>
      <w:r w:rsidRPr="00E3420A">
        <w:rPr>
          <w:sz w:val="24"/>
          <w:szCs w:val="24"/>
        </w:rPr>
        <w:t xml:space="preserve">Dordmond et al. (2021) </w:t>
      </w:r>
      <w:r w:rsidR="00E3420A" w:rsidRPr="00E3420A">
        <w:rPr>
          <w:sz w:val="24"/>
          <w:szCs w:val="24"/>
        </w:rPr>
        <w:t>verificaram que as ocupações verdes se concentraram</w:t>
      </w:r>
      <w:r w:rsidRPr="00E3420A">
        <w:rPr>
          <w:sz w:val="24"/>
          <w:szCs w:val="24"/>
        </w:rPr>
        <w:t xml:space="preserve"> </w:t>
      </w:r>
      <w:r w:rsidR="00E3420A" w:rsidRPr="00E3420A">
        <w:rPr>
          <w:sz w:val="24"/>
          <w:szCs w:val="24"/>
        </w:rPr>
        <w:t xml:space="preserve">nas regiões mais industrializadas (São Paulo, estados da região Sul e Zona Franca de Manaus) entre 2003 e 2013. </w:t>
      </w:r>
      <w:r w:rsidR="003D0CA2" w:rsidRPr="00681BCB">
        <w:rPr>
          <w:sz w:val="24"/>
          <w:szCs w:val="24"/>
        </w:rPr>
        <w:t xml:space="preserve">Embora os estudos </w:t>
      </w:r>
      <w:r w:rsidR="003D0CA2" w:rsidRPr="00681BCB">
        <w:rPr>
          <w:sz w:val="24"/>
          <w:szCs w:val="24"/>
        </w:rPr>
        <w:lastRenderedPageBreak/>
        <w:t xml:space="preserve">brasileiros estejam ancorados na </w:t>
      </w:r>
      <w:r w:rsidR="003D0CA2" w:rsidRPr="00681BCB">
        <w:rPr>
          <w:sz w:val="24"/>
          <w:szCs w:val="24"/>
        </w:rPr>
        <w:t xml:space="preserve">O*NET-SOC </w:t>
      </w:r>
      <w:r w:rsidR="003D0CA2" w:rsidRPr="00681BCB">
        <w:rPr>
          <w:i/>
          <w:iCs/>
          <w:sz w:val="24"/>
          <w:szCs w:val="24"/>
        </w:rPr>
        <w:t>Green Occupations</w:t>
      </w:r>
      <w:r w:rsidR="003D0CA2" w:rsidRPr="00681BCB">
        <w:rPr>
          <w:i/>
          <w:iCs/>
          <w:sz w:val="24"/>
          <w:szCs w:val="24"/>
        </w:rPr>
        <w:t xml:space="preserve">, </w:t>
      </w:r>
      <w:r w:rsidR="003D0CA2" w:rsidRPr="00681BCB">
        <w:rPr>
          <w:sz w:val="24"/>
          <w:szCs w:val="24"/>
        </w:rPr>
        <w:t>cada um utiliza uma metodologia diferente e não apresentam as CBOs selecionadas.</w:t>
      </w:r>
      <w:r w:rsidR="003D0CA2">
        <w:rPr>
          <w:sz w:val="24"/>
          <w:szCs w:val="24"/>
        </w:rPr>
        <w:t xml:space="preserve"> </w:t>
      </w:r>
    </w:p>
    <w:p w14:paraId="68E3EDBD" w14:textId="116CB975" w:rsidR="00C16EE6" w:rsidRDefault="00681BCB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072B1">
        <w:rPr>
          <w:sz w:val="24"/>
          <w:szCs w:val="24"/>
        </w:rPr>
        <w:t>Dada</w:t>
      </w:r>
      <w:r w:rsidR="008A2F11" w:rsidRPr="006072B1">
        <w:rPr>
          <w:sz w:val="24"/>
          <w:szCs w:val="24"/>
        </w:rPr>
        <w:t xml:space="preserve"> a importância do tema e a falta de padronização </w:t>
      </w:r>
      <w:r w:rsidR="001E1AEB" w:rsidRPr="006072B1">
        <w:rPr>
          <w:sz w:val="24"/>
          <w:szCs w:val="24"/>
        </w:rPr>
        <w:t xml:space="preserve">metodológica </w:t>
      </w:r>
      <w:r w:rsidR="008A2F11" w:rsidRPr="006072B1">
        <w:rPr>
          <w:sz w:val="24"/>
          <w:szCs w:val="24"/>
        </w:rPr>
        <w:t>para</w:t>
      </w:r>
      <w:r w:rsidR="006072B1" w:rsidRPr="006072B1">
        <w:rPr>
          <w:sz w:val="24"/>
          <w:szCs w:val="24"/>
        </w:rPr>
        <w:t xml:space="preserve"> o</w:t>
      </w:r>
      <w:r w:rsidR="008A2F11" w:rsidRPr="006072B1">
        <w:rPr>
          <w:sz w:val="24"/>
          <w:szCs w:val="24"/>
        </w:rPr>
        <w:t xml:space="preserve"> levantamento de dados</w:t>
      </w:r>
      <w:r w:rsidR="001E1AEB" w:rsidRPr="006072B1">
        <w:rPr>
          <w:sz w:val="24"/>
          <w:szCs w:val="24"/>
        </w:rPr>
        <w:t xml:space="preserve"> oficiais</w:t>
      </w:r>
      <w:r w:rsidR="008A2F11" w:rsidRPr="006072B1">
        <w:rPr>
          <w:sz w:val="24"/>
          <w:szCs w:val="24"/>
        </w:rPr>
        <w:t xml:space="preserve"> de empregos formais</w:t>
      </w:r>
      <w:r w:rsidR="003D0CA2" w:rsidRPr="006072B1">
        <w:rPr>
          <w:sz w:val="24"/>
          <w:szCs w:val="24"/>
        </w:rPr>
        <w:t xml:space="preserve"> e verdes</w:t>
      </w:r>
      <w:r w:rsidR="008A2F11" w:rsidRPr="006072B1">
        <w:rPr>
          <w:sz w:val="24"/>
          <w:szCs w:val="24"/>
        </w:rPr>
        <w:t xml:space="preserve">, o </w:t>
      </w:r>
      <w:r w:rsidR="00C16EE6" w:rsidRPr="006072B1">
        <w:rPr>
          <w:sz w:val="24"/>
          <w:szCs w:val="24"/>
        </w:rPr>
        <w:t>objetivo deste trabalho é propor um método para levantamento dos empregos verdes a partir da abordagem ocupacional no Brasil.</w:t>
      </w:r>
      <w:r w:rsidR="00C16EE6" w:rsidRPr="00C16EE6">
        <w:rPr>
          <w:sz w:val="24"/>
          <w:szCs w:val="24"/>
        </w:rPr>
        <w:t xml:space="preserve"> </w:t>
      </w:r>
    </w:p>
    <w:p w14:paraId="6AFE6B89" w14:textId="77777777" w:rsidR="00516314" w:rsidRPr="005F70B0" w:rsidRDefault="00516314" w:rsidP="006E1D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24A0605B" w14:textId="76840617" w:rsidR="00C16EE6" w:rsidRPr="00C16EE6" w:rsidRDefault="00C16EE6" w:rsidP="00C16EE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C16EE6">
        <w:rPr>
          <w:sz w:val="24"/>
          <w:szCs w:val="24"/>
        </w:rPr>
        <w:t xml:space="preserve">A metodologia utilizada foi composta por, após leitura do texto </w:t>
      </w:r>
      <w:r w:rsidR="00D8685D">
        <w:rPr>
          <w:sz w:val="24"/>
          <w:szCs w:val="24"/>
        </w:rPr>
        <w:t xml:space="preserve">base </w:t>
      </w:r>
      <w:r w:rsidRPr="00C16EE6">
        <w:rPr>
          <w:sz w:val="24"/>
          <w:szCs w:val="24"/>
        </w:rPr>
        <w:t xml:space="preserve">de Bowen, Kuralbeyeva, Tipoe (2018): estudo das descrições e dos códigos da classificação O*NET-SOC </w:t>
      </w:r>
      <w:r w:rsidRPr="00FC6B3B">
        <w:rPr>
          <w:i/>
          <w:iCs/>
          <w:sz w:val="24"/>
          <w:szCs w:val="24"/>
        </w:rPr>
        <w:t>Green Occupations</w:t>
      </w:r>
      <w:r w:rsidRPr="00C16EE6">
        <w:rPr>
          <w:sz w:val="24"/>
          <w:szCs w:val="24"/>
        </w:rPr>
        <w:t xml:space="preserve"> e da Classificação Brasileira de Ocupações </w:t>
      </w:r>
      <w:r w:rsidR="00B64588">
        <w:rPr>
          <w:sz w:val="24"/>
          <w:szCs w:val="24"/>
        </w:rPr>
        <w:t>atual</w:t>
      </w:r>
      <w:r w:rsidRPr="00C16EE6">
        <w:rPr>
          <w:sz w:val="24"/>
          <w:szCs w:val="24"/>
        </w:rPr>
        <w:t xml:space="preserve"> (CBO 2002). </w:t>
      </w:r>
    </w:p>
    <w:p w14:paraId="379D4359" w14:textId="6E2E2630" w:rsidR="00C16EE6" w:rsidRPr="004A752F" w:rsidRDefault="00C16EE6" w:rsidP="00C16EE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A752F">
        <w:rPr>
          <w:sz w:val="24"/>
          <w:szCs w:val="24"/>
        </w:rPr>
        <w:t>A O*NET</w:t>
      </w:r>
      <w:r w:rsidR="00F763F9" w:rsidRPr="004A752F">
        <w:rPr>
          <w:sz w:val="24"/>
          <w:szCs w:val="24"/>
        </w:rPr>
        <w:t>-</w:t>
      </w:r>
      <w:r w:rsidRPr="004A752F">
        <w:rPr>
          <w:sz w:val="24"/>
          <w:szCs w:val="24"/>
        </w:rPr>
        <w:t xml:space="preserve">SOC </w:t>
      </w:r>
      <w:r w:rsidRPr="004A752F">
        <w:rPr>
          <w:i/>
          <w:iCs/>
          <w:sz w:val="24"/>
          <w:szCs w:val="24"/>
        </w:rPr>
        <w:t>Green Occupations</w:t>
      </w:r>
      <w:r w:rsidRPr="004A752F">
        <w:rPr>
          <w:sz w:val="24"/>
          <w:szCs w:val="24"/>
        </w:rPr>
        <w:t xml:space="preserve"> contém informações sobre o nível ocupacional, as tarefas e habilidades envolvidas, além de uma lista de atividades verdes que são exclusivas de empregos verdes. Ela é composta por 204 linhas agrupadas em 3 categorias de nível de esverdeamento</w:t>
      </w:r>
      <w:r w:rsidR="004A752F" w:rsidRPr="004A752F">
        <w:rPr>
          <w:sz w:val="24"/>
          <w:szCs w:val="24"/>
        </w:rPr>
        <w:t>:</w:t>
      </w:r>
      <w:r w:rsidR="004A752F" w:rsidRPr="004A752F">
        <w:rPr>
          <w:i/>
          <w:iCs/>
          <w:sz w:val="24"/>
          <w:szCs w:val="24"/>
        </w:rPr>
        <w:t xml:space="preserve"> </w:t>
      </w:r>
      <w:r w:rsidR="004A752F" w:rsidRPr="004A752F">
        <w:rPr>
          <w:i/>
          <w:iCs/>
          <w:sz w:val="24"/>
          <w:szCs w:val="24"/>
        </w:rPr>
        <w:t>Green Enhanced Skills</w:t>
      </w:r>
      <w:r w:rsidR="004A752F" w:rsidRPr="004A752F">
        <w:rPr>
          <w:sz w:val="24"/>
          <w:szCs w:val="24"/>
        </w:rPr>
        <w:t xml:space="preserve"> (ES)</w:t>
      </w:r>
      <w:r w:rsidR="004A752F" w:rsidRPr="004A752F">
        <w:rPr>
          <w:sz w:val="24"/>
          <w:szCs w:val="24"/>
        </w:rPr>
        <w:t>, e</w:t>
      </w:r>
      <w:r w:rsidR="004A752F" w:rsidRPr="004A752F">
        <w:rPr>
          <w:sz w:val="24"/>
          <w:szCs w:val="24"/>
        </w:rPr>
        <w:t>mpregos existentes que exigem mudanças significativas nas tarefas, habilidades e conhecimentos</w:t>
      </w:r>
      <w:r w:rsidR="004A752F" w:rsidRPr="004A752F">
        <w:rPr>
          <w:sz w:val="24"/>
          <w:szCs w:val="24"/>
        </w:rPr>
        <w:t>;</w:t>
      </w:r>
      <w:r w:rsidR="004A752F" w:rsidRPr="004A752F">
        <w:rPr>
          <w:sz w:val="24"/>
          <w:szCs w:val="24"/>
        </w:rPr>
        <w:t xml:space="preserve"> </w:t>
      </w:r>
      <w:r w:rsidR="004A752F" w:rsidRPr="004A752F">
        <w:rPr>
          <w:i/>
          <w:iCs/>
          <w:sz w:val="24"/>
          <w:szCs w:val="24"/>
        </w:rPr>
        <w:t>Green Increased Demand</w:t>
      </w:r>
      <w:r w:rsidR="004A752F" w:rsidRPr="004A752F">
        <w:rPr>
          <w:sz w:val="24"/>
          <w:szCs w:val="24"/>
        </w:rPr>
        <w:t xml:space="preserve"> (ID)</w:t>
      </w:r>
      <w:r w:rsidR="004A752F" w:rsidRPr="004A752F">
        <w:rPr>
          <w:sz w:val="24"/>
          <w:szCs w:val="24"/>
        </w:rPr>
        <w:t>, e</w:t>
      </w:r>
      <w:r w:rsidR="004A752F" w:rsidRPr="004A752F">
        <w:rPr>
          <w:sz w:val="24"/>
          <w:szCs w:val="24"/>
        </w:rPr>
        <w:t>mpregos existentes de alta demanda devido, sem exigir mudanças significativas nas tarefas, habilidades ou conhecimentos</w:t>
      </w:r>
      <w:r w:rsidR="004A752F" w:rsidRPr="004A752F">
        <w:rPr>
          <w:sz w:val="24"/>
          <w:szCs w:val="24"/>
        </w:rPr>
        <w:t>;</w:t>
      </w:r>
      <w:r w:rsidR="004A752F" w:rsidRPr="004A752F">
        <w:rPr>
          <w:sz w:val="24"/>
          <w:szCs w:val="24"/>
        </w:rPr>
        <w:t xml:space="preserve"> e </w:t>
      </w:r>
      <w:r w:rsidR="004A752F" w:rsidRPr="004A752F">
        <w:rPr>
          <w:i/>
          <w:iCs/>
          <w:sz w:val="24"/>
          <w:szCs w:val="24"/>
        </w:rPr>
        <w:t>Green New &amp; Emerging</w:t>
      </w:r>
      <w:r w:rsidR="004A752F" w:rsidRPr="004A752F">
        <w:rPr>
          <w:sz w:val="24"/>
          <w:szCs w:val="24"/>
        </w:rPr>
        <w:t xml:space="preserve"> (NE)</w:t>
      </w:r>
      <w:r w:rsidR="004A752F" w:rsidRPr="004A752F">
        <w:rPr>
          <w:sz w:val="24"/>
          <w:szCs w:val="24"/>
        </w:rPr>
        <w:t>, n</w:t>
      </w:r>
      <w:r w:rsidR="004A752F" w:rsidRPr="004A752F">
        <w:rPr>
          <w:sz w:val="24"/>
          <w:szCs w:val="24"/>
        </w:rPr>
        <w:t>ovos empregos com requisitos únicos para os trabalhadores que atendem às necessidades específicas da economia verde.</w:t>
      </w:r>
    </w:p>
    <w:p w14:paraId="272D8154" w14:textId="77777777" w:rsidR="00C16EE6" w:rsidRPr="004A752F" w:rsidRDefault="00C16EE6" w:rsidP="00C16EE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A752F">
        <w:rPr>
          <w:sz w:val="24"/>
          <w:szCs w:val="24"/>
        </w:rPr>
        <w:t>A CBO, criada em 1977, passou por algumas reformulações até sua última atualização em 2002, estrutura na qual se agregam os empregos por habilidades cognitivas comuns e se referem às atividades exercidas pelo cidadão em emprego ou relação de trabalho. A nomenclatura da CBO 2002 é o conjunto de códigos e títulos que é utilizada na sua função enumerativa, composta por uma hierarquia com:10 grandes grupos (primeiro dígito); 47 subgrupos principais (segundo dígito); 196 subgrupos (terceiro dígito); e 596 grupos de base ou famílias ocupacionais (quarto dígito), onde se agrupam 2.422 ocupações.</w:t>
      </w:r>
    </w:p>
    <w:p w14:paraId="6AB1C1F9" w14:textId="4B581BF0" w:rsidR="00E3782C" w:rsidRDefault="00C16EE6" w:rsidP="00C16EE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D1630">
        <w:rPr>
          <w:sz w:val="24"/>
          <w:szCs w:val="24"/>
        </w:rPr>
        <w:t xml:space="preserve">Desse modo, foi realizada a leitura </w:t>
      </w:r>
      <w:r w:rsidR="000D1630" w:rsidRPr="000D1630">
        <w:rPr>
          <w:sz w:val="24"/>
          <w:szCs w:val="24"/>
        </w:rPr>
        <w:t>das linhas da O*NET-SOC Green Occupations e das atividades desempenhadas pelas famílias ocupacionais da CBO</w:t>
      </w:r>
      <w:r w:rsidR="004A752F" w:rsidRPr="000D1630">
        <w:rPr>
          <w:sz w:val="24"/>
          <w:szCs w:val="24"/>
        </w:rPr>
        <w:t>.</w:t>
      </w:r>
      <w:r w:rsidRPr="000D1630">
        <w:rPr>
          <w:sz w:val="24"/>
          <w:szCs w:val="24"/>
        </w:rPr>
        <w:t xml:space="preserve"> O critério </w:t>
      </w:r>
      <w:r w:rsidR="004A752F" w:rsidRPr="000D1630">
        <w:rPr>
          <w:sz w:val="24"/>
          <w:szCs w:val="24"/>
        </w:rPr>
        <w:t xml:space="preserve">de equivalência </w:t>
      </w:r>
      <w:r w:rsidRPr="000D1630">
        <w:rPr>
          <w:sz w:val="24"/>
          <w:szCs w:val="24"/>
        </w:rPr>
        <w:t>utilizado foi a descrição d</w:t>
      </w:r>
      <w:r w:rsidR="00F87FA1" w:rsidRPr="000D1630">
        <w:rPr>
          <w:sz w:val="24"/>
          <w:szCs w:val="24"/>
        </w:rPr>
        <w:t>as</w:t>
      </w:r>
      <w:r w:rsidR="004A752F" w:rsidRPr="000D1630">
        <w:rPr>
          <w:sz w:val="24"/>
          <w:szCs w:val="24"/>
        </w:rPr>
        <w:t xml:space="preserve"> atividades, não apenas o título das ocupações,</w:t>
      </w:r>
      <w:r w:rsidRPr="000D1630">
        <w:rPr>
          <w:sz w:val="24"/>
          <w:szCs w:val="24"/>
        </w:rPr>
        <w:t xml:space="preserve"> </w:t>
      </w:r>
      <w:r w:rsidR="000D1630" w:rsidRPr="000D1630">
        <w:rPr>
          <w:sz w:val="24"/>
          <w:szCs w:val="24"/>
        </w:rPr>
        <w:t>visando estabelecer a correspondência</w:t>
      </w:r>
      <w:r w:rsidRPr="000D1630">
        <w:rPr>
          <w:sz w:val="24"/>
          <w:szCs w:val="24"/>
        </w:rPr>
        <w:t xml:space="preserve"> </w:t>
      </w:r>
      <w:r w:rsidR="000D1630" w:rsidRPr="000D1630">
        <w:rPr>
          <w:sz w:val="24"/>
          <w:szCs w:val="24"/>
        </w:rPr>
        <w:t>entre os</w:t>
      </w:r>
      <w:r w:rsidR="00F87FA1" w:rsidRPr="000D1630">
        <w:rPr>
          <w:sz w:val="24"/>
          <w:szCs w:val="24"/>
        </w:rPr>
        <w:t xml:space="preserve"> códigos </w:t>
      </w:r>
      <w:r w:rsidRPr="000D1630">
        <w:rPr>
          <w:sz w:val="24"/>
          <w:szCs w:val="24"/>
        </w:rPr>
        <w:t xml:space="preserve">da O*NET-SOC </w:t>
      </w:r>
      <w:r w:rsidR="002A5942" w:rsidRPr="000D1630">
        <w:rPr>
          <w:i/>
          <w:iCs/>
          <w:sz w:val="24"/>
          <w:szCs w:val="24"/>
        </w:rPr>
        <w:t>Green Occupations</w:t>
      </w:r>
      <w:r w:rsidR="002A5942" w:rsidRPr="000D1630">
        <w:rPr>
          <w:sz w:val="24"/>
          <w:szCs w:val="24"/>
        </w:rPr>
        <w:t xml:space="preserve"> </w:t>
      </w:r>
      <w:r w:rsidRPr="000D1630">
        <w:rPr>
          <w:sz w:val="24"/>
          <w:szCs w:val="24"/>
        </w:rPr>
        <w:t xml:space="preserve">e </w:t>
      </w:r>
      <w:r w:rsidR="000D1630" w:rsidRPr="000D1630">
        <w:rPr>
          <w:sz w:val="24"/>
          <w:szCs w:val="24"/>
        </w:rPr>
        <w:t xml:space="preserve">os das </w:t>
      </w:r>
      <w:r w:rsidRPr="000D1630">
        <w:rPr>
          <w:sz w:val="24"/>
          <w:szCs w:val="24"/>
        </w:rPr>
        <w:t>famílias ocupacionais da CBO 2002</w:t>
      </w:r>
      <w:r w:rsidR="000D1630" w:rsidRPr="000D1630">
        <w:rPr>
          <w:sz w:val="24"/>
          <w:szCs w:val="24"/>
        </w:rPr>
        <w:t>.</w:t>
      </w:r>
    </w:p>
    <w:p w14:paraId="1D0C1E1B" w14:textId="77777777" w:rsidR="006072B1" w:rsidRDefault="006072B1" w:rsidP="009C4B75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71573541" w14:textId="4D930AA4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E82F3AD" w14:textId="2E6BBE8E" w:rsidR="00C16EE6" w:rsidRPr="00C16EE6" w:rsidRDefault="00C16EE6" w:rsidP="00C16EE6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C16EE6">
        <w:rPr>
          <w:sz w:val="24"/>
          <w:szCs w:val="24"/>
        </w:rPr>
        <w:t>O resultado foi a rea</w:t>
      </w:r>
      <w:r w:rsidR="00EC54D5">
        <w:rPr>
          <w:sz w:val="24"/>
          <w:szCs w:val="24"/>
        </w:rPr>
        <w:t>lização</w:t>
      </w:r>
      <w:r w:rsidRPr="00C16EE6">
        <w:rPr>
          <w:sz w:val="24"/>
          <w:szCs w:val="24"/>
        </w:rPr>
        <w:t xml:space="preserve"> de uma tabela de co</w:t>
      </w:r>
      <w:r w:rsidR="00512A02">
        <w:rPr>
          <w:sz w:val="24"/>
          <w:szCs w:val="24"/>
        </w:rPr>
        <w:t>rrespondêcia</w:t>
      </w:r>
      <w:r w:rsidRPr="00C16EE6">
        <w:rPr>
          <w:sz w:val="24"/>
          <w:szCs w:val="24"/>
        </w:rPr>
        <w:t xml:space="preserve"> entre os códigos e </w:t>
      </w:r>
      <w:r w:rsidRPr="00C16EE6">
        <w:rPr>
          <w:sz w:val="24"/>
          <w:szCs w:val="24"/>
        </w:rPr>
        <w:lastRenderedPageBreak/>
        <w:t xml:space="preserve">respectivas descrições das ocupações verdes O*NET-SOC </w:t>
      </w:r>
      <w:r w:rsidR="00512A02" w:rsidRPr="00512A02">
        <w:rPr>
          <w:i/>
          <w:iCs/>
          <w:sz w:val="24"/>
          <w:szCs w:val="24"/>
        </w:rPr>
        <w:t>Green Occupations</w:t>
      </w:r>
      <w:r w:rsidR="00512A02">
        <w:rPr>
          <w:sz w:val="24"/>
          <w:szCs w:val="24"/>
        </w:rPr>
        <w:t xml:space="preserve"> </w:t>
      </w:r>
      <w:r w:rsidRPr="00C16EE6">
        <w:rPr>
          <w:sz w:val="24"/>
          <w:szCs w:val="24"/>
        </w:rPr>
        <w:t xml:space="preserve">e CBO 2002. </w:t>
      </w:r>
      <w:r w:rsidR="00512A02">
        <w:rPr>
          <w:sz w:val="24"/>
          <w:szCs w:val="24"/>
        </w:rPr>
        <w:t>C</w:t>
      </w:r>
      <w:r w:rsidR="00512A02" w:rsidRPr="00C16EE6">
        <w:rPr>
          <w:sz w:val="24"/>
          <w:szCs w:val="24"/>
        </w:rPr>
        <w:t>onforme Quadro 1</w:t>
      </w:r>
      <w:r w:rsidR="00512A02">
        <w:rPr>
          <w:sz w:val="24"/>
          <w:szCs w:val="24"/>
        </w:rPr>
        <w:t>,</w:t>
      </w:r>
      <w:r w:rsidRPr="00C16EE6">
        <w:rPr>
          <w:sz w:val="24"/>
          <w:szCs w:val="24"/>
        </w:rPr>
        <w:t xml:space="preserve"> foi proposta </w:t>
      </w:r>
      <w:r w:rsidR="00512A02">
        <w:rPr>
          <w:sz w:val="24"/>
          <w:szCs w:val="24"/>
        </w:rPr>
        <w:t>a</w:t>
      </w:r>
      <w:r w:rsidRPr="00C16EE6">
        <w:rPr>
          <w:sz w:val="24"/>
          <w:szCs w:val="24"/>
        </w:rPr>
        <w:t xml:space="preserve"> CBO-verde, que fornece os códigos </w:t>
      </w:r>
      <w:r w:rsidR="00512A02">
        <w:rPr>
          <w:sz w:val="24"/>
          <w:szCs w:val="24"/>
        </w:rPr>
        <w:t xml:space="preserve">de ocupações verdes para </w:t>
      </w:r>
      <w:r w:rsidRPr="00C16EE6">
        <w:rPr>
          <w:sz w:val="24"/>
          <w:szCs w:val="24"/>
        </w:rPr>
        <w:t>as três categorias de esverdeamento. A co</w:t>
      </w:r>
      <w:r w:rsidR="00C61F3F">
        <w:rPr>
          <w:sz w:val="24"/>
          <w:szCs w:val="24"/>
        </w:rPr>
        <w:t>rrespondência</w:t>
      </w:r>
      <w:r w:rsidRPr="00C16EE6">
        <w:rPr>
          <w:sz w:val="24"/>
          <w:szCs w:val="24"/>
        </w:rPr>
        <w:t xml:space="preserve"> entre a grande maioria das ocupações permitirá construir indicadores e realizar análises padronizadas e comparativas em nível internacional.</w:t>
      </w:r>
    </w:p>
    <w:p w14:paraId="021079D3" w14:textId="741B6293" w:rsidR="00243512" w:rsidRDefault="00C16EE6" w:rsidP="00C16EE6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A229E9">
        <w:rPr>
          <w:sz w:val="24"/>
          <w:szCs w:val="24"/>
        </w:rPr>
        <w:t xml:space="preserve">Com relação ao tipo de ocupações, em geral, na primeira e segunda categorias estão químicos, zoologistas, montadores, técnicos, gerentes, arquitetos, entre outros. Já, na terceira categoria, estão especialistas em atividades ambientais muito específicas, como engenheiros de energia, de hidrelétricas e agentes de reciclagem. Neste último grupo, </w:t>
      </w:r>
      <w:r w:rsidR="00A229E9" w:rsidRPr="00A229E9">
        <w:rPr>
          <w:sz w:val="24"/>
          <w:szCs w:val="24"/>
        </w:rPr>
        <w:t>alguma</w:t>
      </w:r>
      <w:r w:rsidRPr="00A229E9">
        <w:rPr>
          <w:sz w:val="24"/>
          <w:szCs w:val="24"/>
        </w:rPr>
        <w:t xml:space="preserve">s ocupações brasileiras não tiveram correspondência com a norte-americana (como engenheiros de energia solar, eólica, de biomassa) muito provavelmente por conter habilidades exclusivas às atividades econômicas </w:t>
      </w:r>
      <w:r w:rsidR="00A229E9" w:rsidRPr="00A229E9">
        <w:rPr>
          <w:sz w:val="24"/>
          <w:szCs w:val="24"/>
        </w:rPr>
        <w:t xml:space="preserve">mais </w:t>
      </w:r>
      <w:r w:rsidRPr="00A229E9">
        <w:rPr>
          <w:sz w:val="24"/>
          <w:szCs w:val="24"/>
        </w:rPr>
        <w:t>avançadas, que exigem investimentos em tecnologias mais modernas, ainda indisponíveis no país.</w:t>
      </w:r>
    </w:p>
    <w:p w14:paraId="4EC17515" w14:textId="77777777" w:rsidR="00AD4CD9" w:rsidRDefault="00AD4CD9" w:rsidP="00516314">
      <w:pPr>
        <w:jc w:val="center"/>
        <w:rPr>
          <w:b/>
          <w:bCs/>
          <w:sz w:val="20"/>
          <w:szCs w:val="20"/>
        </w:rPr>
      </w:pPr>
    </w:p>
    <w:p w14:paraId="12CE6700" w14:textId="46EDD786" w:rsidR="00516314" w:rsidRPr="00516314" w:rsidRDefault="00516314" w:rsidP="00516314">
      <w:pPr>
        <w:jc w:val="center"/>
        <w:rPr>
          <w:b/>
          <w:bCs/>
          <w:sz w:val="20"/>
          <w:szCs w:val="20"/>
        </w:rPr>
      </w:pPr>
      <w:r w:rsidRPr="00516314">
        <w:rPr>
          <w:b/>
          <w:bCs/>
          <w:sz w:val="20"/>
          <w:szCs w:val="20"/>
        </w:rPr>
        <w:t>Quadro 1: Classificação Brasileira de Ocupações Verdes – co</w:t>
      </w:r>
      <w:r w:rsidR="00C61F3F">
        <w:rPr>
          <w:b/>
          <w:bCs/>
          <w:sz w:val="20"/>
          <w:szCs w:val="20"/>
        </w:rPr>
        <w:t>rrespondência</w:t>
      </w:r>
      <w:r w:rsidRPr="00516314">
        <w:rPr>
          <w:b/>
          <w:bCs/>
          <w:sz w:val="20"/>
          <w:szCs w:val="20"/>
        </w:rPr>
        <w:t xml:space="preserve"> entre os códigos O*NET – SOC </w:t>
      </w:r>
      <w:r w:rsidRPr="00516314">
        <w:rPr>
          <w:b/>
          <w:bCs/>
          <w:i/>
          <w:iCs/>
          <w:sz w:val="20"/>
          <w:szCs w:val="20"/>
        </w:rPr>
        <w:t xml:space="preserve">Green Occupations </w:t>
      </w:r>
      <w:r w:rsidRPr="00516314">
        <w:rPr>
          <w:b/>
          <w:bCs/>
          <w:sz w:val="20"/>
          <w:szCs w:val="20"/>
        </w:rPr>
        <w:t>e CBO 2002.</w:t>
      </w:r>
    </w:p>
    <w:tbl>
      <w:tblPr>
        <w:tblStyle w:val="Tabelacomgrade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88"/>
        <w:gridCol w:w="4819"/>
        <w:gridCol w:w="3258"/>
      </w:tblGrid>
      <w:tr w:rsidR="00516314" w:rsidRPr="003F6DD7" w14:paraId="4E1BFD20" w14:textId="77777777" w:rsidTr="007C3DDF">
        <w:tc>
          <w:tcPr>
            <w:tcW w:w="988" w:type="dxa"/>
            <w:shd w:val="clear" w:color="auto" w:fill="FFFFFF" w:themeFill="background1"/>
          </w:tcPr>
          <w:p w14:paraId="348FD224" w14:textId="77777777" w:rsidR="007A5461" w:rsidRPr="003F6DD7" w:rsidRDefault="00516314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Descrição/</w:t>
            </w:r>
          </w:p>
          <w:p w14:paraId="135227C5" w14:textId="13E0DD20" w:rsidR="00516314" w:rsidRPr="003F6DD7" w:rsidRDefault="00516314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Códigos</w:t>
            </w:r>
          </w:p>
        </w:tc>
        <w:tc>
          <w:tcPr>
            <w:tcW w:w="4819" w:type="dxa"/>
            <w:shd w:val="clear" w:color="auto" w:fill="FFFFFF" w:themeFill="background1"/>
          </w:tcPr>
          <w:p w14:paraId="51CC6FF4" w14:textId="305A3A65" w:rsidR="00516314" w:rsidRPr="003F6DD7" w:rsidRDefault="00516314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Código O*NET-SOC</w:t>
            </w:r>
            <w:r w:rsidR="00B86875" w:rsidRPr="003F6DD7">
              <w:rPr>
                <w:sz w:val="18"/>
                <w:szCs w:val="18"/>
              </w:rPr>
              <w:t xml:space="preserve"> </w:t>
            </w:r>
            <w:r w:rsidR="00B86875" w:rsidRPr="003F6DD7">
              <w:rPr>
                <w:i/>
                <w:iCs/>
                <w:sz w:val="18"/>
                <w:szCs w:val="18"/>
              </w:rPr>
              <w:t>Green Occupations</w:t>
            </w:r>
          </w:p>
        </w:tc>
        <w:tc>
          <w:tcPr>
            <w:tcW w:w="3258" w:type="dxa"/>
            <w:shd w:val="clear" w:color="auto" w:fill="FFFFFF" w:themeFill="background1"/>
          </w:tcPr>
          <w:p w14:paraId="2AEFD71B" w14:textId="77777777" w:rsidR="00516314" w:rsidRPr="003F6DD7" w:rsidRDefault="00516314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Códigos CBO 2002</w:t>
            </w:r>
          </w:p>
        </w:tc>
      </w:tr>
      <w:tr w:rsidR="00516314" w:rsidRPr="003F6DD7" w14:paraId="69AC15E0" w14:textId="77777777" w:rsidTr="007C3DDF">
        <w:tc>
          <w:tcPr>
            <w:tcW w:w="988" w:type="dxa"/>
            <w:shd w:val="clear" w:color="auto" w:fill="FFFFFF" w:themeFill="background1"/>
          </w:tcPr>
          <w:p w14:paraId="60028E7D" w14:textId="77777777" w:rsidR="00516314" w:rsidRPr="003F6DD7" w:rsidRDefault="00516314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Green Enhanced Skills</w:t>
            </w:r>
          </w:p>
          <w:p w14:paraId="22CA980F" w14:textId="6D6E849A" w:rsidR="00C63CED" w:rsidRPr="003F6DD7" w:rsidRDefault="00C63CED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(ES)</w:t>
            </w:r>
          </w:p>
        </w:tc>
        <w:tc>
          <w:tcPr>
            <w:tcW w:w="4819" w:type="dxa"/>
            <w:shd w:val="clear" w:color="auto" w:fill="FFFFFF" w:themeFill="background1"/>
          </w:tcPr>
          <w:p w14:paraId="34A98E24" w14:textId="23332F6C" w:rsidR="00AD4CD9" w:rsidRPr="003F6DD7" w:rsidRDefault="00AD4CD9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11-1021.00; 11-2021.00; 11-3071.01; 11-3071.02; 11-9013.02; 11-9021.00; 11-9041.00</w:t>
            </w:r>
          </w:p>
          <w:p w14:paraId="51382C59" w14:textId="366851C7" w:rsidR="00516314" w:rsidRPr="003F6DD7" w:rsidRDefault="00AD4CD9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13-1022.00; 13-1151.00; 13-2051.00; 13-2052.00; 17-1011.00; 17-1012.00; 17-2011.00; 17-2051.00; 17-2071.00; 17-2072.00; 17-2081.00; 17-2141.00; 17-2161.00; 17-3023.03; 17-3024.00; 17-3025.00; 17-3026.00; 19-1013.00; 19-1031.01; 19-2021.00; 19-2042.00; 19-3051.00; 19-4011.01; 19-4041.01; 19-4041.02; 19-4051.01; 19-4091.00; 23-1022.00; 27-3022.00; 27-3031.00; 29-9012.00; 41-4011.00; 43-5071.00; 47-2061.00; 47-2152.01; 47-2152.02; 47-2181.00; 47-2211.00; 47-4011.00; 47-4041.00; 47-5013.00; 47-5041.00; 49-3023.02; 49-3031.00; 49-9021.01; 49-9071.00; 51-2011.00; 51-4041.00; 51-8011.00; 51-8013.00; 51-9012.00; 51-9061.00; 53-3032.00; 53-6051.07; 53-7081.00</w:t>
            </w:r>
          </w:p>
        </w:tc>
        <w:tc>
          <w:tcPr>
            <w:tcW w:w="3258" w:type="dxa"/>
            <w:shd w:val="clear" w:color="auto" w:fill="FFFFFF" w:themeFill="background1"/>
          </w:tcPr>
          <w:p w14:paraId="5A22EC3F" w14:textId="450D7335" w:rsidR="000463B9" w:rsidRPr="003F6DD7" w:rsidRDefault="000463B9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 xml:space="preserve">1423-15; 1416-05; 4141-25; 1411-15; 1413-05; 2141-05; 2332-10; 2525-45; 3511-15; 2141-25; 2141-20; 2144-25; 2142-05; 2143-10; 2143-20; 2140-05; 2144-05; 2144-15; 2143-05; 3003-05; </w:t>
            </w:r>
          </w:p>
          <w:p w14:paraId="383863EF" w14:textId="09AEECB2" w:rsidR="000463B9" w:rsidRPr="003F6DD7" w:rsidRDefault="000463B9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 xml:space="preserve">2140-10; 2144-20; 2034-05; 2133-15; 2134-05; </w:t>
            </w:r>
          </w:p>
          <w:p w14:paraId="730A354F" w14:textId="5E1AF284" w:rsidR="00516314" w:rsidRPr="003F6DD7" w:rsidRDefault="000463B9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2141-30; 3211-05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3161-05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3161-10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2131-55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3115-05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3514-35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2611-25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1423-25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3547-05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4141-40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7152-10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3148-25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7241-10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8281-05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2146-15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7102-05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8621-55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7112-20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3143-05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9144-25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3141-15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9102-05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7256-05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9192-05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8611-20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8612-05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8114-30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3912-05</w:t>
            </w:r>
            <w:r w:rsidR="003241E6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7825-10</w:t>
            </w:r>
          </w:p>
        </w:tc>
      </w:tr>
      <w:tr w:rsidR="00516314" w:rsidRPr="003F6DD7" w14:paraId="08DB0C54" w14:textId="77777777" w:rsidTr="007C3DDF">
        <w:tc>
          <w:tcPr>
            <w:tcW w:w="988" w:type="dxa"/>
            <w:shd w:val="clear" w:color="auto" w:fill="FFFFFF" w:themeFill="background1"/>
          </w:tcPr>
          <w:p w14:paraId="4E5A2E6A" w14:textId="77777777" w:rsidR="00516314" w:rsidRPr="003F6DD7" w:rsidRDefault="00516314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Green Increased Demand</w:t>
            </w:r>
          </w:p>
          <w:p w14:paraId="09D02E16" w14:textId="5D3DA8F5" w:rsidR="00C63CED" w:rsidRPr="003F6DD7" w:rsidRDefault="00C63CED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(ID)</w:t>
            </w:r>
          </w:p>
        </w:tc>
        <w:tc>
          <w:tcPr>
            <w:tcW w:w="4819" w:type="dxa"/>
            <w:shd w:val="clear" w:color="auto" w:fill="FFFFFF" w:themeFill="background1"/>
          </w:tcPr>
          <w:p w14:paraId="1284B133" w14:textId="26AC0E54" w:rsidR="00516314" w:rsidRPr="003F6DD7" w:rsidRDefault="0002314E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11-3051.00; 11-9121.00; 13-1021.00; 15-1133.00; 17-2041.00; 17-2112.00; 17-3011.01; 17-3023.01; 19-1023.00; 19-2031.00; 19-2032.00; 19-2041.00; 19-2043.00; 19-4031.00; 19-4093.00; 25-9021.00; 27-1021.00; 17-2111.01; 29-9011.00; 33-3031.00; 43-4051.00; 43-5032.00; 43-5061.00; 45-1011.05; 45-1011.07; 45-2011.00; 45-4011.00; 47-2011.00; 47-2031.01; 47-2031.02; 47-2051.00; 47-2073.00; 47-2111.00; 47-2131.00; 47-2221.00; 47-3012.00; 47-4061.00; 49-1011.00; 49-2094.00; 49-9021.02; 49-9041.00; 49-9044.00; 49-9051.00; 49-9098.00; 51-1011.00; 51-2022.00; 51-2031.00; 51-2041.00; 51-2092.00; 51-4011.00; 51-4031.00; 51-4032.00; 51-4121.06; 51-4121.07; 51-8012.00; 51-8021.00; 51-8091.00; 51-9011.00; 51-9023.00; 53-3021.00; 53-4011.00; 53-4031.00; 53-7051.00; 53-7062.00</w:t>
            </w:r>
          </w:p>
        </w:tc>
        <w:tc>
          <w:tcPr>
            <w:tcW w:w="3258" w:type="dxa"/>
            <w:shd w:val="clear" w:color="auto" w:fill="FFFFFF" w:themeFill="background1"/>
          </w:tcPr>
          <w:p w14:paraId="078EB5A4" w14:textId="7911450B" w:rsidR="00516314" w:rsidRPr="003F6DD7" w:rsidRDefault="00326A3C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>2149-30; 2313-05; 6410-10; 2124-05; 2145-05; 3185-05; 2143-30; 2030-10; 2132-05; 2146-05; 2142-35; 3111-05; 3212-10; 2624-20; 3516-05; 2221-15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4201-35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4231-05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3911-25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3212-05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3522-05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2221-20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7201-10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7155-25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7155-05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7161-05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8621-50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3131-30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7244-10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7155-15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9911-15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7313-05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9112-05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9113-05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3144-10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2143-60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3131-15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7311-35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7254-15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7242-05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7255-10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3172-05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7101-15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7112-25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7243-15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7243-05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8611-10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8621-20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8110-05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8131-25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8111-10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7824-05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7826-10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7823-10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7112-05</w:t>
            </w:r>
            <w:r w:rsidR="00AC5F54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2527-25</w:t>
            </w:r>
          </w:p>
        </w:tc>
      </w:tr>
      <w:tr w:rsidR="00516314" w:rsidRPr="003F6DD7" w14:paraId="4DF37829" w14:textId="77777777" w:rsidTr="007C3DDF">
        <w:tc>
          <w:tcPr>
            <w:tcW w:w="988" w:type="dxa"/>
            <w:shd w:val="clear" w:color="auto" w:fill="FFFFFF" w:themeFill="background1"/>
          </w:tcPr>
          <w:p w14:paraId="6EFBAEB8" w14:textId="77777777" w:rsidR="00516314" w:rsidRPr="003F6DD7" w:rsidRDefault="00516314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Green New &amp; Emerging</w:t>
            </w:r>
          </w:p>
          <w:p w14:paraId="5674AB63" w14:textId="36958953" w:rsidR="00C63CED" w:rsidRPr="003F6DD7" w:rsidRDefault="00C63CED" w:rsidP="00251EDE">
            <w:pPr>
              <w:rPr>
                <w:i/>
                <w:iCs/>
                <w:sz w:val="18"/>
                <w:szCs w:val="18"/>
              </w:rPr>
            </w:pPr>
            <w:r w:rsidRPr="003F6DD7">
              <w:rPr>
                <w:i/>
                <w:iCs/>
                <w:sz w:val="18"/>
                <w:szCs w:val="18"/>
              </w:rPr>
              <w:t>(NE)</w:t>
            </w:r>
          </w:p>
        </w:tc>
        <w:tc>
          <w:tcPr>
            <w:tcW w:w="4819" w:type="dxa"/>
            <w:shd w:val="clear" w:color="auto" w:fill="FFFFFF" w:themeFill="background1"/>
          </w:tcPr>
          <w:p w14:paraId="54DFC9A2" w14:textId="21560EF4" w:rsidR="00516314" w:rsidRPr="003F6DD7" w:rsidRDefault="00213E30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t xml:space="preserve">11-1011.03; 11-2011.01; 11-3051.02; 11-3051.03; 11-3051.04; 11-3051.05; 11-3051.06; 11-3071.03; 11-9041.01; 11-9121.02; 11-9199.01; 11-9199.02; 11-9199.04; 11-9199.09; 11-9199.10; 11-9199.11; 13-1041.07; 13-1081.01; 13-1081.02; 13-1199.01; 13-1199.05; 13-2099.01; 13-2099.02; 13-2099.03; 15-1199.04; </w:t>
            </w:r>
            <w:r w:rsidRPr="003F6DD7">
              <w:rPr>
                <w:sz w:val="18"/>
                <w:szCs w:val="18"/>
              </w:rPr>
              <w:lastRenderedPageBreak/>
              <w:t>15-1199.05; 17-2051.01; 17-2081.01; 17-2141.01; 17-2141.02; 17-2199.01; 17-2199.02; 17-2199.03; 17-2199.04; 17-2199.05; 17-2199.06; 17-2199.08; 17-2199.09; 17-2199.10; 17-2199.11; 17-3024.01; 17-3027.01; 17-3029.02; 17-3029.04; 17-3029.03; 17-3029.05; 17-3029.06; 17-3029.07; 17-2199.07; 17-3029.08; 17-3029.09; 17-3029.10; 17-3029.11; 17-3029.12; 19-2041.01; 19-2041.02; 19-2041.03; 19-3011.01; 19-3099.01; 19-4099.02; 19-2099.01; 19-4099.03; 41-3031.03; 41-3099.01; 41-4011.07; 43-5011.01; 47-1011.03; 47-2231.00; 47-4099.02; 47-4099.03; 49-9081.00; 49-9099.01; 51-8099.01; 51-8099.02; 51-8099.03; 51-8099.04; 51-9199.01; 53-1021.01</w:t>
            </w:r>
          </w:p>
        </w:tc>
        <w:tc>
          <w:tcPr>
            <w:tcW w:w="3258" w:type="dxa"/>
            <w:shd w:val="clear" w:color="auto" w:fill="FFFFFF" w:themeFill="background1"/>
          </w:tcPr>
          <w:p w14:paraId="7C4469A3" w14:textId="5E1678B9" w:rsidR="00FF665E" w:rsidRPr="003F6DD7" w:rsidRDefault="00FF665E" w:rsidP="00251EDE">
            <w:pPr>
              <w:rPr>
                <w:sz w:val="18"/>
                <w:szCs w:val="18"/>
              </w:rPr>
            </w:pPr>
            <w:r w:rsidRPr="003F6DD7">
              <w:rPr>
                <w:sz w:val="18"/>
                <w:szCs w:val="18"/>
              </w:rPr>
              <w:lastRenderedPageBreak/>
              <w:t xml:space="preserve">8611-05; 1416-15; 2410-30; 1227-25; 2512-20; 1423-10; 2149-45; 2527-15; 1421-15; 1421-10; 2321-35; 2142-70; 2021-10; 2143-75; 1412-05; 2021-05; 3001-10; 2144-10; 2032-15; 2032-20; </w:t>
            </w:r>
            <w:r w:rsidRPr="003F6DD7">
              <w:rPr>
                <w:sz w:val="18"/>
                <w:szCs w:val="18"/>
              </w:rPr>
              <w:lastRenderedPageBreak/>
              <w:t>3135-05; 3912-10; 3112-05; 1144-05; 2030-05; 2512-30; 1226-20; 2331-15; 2618-05</w:t>
            </w:r>
            <w:r w:rsidR="00251EDE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2533-05</w:t>
            </w:r>
            <w:r w:rsidR="00251EDE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1418-2</w:t>
            </w:r>
            <w:r w:rsidR="00A07860" w:rsidRPr="003F6DD7">
              <w:rPr>
                <w:sz w:val="18"/>
                <w:szCs w:val="18"/>
              </w:rPr>
              <w:t xml:space="preserve">0; </w:t>
            </w:r>
            <w:r w:rsidRPr="003F6DD7">
              <w:rPr>
                <w:sz w:val="18"/>
                <w:szCs w:val="18"/>
              </w:rPr>
              <w:t>7321-40</w:t>
            </w:r>
            <w:r w:rsidR="00A07860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3123-15</w:t>
            </w:r>
            <w:r w:rsidR="00A07860" w:rsidRPr="003F6DD7">
              <w:rPr>
                <w:sz w:val="18"/>
                <w:szCs w:val="18"/>
              </w:rPr>
              <w:t xml:space="preserve">; </w:t>
            </w:r>
            <w:r w:rsidRPr="003F6DD7">
              <w:rPr>
                <w:sz w:val="18"/>
                <w:szCs w:val="18"/>
              </w:rPr>
              <w:t>5192-05</w:t>
            </w:r>
          </w:p>
          <w:p w14:paraId="67957EA2" w14:textId="77777777" w:rsidR="00FF665E" w:rsidRPr="003F6DD7" w:rsidRDefault="00FF665E" w:rsidP="00251EDE">
            <w:pPr>
              <w:rPr>
                <w:sz w:val="18"/>
                <w:szCs w:val="18"/>
              </w:rPr>
            </w:pPr>
          </w:p>
          <w:p w14:paraId="2FB29A2E" w14:textId="77777777" w:rsidR="00F2364E" w:rsidRPr="003F6DD7" w:rsidRDefault="00F2364E" w:rsidP="00251EDE">
            <w:pPr>
              <w:rPr>
                <w:sz w:val="18"/>
                <w:szCs w:val="18"/>
              </w:rPr>
            </w:pPr>
          </w:p>
          <w:p w14:paraId="28472F6F" w14:textId="462D39E6" w:rsidR="00516314" w:rsidRPr="003F6DD7" w:rsidRDefault="00516314" w:rsidP="00251EDE">
            <w:pPr>
              <w:rPr>
                <w:sz w:val="18"/>
                <w:szCs w:val="18"/>
              </w:rPr>
            </w:pPr>
          </w:p>
        </w:tc>
      </w:tr>
    </w:tbl>
    <w:p w14:paraId="105597A3" w14:textId="77777777" w:rsidR="00516314" w:rsidRPr="00203C16" w:rsidRDefault="00516314" w:rsidP="00516314">
      <w:pPr>
        <w:jc w:val="both"/>
        <w:rPr>
          <w:sz w:val="20"/>
          <w:szCs w:val="20"/>
        </w:rPr>
      </w:pPr>
      <w:r w:rsidRPr="00203C16">
        <w:rPr>
          <w:sz w:val="20"/>
          <w:szCs w:val="20"/>
        </w:rPr>
        <w:lastRenderedPageBreak/>
        <w:t xml:space="preserve">Fonte: Elaboração própria a partir de O*NET-SOC </w:t>
      </w:r>
      <w:r w:rsidRPr="004F581B">
        <w:rPr>
          <w:i/>
          <w:iCs/>
          <w:sz w:val="20"/>
          <w:szCs w:val="20"/>
        </w:rPr>
        <w:t>Green Occupations</w:t>
      </w:r>
      <w:r>
        <w:rPr>
          <w:sz w:val="20"/>
          <w:szCs w:val="20"/>
        </w:rPr>
        <w:t xml:space="preserve"> </w:t>
      </w:r>
      <w:r w:rsidRPr="00203C16">
        <w:rPr>
          <w:sz w:val="20"/>
          <w:szCs w:val="20"/>
        </w:rPr>
        <w:t>e MTE.</w:t>
      </w:r>
    </w:p>
    <w:p w14:paraId="37C498F1" w14:textId="7FF4D064" w:rsidR="00516314" w:rsidRDefault="00C63CED" w:rsidP="00516314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B12DA61" w14:textId="14D40E87" w:rsidR="002549F8" w:rsidRPr="00512A02" w:rsidRDefault="002549F8" w:rsidP="00516314">
      <w:pPr>
        <w:pStyle w:val="Corpodetexto"/>
        <w:spacing w:line="360" w:lineRule="auto"/>
        <w:jc w:val="both"/>
        <w:rPr>
          <w:sz w:val="24"/>
          <w:szCs w:val="24"/>
        </w:rPr>
      </w:pPr>
      <w:r w:rsidRPr="00512A02">
        <w:rPr>
          <w:sz w:val="24"/>
          <w:szCs w:val="24"/>
        </w:rPr>
        <w:tab/>
      </w:r>
      <w:r w:rsidR="00512A02" w:rsidRPr="00512A02">
        <w:rPr>
          <w:sz w:val="24"/>
          <w:szCs w:val="24"/>
        </w:rPr>
        <w:t xml:space="preserve">Uma das limitações da CBO, é que não há correspondência para certas ocupações definidas pela classificação internacional O*NET-SOC </w:t>
      </w:r>
      <w:r w:rsidR="00512A02" w:rsidRPr="00512A02">
        <w:rPr>
          <w:i/>
          <w:iCs/>
          <w:sz w:val="24"/>
          <w:szCs w:val="24"/>
        </w:rPr>
        <w:t>Green Occupations</w:t>
      </w:r>
      <w:r w:rsidR="00512A02" w:rsidRPr="00512A02">
        <w:rPr>
          <w:sz w:val="24"/>
          <w:szCs w:val="24"/>
        </w:rPr>
        <w:t xml:space="preserve">. </w:t>
      </w:r>
    </w:p>
    <w:p w14:paraId="0C71B497" w14:textId="69E7D4F3" w:rsidR="002549F8" w:rsidRDefault="002549F8" w:rsidP="00516314">
      <w:pPr>
        <w:pStyle w:val="Corpodetexto"/>
        <w:spacing w:line="360" w:lineRule="auto"/>
        <w:jc w:val="both"/>
        <w:rPr>
          <w:sz w:val="24"/>
          <w:szCs w:val="24"/>
        </w:rPr>
      </w:pPr>
      <w:r w:rsidRPr="000613E2">
        <w:rPr>
          <w:sz w:val="24"/>
          <w:szCs w:val="24"/>
        </w:rPr>
        <w:tab/>
      </w:r>
      <w:r w:rsidR="000613E2">
        <w:rPr>
          <w:sz w:val="24"/>
          <w:szCs w:val="24"/>
        </w:rPr>
        <w:t xml:space="preserve">Dentre perspectivas de validação da metodologia, a partir da base </w:t>
      </w:r>
      <w:r w:rsidR="000613E2">
        <w:rPr>
          <w:sz w:val="24"/>
          <w:szCs w:val="24"/>
        </w:rPr>
        <w:t>Relação Anual de Informações Sociais (RAIS) do Ministério do Trabalho e Emprego (MTE)</w:t>
      </w:r>
      <w:r w:rsidR="000613E2">
        <w:rPr>
          <w:sz w:val="24"/>
          <w:szCs w:val="24"/>
        </w:rPr>
        <w:t xml:space="preserve"> é possível buscar número e qualificação (rendimento, escolaridade, região e faixa etária) dessas ocupações verdes em diversos setores da atividade econômica, tal que gere: mapeamento nacional; teste de hipóteses geradas pela literatura (setores com maior impacto ambiental concentram os empregos verdes, por exemplo); identificação do impacto do comércio internacional sobre ocupações verdes; e discussão de gênero no âmbito dos empregos verdes.</w:t>
      </w:r>
    </w:p>
    <w:p w14:paraId="34C70A03" w14:textId="021F93FA" w:rsidR="002549F8" w:rsidRDefault="002549F8" w:rsidP="001A39BD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Como exemplo de aplicação prática, Schinqualha (2025) </w:t>
      </w:r>
      <w:r w:rsidR="009E0251">
        <w:rPr>
          <w:sz w:val="24"/>
          <w:szCs w:val="24"/>
        </w:rPr>
        <w:t>utilizou esta classificação de CBOs verdes no Brasil para identificar em quais setores, conforme impacto ambiental durante ciclo de vida do produto, se concentraram os empregos verdes</w:t>
      </w:r>
      <w:r w:rsidR="0018595D">
        <w:rPr>
          <w:sz w:val="24"/>
          <w:szCs w:val="24"/>
        </w:rPr>
        <w:t>, por meio da RAIS</w:t>
      </w:r>
      <w:r w:rsidR="007A3A0A">
        <w:rPr>
          <w:sz w:val="24"/>
          <w:szCs w:val="24"/>
        </w:rPr>
        <w:t xml:space="preserve">. </w:t>
      </w:r>
      <w:r w:rsidR="001A39BD">
        <w:rPr>
          <w:sz w:val="24"/>
          <w:szCs w:val="24"/>
        </w:rPr>
        <w:t>O</w:t>
      </w:r>
      <w:r w:rsidR="001A39BD" w:rsidRPr="001A39BD">
        <w:rPr>
          <w:sz w:val="24"/>
          <w:szCs w:val="24"/>
        </w:rPr>
        <w:t>s</w:t>
      </w:r>
      <w:r w:rsidR="001A39BD">
        <w:rPr>
          <w:sz w:val="24"/>
          <w:szCs w:val="24"/>
        </w:rPr>
        <w:t xml:space="preserve"> </w:t>
      </w:r>
      <w:r w:rsidR="001A39BD" w:rsidRPr="001A39BD">
        <w:rPr>
          <w:sz w:val="24"/>
          <w:szCs w:val="24"/>
        </w:rPr>
        <w:t xml:space="preserve">empregos verdes no Brasil cresceram continuamente </w:t>
      </w:r>
      <w:r w:rsidR="001A39BD">
        <w:rPr>
          <w:sz w:val="24"/>
          <w:szCs w:val="24"/>
        </w:rPr>
        <w:t>entre 2014 e 2024 (de 1 a 14 milhões</w:t>
      </w:r>
      <w:r w:rsidR="00D55966">
        <w:rPr>
          <w:sz w:val="24"/>
          <w:szCs w:val="24"/>
        </w:rPr>
        <w:t>, representando cerca de 3% do total formal</w:t>
      </w:r>
      <w:r w:rsidR="001A39BD">
        <w:rPr>
          <w:sz w:val="24"/>
          <w:szCs w:val="24"/>
        </w:rPr>
        <w:t>)</w:t>
      </w:r>
      <w:r w:rsidR="001A39BD" w:rsidRPr="001A39BD">
        <w:rPr>
          <w:sz w:val="24"/>
          <w:szCs w:val="24"/>
        </w:rPr>
        <w:t>, com destaque</w:t>
      </w:r>
      <w:r w:rsidR="001A39BD">
        <w:rPr>
          <w:sz w:val="24"/>
          <w:szCs w:val="24"/>
        </w:rPr>
        <w:t xml:space="preserve"> </w:t>
      </w:r>
      <w:r w:rsidR="001A39BD" w:rsidRPr="001A39BD">
        <w:rPr>
          <w:sz w:val="24"/>
          <w:szCs w:val="24"/>
        </w:rPr>
        <w:t xml:space="preserve">para </w:t>
      </w:r>
      <w:r w:rsidR="001A39BD">
        <w:rPr>
          <w:sz w:val="24"/>
          <w:szCs w:val="24"/>
        </w:rPr>
        <w:t xml:space="preserve">atividades intensivas no consumo final </w:t>
      </w:r>
      <w:r w:rsidR="00D55966">
        <w:rPr>
          <w:sz w:val="24"/>
          <w:szCs w:val="24"/>
        </w:rPr>
        <w:t xml:space="preserve">(como eletrônicos) </w:t>
      </w:r>
      <w:r w:rsidR="001A39BD">
        <w:rPr>
          <w:sz w:val="24"/>
          <w:szCs w:val="24"/>
        </w:rPr>
        <w:t>e em recursos naturais</w:t>
      </w:r>
      <w:r w:rsidR="00D55966">
        <w:rPr>
          <w:sz w:val="24"/>
          <w:szCs w:val="24"/>
        </w:rPr>
        <w:t xml:space="preserve"> (commo agropecuário)</w:t>
      </w:r>
      <w:r w:rsidR="001A39BD">
        <w:rPr>
          <w:sz w:val="24"/>
          <w:szCs w:val="24"/>
        </w:rPr>
        <w:t>, sobretudo na categoria ocupacional de demanda crescente (</w:t>
      </w:r>
      <w:r w:rsidR="001A39BD" w:rsidRPr="001A39BD">
        <w:rPr>
          <w:i/>
          <w:iCs/>
          <w:sz w:val="24"/>
          <w:szCs w:val="24"/>
        </w:rPr>
        <w:t>Green Increased Demand</w:t>
      </w:r>
      <w:r w:rsidR="001A39BD">
        <w:rPr>
          <w:sz w:val="24"/>
          <w:szCs w:val="24"/>
        </w:rPr>
        <w:t xml:space="preserve">). </w:t>
      </w:r>
    </w:p>
    <w:p w14:paraId="181AE88D" w14:textId="77777777" w:rsidR="007A3A0A" w:rsidRPr="005F70B0" w:rsidRDefault="007A3A0A" w:rsidP="001A39BD">
      <w:pPr>
        <w:pStyle w:val="Corpodetexto"/>
        <w:spacing w:line="360" w:lineRule="auto"/>
        <w:jc w:val="both"/>
        <w:rPr>
          <w:sz w:val="24"/>
          <w:szCs w:val="24"/>
        </w:rPr>
      </w:pPr>
    </w:p>
    <w:p w14:paraId="1C25DF7A" w14:textId="7E6850CE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 xml:space="preserve">Conclusão </w:t>
      </w:r>
    </w:p>
    <w:p w14:paraId="04B92DA2" w14:textId="6981CFE6" w:rsidR="00787FA3" w:rsidRPr="00787FA3" w:rsidRDefault="00787FA3" w:rsidP="00787FA3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87FA3">
        <w:rPr>
          <w:sz w:val="24"/>
          <w:szCs w:val="24"/>
        </w:rPr>
        <w:t>Pesquisas em empregos verdes são importantes</w:t>
      </w:r>
      <w:r w:rsidR="00EC05C6">
        <w:rPr>
          <w:sz w:val="24"/>
          <w:szCs w:val="24"/>
        </w:rPr>
        <w:t xml:space="preserve">, têm sido realizados estudos, porém falta um padrão metodológico para a avaliação das ocupações verdes no Brasil. </w:t>
      </w:r>
      <w:r w:rsidRPr="00787FA3">
        <w:rPr>
          <w:sz w:val="24"/>
          <w:szCs w:val="24"/>
        </w:rPr>
        <w:t>Evidências nos EUA sugerem que, a par</w:t>
      </w:r>
      <w:r w:rsidR="00D6381F">
        <w:rPr>
          <w:sz w:val="24"/>
          <w:szCs w:val="24"/>
        </w:rPr>
        <w:t xml:space="preserve">tir </w:t>
      </w:r>
      <w:r w:rsidRPr="00787FA3">
        <w:rPr>
          <w:sz w:val="24"/>
          <w:szCs w:val="24"/>
        </w:rPr>
        <w:t xml:space="preserve">da O*NET-SOC </w:t>
      </w:r>
      <w:r w:rsidRPr="00DF25C5">
        <w:rPr>
          <w:i/>
          <w:iCs/>
          <w:sz w:val="24"/>
          <w:szCs w:val="24"/>
        </w:rPr>
        <w:t>Green Ocupations</w:t>
      </w:r>
      <w:r w:rsidRPr="00787FA3">
        <w:rPr>
          <w:sz w:val="24"/>
          <w:szCs w:val="24"/>
        </w:rPr>
        <w:t xml:space="preserve">, tais </w:t>
      </w:r>
      <w:r w:rsidR="00D6381F">
        <w:rPr>
          <w:sz w:val="24"/>
          <w:szCs w:val="24"/>
        </w:rPr>
        <w:t>empregos</w:t>
      </w:r>
      <w:r w:rsidRPr="00787FA3">
        <w:rPr>
          <w:sz w:val="24"/>
          <w:szCs w:val="24"/>
        </w:rPr>
        <w:t xml:space="preserve"> recebem maiores salários, apresentam grau elevado de escolaridade, estão localizad</w:t>
      </w:r>
      <w:r w:rsidR="00D6381F">
        <w:rPr>
          <w:sz w:val="24"/>
          <w:szCs w:val="24"/>
        </w:rPr>
        <w:t>os</w:t>
      </w:r>
      <w:r w:rsidRPr="00787FA3">
        <w:rPr>
          <w:sz w:val="24"/>
          <w:szCs w:val="24"/>
        </w:rPr>
        <w:t xml:space="preserve"> em regiões mais industrializadas e em setores de alta intensidade tecnológica. </w:t>
      </w:r>
    </w:p>
    <w:p w14:paraId="1459CD48" w14:textId="08B7557B" w:rsidR="009C4B75" w:rsidRDefault="00787FA3" w:rsidP="00787FA3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4C1434">
        <w:rPr>
          <w:sz w:val="24"/>
          <w:szCs w:val="24"/>
        </w:rPr>
        <w:t xml:space="preserve">O objetivo deste </w:t>
      </w:r>
      <w:r w:rsidR="004C1434">
        <w:rPr>
          <w:sz w:val="24"/>
          <w:szCs w:val="24"/>
        </w:rPr>
        <w:t>trabalho</w:t>
      </w:r>
      <w:r w:rsidRPr="004C1434">
        <w:rPr>
          <w:sz w:val="24"/>
          <w:szCs w:val="24"/>
        </w:rPr>
        <w:t xml:space="preserve"> foi propor um</w:t>
      </w:r>
      <w:r w:rsidR="004C1434" w:rsidRPr="004C1434">
        <w:rPr>
          <w:sz w:val="24"/>
          <w:szCs w:val="24"/>
        </w:rPr>
        <w:t xml:space="preserve"> método para levantamento </w:t>
      </w:r>
      <w:r w:rsidR="004C1434">
        <w:rPr>
          <w:sz w:val="24"/>
          <w:szCs w:val="24"/>
        </w:rPr>
        <w:t>das ocupações verdes</w:t>
      </w:r>
      <w:r w:rsidR="004C1434" w:rsidRPr="004C1434">
        <w:rPr>
          <w:sz w:val="24"/>
          <w:szCs w:val="24"/>
        </w:rPr>
        <w:t xml:space="preserve"> no Brasil, que resultou numa tabela de correspondências</w:t>
      </w:r>
      <w:r w:rsidRPr="004C1434">
        <w:rPr>
          <w:sz w:val="24"/>
          <w:szCs w:val="24"/>
        </w:rPr>
        <w:t xml:space="preserve"> entre as descrições e códigos da O*NET-SOC </w:t>
      </w:r>
      <w:r w:rsidRPr="004C1434">
        <w:rPr>
          <w:i/>
          <w:iCs/>
          <w:sz w:val="24"/>
          <w:szCs w:val="24"/>
        </w:rPr>
        <w:t>Green Occupatons</w:t>
      </w:r>
      <w:r w:rsidRPr="004C1434">
        <w:rPr>
          <w:sz w:val="24"/>
          <w:szCs w:val="24"/>
        </w:rPr>
        <w:t xml:space="preserve"> e a CBO 2002. </w:t>
      </w:r>
      <w:r w:rsidRPr="00DD3DEB">
        <w:rPr>
          <w:sz w:val="24"/>
          <w:szCs w:val="24"/>
        </w:rPr>
        <w:t xml:space="preserve">Os resultados mostraram que há </w:t>
      </w:r>
      <w:r w:rsidRPr="00DD3DEB">
        <w:rPr>
          <w:sz w:val="24"/>
          <w:szCs w:val="24"/>
        </w:rPr>
        <w:lastRenderedPageBreak/>
        <w:t>compatibilidade para a grande maioria das ocupações, o que</w:t>
      </w:r>
      <w:r w:rsidRPr="00787FA3">
        <w:rPr>
          <w:sz w:val="24"/>
          <w:szCs w:val="24"/>
        </w:rPr>
        <w:t xml:space="preserve"> permite construir indicadores padronizados e passíveis de comparação em nível internacional</w:t>
      </w:r>
      <w:r w:rsidR="00DD3DEB">
        <w:rPr>
          <w:sz w:val="24"/>
          <w:szCs w:val="24"/>
        </w:rPr>
        <w:t>, no que tange à estimação e qualificação.</w:t>
      </w:r>
      <w:r w:rsidRPr="00787FA3">
        <w:rPr>
          <w:sz w:val="24"/>
          <w:szCs w:val="24"/>
        </w:rPr>
        <w:t xml:space="preserve"> No entanto, faltam algumas correspondências para as ocupações novas e emergentes, que envolvem atividades e tecnologias mais avançadas.</w:t>
      </w:r>
    </w:p>
    <w:p w14:paraId="6C8E4CBA" w14:textId="77777777" w:rsidR="00787FA3" w:rsidRPr="005F70B0" w:rsidRDefault="00787FA3" w:rsidP="00787FA3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18595D">
      <w:pPr>
        <w:pStyle w:val="Corpodetex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0061B53C" w14:textId="77777777" w:rsidR="00787FA3" w:rsidRPr="00787FA3" w:rsidRDefault="00787FA3" w:rsidP="0018595D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ANSANELLI, S. L., MORAES, C. S. B.; PIGLIALARMI, D. C. J. (2025). Empregos verdes: evidências empíricas e abordagens metodológicas. OBSERVATÓRIO DE LA ECONOMÍA LATINOAMERICANA, 23(2), e9037. https://doi.org/10.55905/oelv23n2-097</w:t>
      </w:r>
    </w:p>
    <w:p w14:paraId="3F725C65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BOWEN, A.; KURALBAYEVA, K.; TIPOE, E. L. Characterising green employment: The impacts of ‘greening’on workforce composition. Energy Economics, v. 72, p. 263-275, 2018.</w:t>
      </w:r>
    </w:p>
    <w:p w14:paraId="214F5EDE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 xml:space="preserve">CARUSO, L. A. C. Skills for green jobs in Brazil. Unedited background country study, International Labour Office, Skills and Employ ability Department (Geneva), 2010.  </w:t>
      </w:r>
    </w:p>
    <w:p w14:paraId="7CF73A25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DORDMOND, G. et al. The complexity of green job creation: An analysis of green job development in Brazil. Environment, Development and Sustainability, v. 23, p. 723-746, 2021. Disponível em: https://ideas.repec.org/a/spr/endesu/v23y2021i1d10.1007_s10668-020-00605-4.html. Acesso em: 30 jun. 2022.</w:t>
      </w:r>
    </w:p>
    <w:p w14:paraId="337E92EE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MINISTÉRIO DO TRABALHO E EMPREGO (MTE). Classificação Brasileira de Ocupações - Downloads. Disponível em: http://www.mtecbo.gov.br/cbosite/pages/downloads.jsf;jsessionid=yNG6l6XeWAKVfLBKcoATXHIIEyG0Up5J38yaT7iX.CBO-SLV02:mte-cbo. Acesso em: 20 ago. 2024.</w:t>
      </w:r>
    </w:p>
    <w:p w14:paraId="19D7871C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MUÇOUÇAH, P. S. Empregos verdes no Brasil: quantos são, onde estão e como evoluirão nos próximos anos. OIT, 2009.</w:t>
      </w:r>
    </w:p>
    <w:p w14:paraId="7C66FE0E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NONATO, F. J. A. P.; MACIENTE, A. N. A identificação dos empregos verdes, ou com potencial verde, sob as óticas ocupacional e setorial. Radar Ipea. Rio de Janeiro, v. 1, n. 23, p. 1-10, 2012.</w:t>
      </w:r>
    </w:p>
    <w:p w14:paraId="162D6AD5" w14:textId="77777777" w:rsid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O*NET-SOC. Disponível em https://www.onetcenter.org/dictionary/22.0/excel/green_occupations.html. Acesso em: 02 jan 2025.</w:t>
      </w:r>
    </w:p>
    <w:p w14:paraId="6634A62A" w14:textId="6249BDDB" w:rsidR="00031B4C" w:rsidRPr="00787FA3" w:rsidRDefault="00031B4C" w:rsidP="00787FA3">
      <w:pPr>
        <w:pStyle w:val="Corpodetexto"/>
        <w:rPr>
          <w:sz w:val="24"/>
          <w:szCs w:val="24"/>
        </w:rPr>
      </w:pPr>
      <w:r w:rsidRPr="00031B4C">
        <w:rPr>
          <w:sz w:val="24"/>
          <w:szCs w:val="24"/>
        </w:rPr>
        <w:t>SQUINCALHA, C</w:t>
      </w:r>
      <w:r>
        <w:rPr>
          <w:sz w:val="24"/>
          <w:szCs w:val="24"/>
        </w:rPr>
        <w:t>.</w:t>
      </w:r>
      <w:r w:rsidRPr="00031B4C">
        <w:rPr>
          <w:sz w:val="24"/>
          <w:szCs w:val="24"/>
        </w:rPr>
        <w:t xml:space="preserve"> T. Onde estão os empregos verdes no Brasil? Uma análise das ocupações verdes nos setores produtivos que afetam o meio ambiente. 2023. Trabalho de Conclusão de Curso (Bacharelado em Ciências Econômicas) – Faculdade de Ciências e Letras, Universidade Estadual Paulista "Júlio de Mesquita Filho", Araraquara, 202</w:t>
      </w:r>
      <w:r>
        <w:rPr>
          <w:sz w:val="24"/>
          <w:szCs w:val="24"/>
        </w:rPr>
        <w:t>5</w:t>
      </w:r>
      <w:r w:rsidRPr="00031B4C">
        <w:rPr>
          <w:sz w:val="24"/>
          <w:szCs w:val="24"/>
        </w:rPr>
        <w:t>.</w:t>
      </w:r>
    </w:p>
    <w:p w14:paraId="676817B6" w14:textId="77777777" w:rsidR="00787FA3" w:rsidRPr="00787FA3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STANEF-PUICĂ, M.-R. et al. Green Jobs—A Literature Review. International Journal of Environmental Research and Public Health, v. 19, n. 13, p. 7998, 2022. Disponível em: https://www.mdpi.com/1660-4601/19/13/7998. Acesso em: 20 jun. 2022.</w:t>
      </w:r>
    </w:p>
    <w:p w14:paraId="1B1EF3B4" w14:textId="0909E2DC" w:rsidR="00B86875" w:rsidRDefault="00787FA3" w:rsidP="00787FA3">
      <w:pPr>
        <w:pStyle w:val="Corpodetexto"/>
        <w:rPr>
          <w:sz w:val="24"/>
          <w:szCs w:val="24"/>
        </w:rPr>
      </w:pPr>
      <w:r w:rsidRPr="00787FA3">
        <w:rPr>
          <w:sz w:val="24"/>
          <w:szCs w:val="24"/>
        </w:rPr>
        <w:t>VONA, F.; MARIN, G.; CONSOLI, D. Measures, drivers and effects of green employment: evidence from US local labor markets, 2006–2014. Journal of Economic Geography, v. 19, n. 5, p. 1021-1048, 2019.</w:t>
      </w:r>
    </w:p>
    <w:sectPr w:rsidR="00B86875" w:rsidSect="008913F4">
      <w:headerReference w:type="default" r:id="rId7"/>
      <w:footerReference w:type="default" r:id="rId8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E3C8" w14:textId="77777777" w:rsidR="007479F8" w:rsidRDefault="007479F8">
      <w:r>
        <w:separator/>
      </w:r>
    </w:p>
  </w:endnote>
  <w:endnote w:type="continuationSeparator" w:id="0">
    <w:p w14:paraId="32279804" w14:textId="77777777" w:rsidR="007479F8" w:rsidRDefault="007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6DC1" w14:textId="77777777" w:rsidR="007479F8" w:rsidRDefault="007479F8">
      <w:r>
        <w:separator/>
      </w:r>
    </w:p>
  </w:footnote>
  <w:footnote w:type="continuationSeparator" w:id="0">
    <w:p w14:paraId="0C516B59" w14:textId="77777777" w:rsidR="007479F8" w:rsidRDefault="00747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7216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314E"/>
    <w:rsid w:val="00031B4C"/>
    <w:rsid w:val="000378DE"/>
    <w:rsid w:val="000449F4"/>
    <w:rsid w:val="000463B9"/>
    <w:rsid w:val="000564AB"/>
    <w:rsid w:val="000613E2"/>
    <w:rsid w:val="00065ECA"/>
    <w:rsid w:val="000815CB"/>
    <w:rsid w:val="0008548D"/>
    <w:rsid w:val="000871DA"/>
    <w:rsid w:val="000D1630"/>
    <w:rsid w:val="000D4D67"/>
    <w:rsid w:val="00120E63"/>
    <w:rsid w:val="00157AC0"/>
    <w:rsid w:val="0018595D"/>
    <w:rsid w:val="001A39BD"/>
    <w:rsid w:val="001B4C02"/>
    <w:rsid w:val="001B7DFE"/>
    <w:rsid w:val="001C5BCC"/>
    <w:rsid w:val="001E1AEB"/>
    <w:rsid w:val="00200245"/>
    <w:rsid w:val="00213E30"/>
    <w:rsid w:val="00242D98"/>
    <w:rsid w:val="00243512"/>
    <w:rsid w:val="00251EDE"/>
    <w:rsid w:val="002549F8"/>
    <w:rsid w:val="002A5942"/>
    <w:rsid w:val="0030770D"/>
    <w:rsid w:val="0031148F"/>
    <w:rsid w:val="003241E6"/>
    <w:rsid w:val="00326A3C"/>
    <w:rsid w:val="003407D2"/>
    <w:rsid w:val="0036697E"/>
    <w:rsid w:val="00396254"/>
    <w:rsid w:val="003A22A6"/>
    <w:rsid w:val="003C1641"/>
    <w:rsid w:val="003D0CA2"/>
    <w:rsid w:val="003F6DD7"/>
    <w:rsid w:val="004A752F"/>
    <w:rsid w:val="004C1434"/>
    <w:rsid w:val="004D49D1"/>
    <w:rsid w:val="004E6C88"/>
    <w:rsid w:val="00512A02"/>
    <w:rsid w:val="00516314"/>
    <w:rsid w:val="005259CE"/>
    <w:rsid w:val="00534EFB"/>
    <w:rsid w:val="005407AC"/>
    <w:rsid w:val="00542CB2"/>
    <w:rsid w:val="005771C9"/>
    <w:rsid w:val="005F70B0"/>
    <w:rsid w:val="006072B1"/>
    <w:rsid w:val="00624629"/>
    <w:rsid w:val="0067624D"/>
    <w:rsid w:val="00681BCB"/>
    <w:rsid w:val="00694319"/>
    <w:rsid w:val="006E1DF2"/>
    <w:rsid w:val="006F57F9"/>
    <w:rsid w:val="00717B50"/>
    <w:rsid w:val="007479F8"/>
    <w:rsid w:val="007561D8"/>
    <w:rsid w:val="00787FA3"/>
    <w:rsid w:val="007A3A0A"/>
    <w:rsid w:val="007A5461"/>
    <w:rsid w:val="007B172B"/>
    <w:rsid w:val="007C3DDF"/>
    <w:rsid w:val="007F0213"/>
    <w:rsid w:val="00821084"/>
    <w:rsid w:val="008858BD"/>
    <w:rsid w:val="008913F4"/>
    <w:rsid w:val="008A2F11"/>
    <w:rsid w:val="008B3C75"/>
    <w:rsid w:val="008F43EC"/>
    <w:rsid w:val="0090520E"/>
    <w:rsid w:val="009310D3"/>
    <w:rsid w:val="00937ED9"/>
    <w:rsid w:val="0099248E"/>
    <w:rsid w:val="00994056"/>
    <w:rsid w:val="009947AA"/>
    <w:rsid w:val="009A103A"/>
    <w:rsid w:val="009B18D2"/>
    <w:rsid w:val="009C4B75"/>
    <w:rsid w:val="009D6097"/>
    <w:rsid w:val="009E0251"/>
    <w:rsid w:val="009E7DEF"/>
    <w:rsid w:val="00A07860"/>
    <w:rsid w:val="00A229E9"/>
    <w:rsid w:val="00A33E6F"/>
    <w:rsid w:val="00A4221E"/>
    <w:rsid w:val="00A528D6"/>
    <w:rsid w:val="00A805E9"/>
    <w:rsid w:val="00A81C14"/>
    <w:rsid w:val="00AC5F54"/>
    <w:rsid w:val="00AD22F1"/>
    <w:rsid w:val="00AD4CD9"/>
    <w:rsid w:val="00AE450E"/>
    <w:rsid w:val="00AF5124"/>
    <w:rsid w:val="00B00AF0"/>
    <w:rsid w:val="00B61455"/>
    <w:rsid w:val="00B64588"/>
    <w:rsid w:val="00B70609"/>
    <w:rsid w:val="00B833C4"/>
    <w:rsid w:val="00B86875"/>
    <w:rsid w:val="00BA2D84"/>
    <w:rsid w:val="00BE6192"/>
    <w:rsid w:val="00BF0ACF"/>
    <w:rsid w:val="00BF3487"/>
    <w:rsid w:val="00C16EE6"/>
    <w:rsid w:val="00C20394"/>
    <w:rsid w:val="00C44CDC"/>
    <w:rsid w:val="00C538C1"/>
    <w:rsid w:val="00C60F3C"/>
    <w:rsid w:val="00C61F3F"/>
    <w:rsid w:val="00C63CED"/>
    <w:rsid w:val="00C761CF"/>
    <w:rsid w:val="00CB7608"/>
    <w:rsid w:val="00CE3AB0"/>
    <w:rsid w:val="00D170DA"/>
    <w:rsid w:val="00D55966"/>
    <w:rsid w:val="00D6381F"/>
    <w:rsid w:val="00D70BE8"/>
    <w:rsid w:val="00D7608C"/>
    <w:rsid w:val="00D8685D"/>
    <w:rsid w:val="00DA1C44"/>
    <w:rsid w:val="00DA66C0"/>
    <w:rsid w:val="00DB225F"/>
    <w:rsid w:val="00DB283F"/>
    <w:rsid w:val="00DB6C6E"/>
    <w:rsid w:val="00DD3DEB"/>
    <w:rsid w:val="00DF25C5"/>
    <w:rsid w:val="00DF69E2"/>
    <w:rsid w:val="00E27CCA"/>
    <w:rsid w:val="00E3420A"/>
    <w:rsid w:val="00E3782C"/>
    <w:rsid w:val="00E71037"/>
    <w:rsid w:val="00E7728C"/>
    <w:rsid w:val="00E95F6A"/>
    <w:rsid w:val="00EA25BE"/>
    <w:rsid w:val="00EC05C6"/>
    <w:rsid w:val="00EC54D5"/>
    <w:rsid w:val="00EC5C3F"/>
    <w:rsid w:val="00EE5911"/>
    <w:rsid w:val="00F135CC"/>
    <w:rsid w:val="00F21A6A"/>
    <w:rsid w:val="00F2364E"/>
    <w:rsid w:val="00F24DA4"/>
    <w:rsid w:val="00F32EB5"/>
    <w:rsid w:val="00F763F9"/>
    <w:rsid w:val="00F875ED"/>
    <w:rsid w:val="00F87FA1"/>
    <w:rsid w:val="00FB79C1"/>
    <w:rsid w:val="00FC6B3B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39"/>
    <w:rsid w:val="00516314"/>
    <w:pPr>
      <w:widowControl/>
      <w:autoSpaceDE/>
      <w:autoSpaceDN/>
    </w:pPr>
    <w:rPr>
      <w:rFonts w:ascii="Arial" w:eastAsia="Arial" w:hAnsi="Arial" w:cs="Arial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6</Pages>
  <Words>2754</Words>
  <Characters>14876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Stela Luiza de Mattos Ansanelli</cp:lastModifiedBy>
  <cp:revision>93</cp:revision>
  <dcterms:created xsi:type="dcterms:W3CDTF">2026-08-09T16:32:00Z</dcterms:created>
  <dcterms:modified xsi:type="dcterms:W3CDTF">2026-08-17T23:03:00Z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