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22889" w14:textId="77777777" w:rsidR="004E4AE3" w:rsidRPr="004E4AE3" w:rsidRDefault="004E4AE3" w:rsidP="004E4AE3">
      <w:pPr>
        <w:pStyle w:val="Ttulo1"/>
        <w:spacing w:before="251" w:line="242" w:lineRule="auto"/>
        <w:ind w:left="75" w:right="214"/>
        <w:jc w:val="center"/>
        <w:rPr>
          <w:sz w:val="32"/>
          <w:szCs w:val="32"/>
          <w:lang w:val="pt-BR"/>
        </w:rPr>
      </w:pPr>
      <w:r w:rsidRPr="004E4AE3">
        <w:rPr>
          <w:sz w:val="32"/>
          <w:szCs w:val="32"/>
          <w:lang w:val="pt-BR"/>
        </w:rPr>
        <w:t>A ATUAÇÃO DO ÚNICO NÚCLEO DE ESTUDOS EM MANEJO DE UNIDADES DE CONSERVAÇÃO DO BRASIL (NEUC) NA FORMAÇÃO DE RECURSOS HUMANOS</w:t>
      </w:r>
    </w:p>
    <w:p w14:paraId="58281A71" w14:textId="3618FD03" w:rsidR="00E3782C" w:rsidRPr="005F70B0" w:rsidRDefault="00E3782C" w:rsidP="00E3782C">
      <w:pPr>
        <w:pStyle w:val="Ttulo1"/>
        <w:spacing w:before="251" w:line="242" w:lineRule="auto"/>
        <w:ind w:left="75" w:right="214"/>
        <w:jc w:val="center"/>
        <w:rPr>
          <w:sz w:val="24"/>
          <w:szCs w:val="24"/>
        </w:rPr>
      </w:pPr>
      <w:r w:rsidRPr="005F70B0">
        <w:rPr>
          <w:sz w:val="24"/>
          <w:szCs w:val="24"/>
          <w:vertAlign w:val="superscript"/>
        </w:rPr>
        <w:t>1</w:t>
      </w:r>
      <w:r w:rsidR="00C62E66">
        <w:rPr>
          <w:sz w:val="24"/>
          <w:szCs w:val="24"/>
        </w:rPr>
        <w:t>Maria Eduarda Souza Goulart</w:t>
      </w:r>
      <w:r w:rsidRPr="005F70B0">
        <w:rPr>
          <w:sz w:val="24"/>
          <w:szCs w:val="24"/>
        </w:rPr>
        <w:t>,</w:t>
      </w:r>
      <w:r w:rsidRPr="005F70B0">
        <w:rPr>
          <w:spacing w:val="-2"/>
          <w:sz w:val="24"/>
          <w:szCs w:val="24"/>
        </w:rPr>
        <w:t xml:space="preserve"> </w:t>
      </w:r>
      <w:r w:rsidRPr="005F70B0">
        <w:rPr>
          <w:sz w:val="24"/>
          <w:szCs w:val="24"/>
          <w:vertAlign w:val="superscript"/>
        </w:rPr>
        <w:t>2</w:t>
      </w:r>
      <w:r w:rsidR="00C62E66">
        <w:rPr>
          <w:sz w:val="24"/>
          <w:szCs w:val="24"/>
        </w:rPr>
        <w:t>Maria Eduarda Camilo Peixoto</w:t>
      </w:r>
      <w:r w:rsidRPr="005F70B0">
        <w:rPr>
          <w:sz w:val="24"/>
          <w:szCs w:val="24"/>
        </w:rPr>
        <w:t>,</w:t>
      </w:r>
      <w:r w:rsidRPr="005F70B0">
        <w:rPr>
          <w:spacing w:val="-3"/>
          <w:sz w:val="24"/>
          <w:szCs w:val="24"/>
        </w:rPr>
        <w:t xml:space="preserve"> </w:t>
      </w:r>
      <w:r w:rsidRPr="005F70B0">
        <w:rPr>
          <w:sz w:val="24"/>
          <w:szCs w:val="24"/>
          <w:vertAlign w:val="superscript"/>
        </w:rPr>
        <w:t>3</w:t>
      </w:r>
      <w:r w:rsidR="00C62E66">
        <w:rPr>
          <w:sz w:val="24"/>
          <w:szCs w:val="24"/>
        </w:rPr>
        <w:t>Eduardo van den Berg</w:t>
      </w:r>
    </w:p>
    <w:p w14:paraId="158B3CEA" w14:textId="1862AD9B" w:rsidR="00E3782C" w:rsidRPr="005F70B0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  <w:r w:rsidRPr="005F70B0">
        <w:rPr>
          <w:i/>
          <w:sz w:val="24"/>
          <w:szCs w:val="24"/>
          <w:vertAlign w:val="superscript"/>
        </w:rPr>
        <w:t>1</w:t>
      </w:r>
      <w:r w:rsidR="00C62E66">
        <w:rPr>
          <w:i/>
          <w:sz w:val="24"/>
          <w:szCs w:val="24"/>
        </w:rPr>
        <w:t>Universidade Federal de Lavras</w:t>
      </w:r>
      <w:r w:rsidRPr="005F70B0">
        <w:rPr>
          <w:i/>
          <w:sz w:val="24"/>
          <w:szCs w:val="24"/>
        </w:rPr>
        <w:t xml:space="preserve">, </w:t>
      </w:r>
      <w:r w:rsidR="00C62E66">
        <w:rPr>
          <w:i/>
          <w:sz w:val="24"/>
          <w:szCs w:val="24"/>
        </w:rPr>
        <w:t>maria.goulart2@estudante.ufla.br</w:t>
      </w:r>
      <w:r w:rsidRPr="005F70B0">
        <w:rPr>
          <w:i/>
          <w:sz w:val="24"/>
          <w:szCs w:val="24"/>
        </w:rPr>
        <w:t>;</w:t>
      </w:r>
      <w:r w:rsidRPr="005F70B0">
        <w:rPr>
          <w:i/>
          <w:spacing w:val="-3"/>
          <w:sz w:val="24"/>
          <w:szCs w:val="24"/>
        </w:rPr>
        <w:t xml:space="preserve"> </w:t>
      </w:r>
      <w:r w:rsidR="008B4DF1" w:rsidRPr="005F70B0">
        <w:rPr>
          <w:sz w:val="24"/>
          <w:szCs w:val="24"/>
          <w:vertAlign w:val="superscript"/>
        </w:rPr>
        <w:t>2</w:t>
      </w:r>
      <w:r w:rsidR="009337CA">
        <w:rPr>
          <w:i/>
          <w:sz w:val="24"/>
          <w:szCs w:val="24"/>
        </w:rPr>
        <w:t>Universidade Federal de Lavras</w:t>
      </w:r>
      <w:r w:rsidRPr="005F70B0">
        <w:rPr>
          <w:i/>
          <w:sz w:val="24"/>
          <w:szCs w:val="24"/>
        </w:rPr>
        <w:t>,</w:t>
      </w:r>
      <w:r w:rsidRPr="005F70B0">
        <w:rPr>
          <w:i/>
          <w:spacing w:val="-1"/>
          <w:sz w:val="24"/>
          <w:szCs w:val="24"/>
        </w:rPr>
        <w:t xml:space="preserve"> </w:t>
      </w:r>
      <w:r w:rsidR="009337CA">
        <w:rPr>
          <w:i/>
          <w:sz w:val="24"/>
          <w:szCs w:val="24"/>
        </w:rPr>
        <w:t>meduardacpeixoto@gmail.com</w:t>
      </w:r>
      <w:r w:rsidRPr="005F70B0">
        <w:rPr>
          <w:i/>
          <w:sz w:val="24"/>
          <w:szCs w:val="24"/>
        </w:rPr>
        <w:t>;</w:t>
      </w:r>
      <w:r w:rsidRPr="005F70B0">
        <w:rPr>
          <w:i/>
          <w:spacing w:val="-3"/>
          <w:sz w:val="24"/>
          <w:szCs w:val="24"/>
        </w:rPr>
        <w:t xml:space="preserve"> </w:t>
      </w:r>
      <w:r w:rsidRPr="005F70B0">
        <w:rPr>
          <w:i/>
          <w:sz w:val="24"/>
          <w:szCs w:val="24"/>
          <w:vertAlign w:val="superscript"/>
        </w:rPr>
        <w:t>3</w:t>
      </w:r>
      <w:r w:rsidR="009337CA" w:rsidRPr="009337CA">
        <w:rPr>
          <w:i/>
          <w:sz w:val="24"/>
          <w:szCs w:val="24"/>
        </w:rPr>
        <w:t xml:space="preserve"> </w:t>
      </w:r>
      <w:r w:rsidR="009337CA">
        <w:rPr>
          <w:i/>
          <w:sz w:val="24"/>
          <w:szCs w:val="24"/>
        </w:rPr>
        <w:t>Universidade Federal de Lavras</w:t>
      </w:r>
      <w:r w:rsidRPr="005F70B0">
        <w:rPr>
          <w:i/>
          <w:sz w:val="24"/>
          <w:szCs w:val="24"/>
        </w:rPr>
        <w:t>,</w:t>
      </w:r>
      <w:r w:rsidRPr="005F70B0">
        <w:rPr>
          <w:i/>
          <w:spacing w:val="-1"/>
          <w:sz w:val="24"/>
          <w:szCs w:val="24"/>
        </w:rPr>
        <w:t xml:space="preserve"> </w:t>
      </w:r>
      <w:r w:rsidR="009337CA">
        <w:rPr>
          <w:i/>
          <w:sz w:val="24"/>
          <w:szCs w:val="24"/>
        </w:rPr>
        <w:t>evandenb@ufla.br</w:t>
      </w:r>
    </w:p>
    <w:p w14:paraId="19ACAB03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488BD6C2" w14:textId="77777777" w:rsidR="008C7A3E" w:rsidRDefault="008C7A3E" w:rsidP="008C7A3E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 w:rsidRPr="009337CA">
        <w:rPr>
          <w:b/>
          <w:bCs/>
          <w:i/>
          <w:spacing w:val="-2"/>
          <w:sz w:val="24"/>
          <w:szCs w:val="24"/>
        </w:rPr>
        <w:t>Grupo 2 : Biodiversidade e preservação</w:t>
      </w:r>
    </w:p>
    <w:p w14:paraId="37BA9CAE" w14:textId="77777777" w:rsidR="008C7A3E" w:rsidRPr="005F70B0" w:rsidRDefault="008C7A3E" w:rsidP="008C7A3E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 w:rsidRPr="009337CA">
        <w:rPr>
          <w:b/>
          <w:bCs/>
          <w:i/>
          <w:spacing w:val="-2"/>
          <w:sz w:val="24"/>
          <w:szCs w:val="24"/>
        </w:rPr>
        <w:t xml:space="preserve">Soluções </w:t>
      </w:r>
      <w:r>
        <w:rPr>
          <w:b/>
          <w:bCs/>
          <w:i/>
          <w:spacing w:val="-2"/>
          <w:sz w:val="24"/>
          <w:szCs w:val="24"/>
        </w:rPr>
        <w:t>B</w:t>
      </w:r>
      <w:r w:rsidRPr="009337CA">
        <w:rPr>
          <w:b/>
          <w:bCs/>
          <w:i/>
          <w:spacing w:val="-2"/>
          <w:sz w:val="24"/>
          <w:szCs w:val="24"/>
        </w:rPr>
        <w:t xml:space="preserve">aseadas na </w:t>
      </w:r>
      <w:r>
        <w:rPr>
          <w:b/>
          <w:bCs/>
          <w:i/>
          <w:spacing w:val="-2"/>
          <w:sz w:val="24"/>
          <w:szCs w:val="24"/>
        </w:rPr>
        <w:t>N</w:t>
      </w:r>
      <w:r w:rsidRPr="009337CA">
        <w:rPr>
          <w:b/>
          <w:bCs/>
          <w:i/>
          <w:spacing w:val="-2"/>
          <w:sz w:val="24"/>
          <w:szCs w:val="24"/>
        </w:rPr>
        <w:t>atureza</w:t>
      </w:r>
    </w:p>
    <w:p w14:paraId="0D198EA3" w14:textId="77777777" w:rsidR="008C7A3E" w:rsidRPr="005F70B0" w:rsidRDefault="008C7A3E" w:rsidP="008C7A3E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2881CB5F" w14:textId="77777777" w:rsidR="008C7A3E" w:rsidRPr="005F70B0" w:rsidRDefault="008C7A3E" w:rsidP="008C7A3E">
      <w:pPr>
        <w:spacing w:line="228" w:lineRule="exact"/>
        <w:ind w:left="77" w:right="209"/>
        <w:jc w:val="center"/>
        <w:rPr>
          <w:b/>
          <w:bCs/>
          <w:iCs/>
          <w:sz w:val="28"/>
          <w:szCs w:val="28"/>
        </w:rPr>
      </w:pPr>
      <w:r w:rsidRPr="005F70B0">
        <w:rPr>
          <w:b/>
          <w:bCs/>
          <w:iCs/>
          <w:sz w:val="28"/>
          <w:szCs w:val="28"/>
        </w:rPr>
        <w:t>Resumo</w:t>
      </w:r>
    </w:p>
    <w:p w14:paraId="1663D248" w14:textId="77777777" w:rsidR="008C7A3E" w:rsidRPr="005F70B0" w:rsidRDefault="008C7A3E" w:rsidP="008C7A3E">
      <w:pPr>
        <w:spacing w:line="228" w:lineRule="exact"/>
        <w:ind w:left="77" w:right="209"/>
        <w:jc w:val="both"/>
        <w:rPr>
          <w:iCs/>
          <w:sz w:val="24"/>
          <w:szCs w:val="24"/>
        </w:rPr>
      </w:pPr>
    </w:p>
    <w:p w14:paraId="0E86D4AC" w14:textId="77777777" w:rsidR="008C7A3E" w:rsidRDefault="008C7A3E" w:rsidP="008C7A3E">
      <w:pPr>
        <w:jc w:val="both"/>
        <w:rPr>
          <w:sz w:val="24"/>
          <w:szCs w:val="24"/>
        </w:rPr>
      </w:pPr>
      <w:r w:rsidRPr="00E353F1">
        <w:rPr>
          <w:sz w:val="24"/>
          <w:szCs w:val="24"/>
        </w:rPr>
        <w:t xml:space="preserve">A conservação </w:t>
      </w:r>
      <w:r w:rsidRPr="00E353F1">
        <w:rPr>
          <w:i/>
          <w:iCs/>
          <w:sz w:val="24"/>
          <w:szCs w:val="24"/>
        </w:rPr>
        <w:t>in situ</w:t>
      </w:r>
      <w:r w:rsidRPr="00E353F1">
        <w:rPr>
          <w:sz w:val="24"/>
          <w:szCs w:val="24"/>
        </w:rPr>
        <w:t xml:space="preserve"> por meio de Áreas Protegidas (APs) é uma solução baseada na natureza crucial contra a perda de biodiversidade global. Nesse contexto, a capacitação técnica é indispensável para orientar tomadas de decisão frente a desafios socioecológicos. Este estudo analisou a contribuição do Núcleo de Estudos em Manejo de Unidades de Conservação (NEUC) na formação de recursos humanos, destacando-se como único grupo institucionalizado nesse escopo em universidades federais brasileiras. A metodologia empregou questionário estruturado misto via Formulários </w:t>
      </w:r>
      <w:r w:rsidRPr="007A75F4">
        <w:rPr>
          <w:i/>
          <w:iCs/>
          <w:sz w:val="24"/>
          <w:szCs w:val="24"/>
        </w:rPr>
        <w:t>Google</w:t>
      </w:r>
      <w:r w:rsidRPr="00E353F1">
        <w:rPr>
          <w:sz w:val="24"/>
          <w:szCs w:val="24"/>
        </w:rPr>
        <w:t xml:space="preserve"> aplicado a 34 membros e egressos. Os resultados indicaram expressivo impacto formativo: na esfera profissional, 94,1% apontaram aquisição de conhecimento em legislação e planos de manejo; no âmbito pessoal, 91,2% reportaram desenvolvimento de ética e responsabilidade socioambiental. Quanto à rotina, observou-se forte preferência por vivências práticas e de campo, com 67,6% priorizando palestras, oficinas e cursos. As análises qualitativas revelaram que o núcleo consolida identidades profissionais mediante trabalho em equipe, acolhimento e sentimento de pertencimento. Conclui-se que o NEUC qualifica seus integrantes para atuações estratégicas na conservação da biodiversidade, servindo como modelo para criação de iniciativas análogas no ensino superior.</w:t>
      </w:r>
    </w:p>
    <w:p w14:paraId="65998D05" w14:textId="77777777" w:rsidR="008C7A3E" w:rsidRPr="00E353F1" w:rsidRDefault="008C7A3E" w:rsidP="008C7A3E">
      <w:pPr>
        <w:jc w:val="both"/>
        <w:rPr>
          <w:b/>
          <w:sz w:val="24"/>
          <w:szCs w:val="24"/>
          <w:lang w:val="pt-BR"/>
        </w:rPr>
      </w:pPr>
    </w:p>
    <w:p w14:paraId="4EC3DE0B" w14:textId="77777777" w:rsidR="008C7A3E" w:rsidRDefault="008C7A3E" w:rsidP="008C7A3E">
      <w:pPr>
        <w:jc w:val="both"/>
        <w:rPr>
          <w:spacing w:val="-2"/>
          <w:sz w:val="24"/>
          <w:szCs w:val="24"/>
        </w:rPr>
      </w:pPr>
      <w:r w:rsidRPr="005F70B0">
        <w:rPr>
          <w:b/>
          <w:sz w:val="24"/>
          <w:szCs w:val="24"/>
        </w:rPr>
        <w:t>Palavras-chave:</w:t>
      </w:r>
      <w:r>
        <w:rPr>
          <w:spacing w:val="-2"/>
          <w:sz w:val="24"/>
          <w:szCs w:val="24"/>
        </w:rPr>
        <w:t xml:space="preserve"> </w:t>
      </w:r>
      <w:r w:rsidRPr="001946AC">
        <w:rPr>
          <w:spacing w:val="-2"/>
          <w:sz w:val="24"/>
          <w:szCs w:val="24"/>
        </w:rPr>
        <w:t>Áreas protegidas; Capacitação profissional; Extensão universitária; Gestão socioambiental; SNUC.</w:t>
      </w:r>
    </w:p>
    <w:p w14:paraId="4B2A350C" w14:textId="77777777" w:rsidR="008C7A3E" w:rsidRDefault="008C7A3E" w:rsidP="008C7A3E">
      <w:pPr>
        <w:jc w:val="both"/>
        <w:rPr>
          <w:b/>
          <w:bCs/>
          <w:spacing w:val="-2"/>
          <w:sz w:val="28"/>
          <w:szCs w:val="28"/>
        </w:rPr>
      </w:pPr>
    </w:p>
    <w:p w14:paraId="2D41DA2A" w14:textId="77777777" w:rsidR="008C7A3E" w:rsidRPr="005F70B0" w:rsidRDefault="008C7A3E" w:rsidP="008C7A3E">
      <w:pPr>
        <w:jc w:val="both"/>
        <w:rPr>
          <w:b/>
          <w:bCs/>
          <w:spacing w:val="-2"/>
          <w:sz w:val="28"/>
          <w:szCs w:val="28"/>
        </w:rPr>
      </w:pPr>
      <w:r w:rsidRPr="005F70B0">
        <w:rPr>
          <w:b/>
          <w:bCs/>
          <w:spacing w:val="-2"/>
          <w:sz w:val="28"/>
          <w:szCs w:val="28"/>
        </w:rPr>
        <w:t>Introdução</w:t>
      </w:r>
    </w:p>
    <w:p w14:paraId="525B37B3" w14:textId="77777777" w:rsidR="008C7A3E" w:rsidRDefault="008C7A3E" w:rsidP="008C7A3E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</w:p>
    <w:p w14:paraId="1074C1F2" w14:textId="77777777" w:rsidR="008C7A3E" w:rsidRPr="001946AC" w:rsidRDefault="008C7A3E" w:rsidP="008C7A3E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7A75F4">
        <w:rPr>
          <w:sz w:val="24"/>
          <w:szCs w:val="24"/>
        </w:rPr>
        <w:t>Embora amplamente biodiverso, o Brasil possui apenas um núcleo de estudos voltado ao manejo de unidades de conservação, institucionalizado em uma universidade federal.</w:t>
      </w:r>
      <w:r w:rsidRPr="001946AC">
        <w:rPr>
          <w:sz w:val="24"/>
          <w:szCs w:val="24"/>
          <w:lang w:val="pt-BR"/>
        </w:rPr>
        <w:t xml:space="preserve"> Emergências climáticas exigem agilidade nas estratégias de mitigação de impactos e conservação da natureza, sendo a educação uma ferramenta de suporte sistemático para a aprendizagem, permitindo que atores sociais ocupem espaços que fomentam mudanças políticas e institucionais a partir da conscientização socioambiental (Feinstein; Mach, 2019; Maxwell </w:t>
      </w:r>
      <w:r w:rsidRPr="007A75F4">
        <w:rPr>
          <w:i/>
          <w:iCs/>
          <w:sz w:val="24"/>
          <w:szCs w:val="24"/>
          <w:lang w:val="pt-BR"/>
        </w:rPr>
        <w:t>et al.</w:t>
      </w:r>
      <w:r w:rsidRPr="007A75F4">
        <w:rPr>
          <w:sz w:val="24"/>
          <w:szCs w:val="24"/>
          <w:lang w:val="pt-BR"/>
        </w:rPr>
        <w:t xml:space="preserve">, </w:t>
      </w:r>
      <w:r w:rsidRPr="001946AC">
        <w:rPr>
          <w:sz w:val="24"/>
          <w:szCs w:val="24"/>
          <w:lang w:val="pt-BR"/>
        </w:rPr>
        <w:t xml:space="preserve">2020). O Núcleo de Estudos em Manejo de Unidades de Conservação foi estruturado no ano de 2012 por iniciativa de discentes da Universidade Federal de Lavras com </w:t>
      </w:r>
      <w:r w:rsidRPr="001946AC">
        <w:rPr>
          <w:sz w:val="24"/>
          <w:szCs w:val="24"/>
          <w:lang w:val="pt-BR"/>
        </w:rPr>
        <w:lastRenderedPageBreak/>
        <w:t>a finalidade de permitir a transversalidade do conhecimento sobre criação, manejo e monitoramento de Unidades de Conservação, tendo como premissa a Lei nº 9.985, de 18 de julho de 2000, que instituiu o Sistema Nacional de Unidades de Conservação da Natureza (SNUC).</w:t>
      </w:r>
    </w:p>
    <w:p w14:paraId="6A411450" w14:textId="77777777" w:rsidR="008C7A3E" w:rsidRPr="001946AC" w:rsidRDefault="008C7A3E" w:rsidP="008C7A3E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1946AC">
        <w:rPr>
          <w:sz w:val="24"/>
          <w:szCs w:val="24"/>
          <w:lang w:val="pt-BR"/>
        </w:rPr>
        <w:t xml:space="preserve">A conservação </w:t>
      </w:r>
      <w:r w:rsidRPr="005703BB">
        <w:rPr>
          <w:i/>
          <w:iCs/>
          <w:sz w:val="24"/>
          <w:szCs w:val="24"/>
          <w:lang w:val="pt-BR"/>
        </w:rPr>
        <w:t>in situ</w:t>
      </w:r>
      <w:r w:rsidRPr="001946AC">
        <w:rPr>
          <w:sz w:val="24"/>
          <w:szCs w:val="24"/>
          <w:lang w:val="pt-BR"/>
        </w:rPr>
        <w:t xml:space="preserve"> por meio da criação de Áreas Protegidas (APs) é uma das mais importantes soluções baseadas na natureza para lidar com a extinção de espécies e a perda da biodiversidade global. As APs servem como refúgios vitais para a salvaguarda de ecossistemas geneticamente representativos e para a persistência das espécies silvestres em seus habitats naturais. As estratégias para a criação, manutenção e gestão de APs devem ser estudadas e dialogadas, preparando os tomadores de decisão para os desafios das mudanças climáticas. Governanças em nível global expandiram a quantidade de APs desde 2010 devido às Metas de Aichi para a Biodiversidade (estabelecidas pela Convenção sobre Diversidade Biológica da ONU para o período de 2011 a 2020), mas isso teve sucesso limitado em conter a extinção de espécies devido a falhas persistentes em representatividade ecológica e efetividade de manejo. Esses entraves operacionais apontam que as APs falham em proteger espécies devido a "recursos escassos e baixa efetividade de gestão", visto que aproximadamente 47% das áreas protegidas terrestres e 91% das marinhas sofrem com a escassez de recursos de pessoal e capacidade técnica para a execução de uma gestão básica (Maxwell </w:t>
      </w:r>
      <w:r w:rsidRPr="007A75F4">
        <w:rPr>
          <w:i/>
          <w:iCs/>
          <w:sz w:val="24"/>
          <w:szCs w:val="24"/>
          <w:lang w:val="pt-BR"/>
        </w:rPr>
        <w:t>et al</w:t>
      </w:r>
      <w:r w:rsidRPr="001946AC">
        <w:rPr>
          <w:sz w:val="24"/>
          <w:szCs w:val="24"/>
          <w:lang w:val="pt-BR"/>
        </w:rPr>
        <w:t>., 2020, p. 218, 221).</w:t>
      </w:r>
    </w:p>
    <w:p w14:paraId="5DB53221" w14:textId="77777777" w:rsidR="008C7A3E" w:rsidRPr="001946AC" w:rsidRDefault="008C7A3E" w:rsidP="008C7A3E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1946AC">
        <w:rPr>
          <w:sz w:val="24"/>
          <w:szCs w:val="24"/>
          <w:lang w:val="pt-BR"/>
        </w:rPr>
        <w:t xml:space="preserve">Diante disso, estudos recentes apontam incompatibilidades entre o treinamento ofertado a conservacionistas e as reais demandas do mercado (Elliott; Ryan; Wyborn, 2018). O cenário atual reforça que o sucesso da conservação depende de um equilíbrio indissociável entre natureza, pessoas e gestão, indo além de uma formação disciplinar e de habilidades tradicionais ou analíticas. O aprendizado não ocorre pela recepção passiva de informações; ao contrário, configura-se como um processo ativo que gera 'mudanças no conhecimento, nas habilidades, na identidade e nos papéis socioculturais' (Andrade </w:t>
      </w:r>
      <w:r w:rsidRPr="007A75F4">
        <w:rPr>
          <w:i/>
          <w:iCs/>
          <w:sz w:val="24"/>
          <w:szCs w:val="24"/>
          <w:lang w:val="pt-BR"/>
        </w:rPr>
        <w:t>et al.</w:t>
      </w:r>
      <w:r w:rsidRPr="001946AC">
        <w:rPr>
          <w:sz w:val="24"/>
          <w:szCs w:val="24"/>
          <w:lang w:val="pt-BR"/>
        </w:rPr>
        <w:t xml:space="preserve">, 2014; Lucas </w:t>
      </w:r>
      <w:r w:rsidRPr="007A75F4">
        <w:rPr>
          <w:i/>
          <w:iCs/>
          <w:sz w:val="24"/>
          <w:szCs w:val="24"/>
          <w:lang w:val="pt-BR"/>
        </w:rPr>
        <w:t>et al</w:t>
      </w:r>
      <w:r w:rsidRPr="001946AC">
        <w:rPr>
          <w:sz w:val="24"/>
          <w:szCs w:val="24"/>
          <w:lang w:val="pt-BR"/>
        </w:rPr>
        <w:t>., 2017). A relevância dessa formação participativa é evidenciada a partir da realização da extensão, uma vez que estudos apontam que os ecossistemas mais saudáveis e resilientes são justamente aqueles onde as comunidades locais atuam ativamente como tomadoras de decisão (</w:t>
      </w:r>
      <w:r w:rsidRPr="001946AC">
        <w:rPr>
          <w:i/>
          <w:iCs/>
          <w:sz w:val="24"/>
          <w:szCs w:val="24"/>
          <w:lang w:val="pt-BR"/>
        </w:rPr>
        <w:t>stakeholders</w:t>
      </w:r>
      <w:r w:rsidRPr="001946AC">
        <w:rPr>
          <w:sz w:val="24"/>
          <w:szCs w:val="24"/>
          <w:lang w:val="pt-BR"/>
        </w:rPr>
        <w:t xml:space="preserve">) (Maxwell </w:t>
      </w:r>
      <w:r w:rsidRPr="007A75F4">
        <w:rPr>
          <w:i/>
          <w:iCs/>
          <w:sz w:val="24"/>
          <w:szCs w:val="24"/>
          <w:lang w:val="pt-BR"/>
        </w:rPr>
        <w:t>et al</w:t>
      </w:r>
      <w:r w:rsidRPr="001946AC">
        <w:rPr>
          <w:sz w:val="24"/>
          <w:szCs w:val="24"/>
          <w:lang w:val="pt-BR"/>
        </w:rPr>
        <w:t>., 2020). APs que integram comunidades locais como tomadores de decisão</w:t>
      </w:r>
      <w:r>
        <w:rPr>
          <w:sz w:val="24"/>
          <w:szCs w:val="24"/>
          <w:lang w:val="pt-BR"/>
        </w:rPr>
        <w:t xml:space="preserve"> </w:t>
      </w:r>
      <w:r w:rsidRPr="001946AC">
        <w:rPr>
          <w:sz w:val="24"/>
          <w:szCs w:val="24"/>
          <w:lang w:val="pt-BR"/>
        </w:rPr>
        <w:t>frequentemente produzem melhores resultados socioeconômicos e ecológicos.</w:t>
      </w:r>
    </w:p>
    <w:p w14:paraId="0B50F981" w14:textId="77777777" w:rsidR="008C7A3E" w:rsidRPr="001946AC" w:rsidRDefault="008C7A3E" w:rsidP="008C7A3E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1946AC">
        <w:rPr>
          <w:sz w:val="24"/>
          <w:szCs w:val="24"/>
          <w:lang w:val="pt-BR"/>
        </w:rPr>
        <w:t xml:space="preserve">Para suprir essa demanda por formação, surgiram grupos que atuam dentro do eixo conservacionista, como o Observatório de Áreas Protegidas (OBAP-UFMG) e o Núcleo de </w:t>
      </w:r>
      <w:r w:rsidRPr="001946AC">
        <w:rPr>
          <w:sz w:val="24"/>
          <w:szCs w:val="24"/>
          <w:lang w:val="pt-BR"/>
        </w:rPr>
        <w:lastRenderedPageBreak/>
        <w:t>Estudos de Ecologia de Paisagem e Conservação da Universidade Federal do Rio Grande do Sul (UFRGS). Nesse panorama, o NEUC destaca-se como um núcleo pioneiro na formação e no desenvolvimento de recursos humanos direcionados especificamente para o estudo de manejo de unidades de conservação, servindo como incentivador e um potencial modelo para o desenvolvimento de outros núcleos no Brasil. A fim de quantificar e compreender a contribuição do NEUC na efetividade da formação de recursos humanos, este estudo foi desenvolvido para avaliar o conhecimento técnico, as habilidades práticas e operacionais, a transformação de identidade e as competências socioambientais adquiridas pelos seus integrantes.</w:t>
      </w:r>
    </w:p>
    <w:p w14:paraId="3C80715A" w14:textId="77777777" w:rsidR="008C7A3E" w:rsidRPr="001946AC" w:rsidRDefault="008C7A3E" w:rsidP="008C7A3E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</w:p>
    <w:p w14:paraId="268958F9" w14:textId="77777777" w:rsidR="008C7A3E" w:rsidRPr="005F70B0" w:rsidRDefault="008C7A3E" w:rsidP="008C7A3E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Metodologia</w:t>
      </w:r>
    </w:p>
    <w:p w14:paraId="7E2702AC" w14:textId="77777777" w:rsidR="008C7A3E" w:rsidRPr="001946AC" w:rsidRDefault="008C7A3E" w:rsidP="008C7A3E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1946AC">
        <w:rPr>
          <w:sz w:val="24"/>
          <w:szCs w:val="24"/>
          <w:lang w:val="pt-BR"/>
        </w:rPr>
        <w:t xml:space="preserve">Para avaliar a contribuição do NEUC através das experiências adquiridas pelos seus integrantes (neucianos), um questionário com perguntas qualitativas e quantitativas foi desenvolvido na ferramenta ‘Formulários do </w:t>
      </w:r>
      <w:r w:rsidRPr="005703BB">
        <w:rPr>
          <w:i/>
          <w:iCs/>
          <w:sz w:val="24"/>
          <w:szCs w:val="24"/>
          <w:lang w:val="pt-BR"/>
        </w:rPr>
        <w:t>Google</w:t>
      </w:r>
      <w:r w:rsidRPr="001946AC">
        <w:rPr>
          <w:sz w:val="24"/>
          <w:szCs w:val="24"/>
          <w:lang w:val="pt-BR"/>
        </w:rPr>
        <w:t>’ e aplicado para obter respostas de ex-participantes e membros atuais. As perguntas focaram em:</w:t>
      </w:r>
    </w:p>
    <w:p w14:paraId="399E85DC" w14:textId="77777777" w:rsidR="008C7A3E" w:rsidRPr="001946AC" w:rsidRDefault="008C7A3E" w:rsidP="008C7A3E">
      <w:pPr>
        <w:pStyle w:val="Corpodetexto"/>
        <w:numPr>
          <w:ilvl w:val="0"/>
          <w:numId w:val="3"/>
        </w:numPr>
        <w:spacing w:before="1" w:line="360" w:lineRule="auto"/>
        <w:jc w:val="both"/>
        <w:rPr>
          <w:sz w:val="24"/>
          <w:szCs w:val="24"/>
          <w:lang w:val="pt-BR"/>
        </w:rPr>
      </w:pPr>
      <w:r w:rsidRPr="001946AC">
        <w:rPr>
          <w:sz w:val="24"/>
          <w:szCs w:val="24"/>
          <w:lang w:val="pt-BR"/>
        </w:rPr>
        <w:t>Conhecer o vínculo atual com o NEUC e a área de atuação profissional;</w:t>
      </w:r>
    </w:p>
    <w:p w14:paraId="118208B0" w14:textId="77777777" w:rsidR="008C7A3E" w:rsidRPr="001946AC" w:rsidRDefault="008C7A3E" w:rsidP="008C7A3E">
      <w:pPr>
        <w:pStyle w:val="Corpodetexto"/>
        <w:numPr>
          <w:ilvl w:val="0"/>
          <w:numId w:val="3"/>
        </w:numPr>
        <w:spacing w:before="1" w:line="360" w:lineRule="auto"/>
        <w:jc w:val="both"/>
        <w:rPr>
          <w:sz w:val="24"/>
          <w:szCs w:val="24"/>
          <w:lang w:val="pt-BR"/>
        </w:rPr>
      </w:pPr>
      <w:r w:rsidRPr="001946AC">
        <w:rPr>
          <w:sz w:val="24"/>
          <w:szCs w:val="24"/>
          <w:lang w:val="pt-BR"/>
        </w:rPr>
        <w:t>Avaliar a contribuição do NEUC no desenvolvimento profissional e pessoal usando a escala Likert unidimensional (Likert, 1932) de 1 a 5 (pouca contribuição a contribuição significativa);</w:t>
      </w:r>
    </w:p>
    <w:p w14:paraId="44941184" w14:textId="77777777" w:rsidR="008C7A3E" w:rsidRPr="001946AC" w:rsidRDefault="008C7A3E" w:rsidP="008C7A3E">
      <w:pPr>
        <w:pStyle w:val="Corpodetexto"/>
        <w:numPr>
          <w:ilvl w:val="0"/>
          <w:numId w:val="3"/>
        </w:numPr>
        <w:spacing w:before="1" w:line="360" w:lineRule="auto"/>
        <w:jc w:val="both"/>
        <w:rPr>
          <w:sz w:val="24"/>
          <w:szCs w:val="24"/>
          <w:lang w:val="pt-BR"/>
        </w:rPr>
      </w:pPr>
      <w:r w:rsidRPr="001946AC">
        <w:rPr>
          <w:sz w:val="24"/>
          <w:szCs w:val="24"/>
          <w:lang w:val="pt-BR"/>
        </w:rPr>
        <w:t>Avaliar a contribuição do núcleo no desenvolvimento de competências profissionais, acadêmicas, pessoais e de caráter através de questões fechadas de escolha múltipla;</w:t>
      </w:r>
    </w:p>
    <w:p w14:paraId="7F70DD06" w14:textId="77777777" w:rsidR="008C7A3E" w:rsidRPr="001946AC" w:rsidRDefault="008C7A3E" w:rsidP="008C7A3E">
      <w:pPr>
        <w:pStyle w:val="Corpodetexto"/>
        <w:numPr>
          <w:ilvl w:val="0"/>
          <w:numId w:val="3"/>
        </w:numPr>
        <w:spacing w:before="1" w:line="360" w:lineRule="auto"/>
        <w:jc w:val="both"/>
        <w:rPr>
          <w:sz w:val="24"/>
          <w:szCs w:val="24"/>
          <w:lang w:val="pt-BR"/>
        </w:rPr>
      </w:pPr>
      <w:r w:rsidRPr="001946AC">
        <w:rPr>
          <w:sz w:val="24"/>
          <w:szCs w:val="24"/>
          <w:lang w:val="pt-BR"/>
        </w:rPr>
        <w:t>Avaliar o interesse dos participantes nas diferentes rotinas e frentes práticas do NEUC por meio de uma matriz estruturada em escala do tipo Likert de 5 pontos (pouco interessante a muito interessante);</w:t>
      </w:r>
    </w:p>
    <w:p w14:paraId="27DC3AD9" w14:textId="77777777" w:rsidR="008C7A3E" w:rsidRPr="001946AC" w:rsidRDefault="008C7A3E" w:rsidP="008C7A3E">
      <w:pPr>
        <w:pStyle w:val="Corpodetexto"/>
        <w:numPr>
          <w:ilvl w:val="0"/>
          <w:numId w:val="3"/>
        </w:numPr>
        <w:spacing w:before="1" w:line="360" w:lineRule="auto"/>
        <w:jc w:val="both"/>
        <w:rPr>
          <w:sz w:val="24"/>
          <w:szCs w:val="24"/>
          <w:lang w:val="pt-BR"/>
        </w:rPr>
      </w:pPr>
      <w:r w:rsidRPr="001946AC">
        <w:rPr>
          <w:sz w:val="24"/>
          <w:szCs w:val="24"/>
          <w:lang w:val="pt-BR"/>
        </w:rPr>
        <w:t>Obter, através de questões abertas, críticas e comentários pessoais sobre as atividades do NEUC.</w:t>
      </w:r>
    </w:p>
    <w:p w14:paraId="46CA607D" w14:textId="77777777" w:rsidR="008C7A3E" w:rsidRPr="001946AC" w:rsidRDefault="008C7A3E" w:rsidP="008C7A3E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1946AC">
        <w:rPr>
          <w:sz w:val="24"/>
          <w:szCs w:val="24"/>
          <w:lang w:val="pt-BR"/>
        </w:rPr>
        <w:t xml:space="preserve">O uso de formulários online é uma boa ferramenta de avaliação e coleta de dados, pois permite obter maior alcance amostral, além de possibilitar a obtenção de dados objetivos e sem desvios (Braun </w:t>
      </w:r>
      <w:r w:rsidRPr="007A75F4">
        <w:rPr>
          <w:i/>
          <w:iCs/>
          <w:sz w:val="24"/>
          <w:szCs w:val="24"/>
          <w:lang w:val="pt-BR"/>
        </w:rPr>
        <w:t>et al.,</w:t>
      </w:r>
      <w:r w:rsidRPr="001946AC">
        <w:rPr>
          <w:sz w:val="24"/>
          <w:szCs w:val="24"/>
          <w:lang w:val="pt-BR"/>
        </w:rPr>
        <w:t xml:space="preserve"> 2020). </w:t>
      </w:r>
    </w:p>
    <w:p w14:paraId="5CE46417" w14:textId="77777777" w:rsidR="008C7A3E" w:rsidRPr="005F70B0" w:rsidRDefault="008C7A3E" w:rsidP="008C7A3E">
      <w:pPr>
        <w:pStyle w:val="Corpodetexto"/>
        <w:spacing w:before="1" w:line="360" w:lineRule="auto"/>
        <w:rPr>
          <w:sz w:val="24"/>
          <w:szCs w:val="24"/>
        </w:rPr>
      </w:pPr>
    </w:p>
    <w:p w14:paraId="40E0A78A" w14:textId="77777777" w:rsidR="008C7A3E" w:rsidRPr="005F70B0" w:rsidRDefault="008C7A3E" w:rsidP="008C7A3E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Resultados e Discussão</w:t>
      </w:r>
    </w:p>
    <w:p w14:paraId="0588232A" w14:textId="77777777" w:rsidR="008C7A3E" w:rsidRPr="001946AC" w:rsidRDefault="008C7A3E" w:rsidP="008C7A3E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5703BB">
        <w:rPr>
          <w:sz w:val="24"/>
          <w:szCs w:val="24"/>
        </w:rPr>
        <w:t xml:space="preserve">O questionário alcançou a gestão atual, anteriores e participantes das atividades, totalizando 34 respostas (47,1% de membros ativos, 35,3% de ex-membros, 11,8% de </w:t>
      </w:r>
      <w:r w:rsidRPr="005703BB">
        <w:rPr>
          <w:sz w:val="24"/>
          <w:szCs w:val="24"/>
        </w:rPr>
        <w:lastRenderedPageBreak/>
        <w:t>frequentantes ouvintes e 5,9% de ex-frequentantes ouvintes</w:t>
      </w:r>
      <w:r>
        <w:rPr>
          <w:sz w:val="24"/>
          <w:szCs w:val="24"/>
        </w:rPr>
        <w:t xml:space="preserve">. </w:t>
      </w:r>
      <w:r w:rsidRPr="001946AC">
        <w:rPr>
          <w:sz w:val="24"/>
          <w:szCs w:val="24"/>
          <w:lang w:val="pt-BR"/>
        </w:rPr>
        <w:t>A percepção de ganho atingiu níveis de excelência em ambos os eixos, sem avaliações negativas</w:t>
      </w:r>
      <w:r>
        <w:rPr>
          <w:sz w:val="24"/>
          <w:szCs w:val="24"/>
          <w:lang w:val="pt-BR"/>
        </w:rPr>
        <w:t>. O</w:t>
      </w:r>
      <w:r w:rsidRPr="001946AC">
        <w:rPr>
          <w:sz w:val="24"/>
          <w:szCs w:val="24"/>
          <w:lang w:val="pt-BR"/>
        </w:rPr>
        <w:t xml:space="preserve"> desenvolvimento profissional somou 82,4% de nota máxima (5) e 11,8% de nota 4, enquanto o desenvolvimento pessoal atingiu 82,4% de nota 5 e 14,7% de nota 4, mostrando maior peso comparativo neste último.</w:t>
      </w:r>
    </w:p>
    <w:p w14:paraId="52B9C76A" w14:textId="77777777" w:rsidR="008C7A3E" w:rsidRPr="001946AC" w:rsidRDefault="008C7A3E" w:rsidP="008C7A3E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1946AC">
        <w:rPr>
          <w:sz w:val="24"/>
          <w:szCs w:val="24"/>
          <w:lang w:val="pt-BR"/>
        </w:rPr>
        <w:t>Dentre as competências profissionais e acadêmicas, o maior ganho foi em “</w:t>
      </w:r>
      <w:r w:rsidRPr="001946AC">
        <w:rPr>
          <w:i/>
          <w:iCs/>
          <w:sz w:val="24"/>
          <w:szCs w:val="24"/>
          <w:lang w:val="pt-BR"/>
        </w:rPr>
        <w:t>Conhecimento em Legislação e Planos de Manejo de UCs</w:t>
      </w:r>
      <w:r w:rsidRPr="001946AC">
        <w:rPr>
          <w:sz w:val="24"/>
          <w:szCs w:val="24"/>
          <w:lang w:val="pt-BR"/>
        </w:rPr>
        <w:t>” (94,1%), provando a eficiência do núcleo em permitir o domínio e a aplicabilidade do SNUC. Seguiram-se “</w:t>
      </w:r>
      <w:r w:rsidRPr="001946AC">
        <w:rPr>
          <w:i/>
          <w:iCs/>
          <w:sz w:val="24"/>
          <w:szCs w:val="24"/>
          <w:lang w:val="pt-BR"/>
        </w:rPr>
        <w:t>Capacidade de falar em público/oratória</w:t>
      </w:r>
      <w:r w:rsidRPr="001946AC">
        <w:rPr>
          <w:sz w:val="24"/>
          <w:szCs w:val="24"/>
          <w:lang w:val="pt-BR"/>
        </w:rPr>
        <w:t>”</w:t>
      </w:r>
      <w:r w:rsidRPr="001946AC">
        <w:rPr>
          <w:i/>
          <w:iCs/>
          <w:sz w:val="24"/>
          <w:szCs w:val="24"/>
          <w:lang w:val="pt-BR"/>
        </w:rPr>
        <w:t xml:space="preserve"> </w:t>
      </w:r>
      <w:r w:rsidRPr="001946AC">
        <w:rPr>
          <w:sz w:val="24"/>
          <w:szCs w:val="24"/>
          <w:lang w:val="pt-BR"/>
        </w:rPr>
        <w:t>(79,4%) e “</w:t>
      </w:r>
      <w:r w:rsidRPr="001946AC">
        <w:rPr>
          <w:i/>
          <w:iCs/>
          <w:sz w:val="24"/>
          <w:szCs w:val="24"/>
          <w:lang w:val="pt-BR"/>
        </w:rPr>
        <w:t>Experiência em extensão universitária</w:t>
      </w:r>
      <w:r w:rsidRPr="001946AC">
        <w:rPr>
          <w:sz w:val="24"/>
          <w:szCs w:val="24"/>
          <w:lang w:val="pt-BR"/>
        </w:rPr>
        <w:t>” (76,5%). Já “</w:t>
      </w:r>
      <w:r w:rsidRPr="001946AC">
        <w:rPr>
          <w:i/>
          <w:iCs/>
          <w:sz w:val="24"/>
          <w:szCs w:val="24"/>
          <w:lang w:val="pt-BR"/>
        </w:rPr>
        <w:t>Metodologias de campo</w:t>
      </w:r>
      <w:r w:rsidRPr="001946AC">
        <w:rPr>
          <w:sz w:val="24"/>
          <w:szCs w:val="24"/>
          <w:lang w:val="pt-BR"/>
        </w:rPr>
        <w:t>” (55,9%) e “</w:t>
      </w:r>
      <w:r w:rsidRPr="001946AC">
        <w:rPr>
          <w:i/>
          <w:iCs/>
          <w:sz w:val="24"/>
          <w:szCs w:val="24"/>
          <w:lang w:val="pt-BR"/>
        </w:rPr>
        <w:t>Escrita científica</w:t>
      </w:r>
      <w:r w:rsidRPr="001946AC">
        <w:rPr>
          <w:sz w:val="24"/>
          <w:szCs w:val="24"/>
          <w:lang w:val="pt-BR"/>
        </w:rPr>
        <w:t xml:space="preserve">” (41,2%) demonstraram a importância de atividades que complementam a estrutura básica da graduação, alinhando-se a Reymert </w:t>
      </w:r>
      <w:r w:rsidRPr="007A75F4">
        <w:rPr>
          <w:i/>
          <w:iCs/>
          <w:sz w:val="24"/>
          <w:szCs w:val="24"/>
          <w:lang w:val="pt-BR"/>
        </w:rPr>
        <w:t>et al.</w:t>
      </w:r>
      <w:r w:rsidRPr="001946AC">
        <w:rPr>
          <w:sz w:val="24"/>
          <w:szCs w:val="24"/>
          <w:lang w:val="pt-BR"/>
        </w:rPr>
        <w:t xml:space="preserve"> (2016), que afirmam que a formalização de núcleos de estudo eleva diretamente a qualidade da produção científica e o treinamento dos discentes.</w:t>
      </w:r>
    </w:p>
    <w:p w14:paraId="3C242073" w14:textId="77777777" w:rsidR="008C7A3E" w:rsidRPr="001946AC" w:rsidRDefault="008C7A3E" w:rsidP="008C7A3E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1946AC">
        <w:rPr>
          <w:sz w:val="24"/>
          <w:szCs w:val="24"/>
          <w:lang w:val="pt-BR"/>
        </w:rPr>
        <w:t>No âmbito de habilidades pessoais e de caráter, lideraram a “</w:t>
      </w:r>
      <w:r w:rsidRPr="001946AC">
        <w:rPr>
          <w:i/>
          <w:iCs/>
          <w:sz w:val="24"/>
          <w:szCs w:val="24"/>
          <w:lang w:val="pt-BR"/>
        </w:rPr>
        <w:t>Ética e responsabilidade socioambiental</w:t>
      </w:r>
      <w:r w:rsidRPr="001946AC">
        <w:rPr>
          <w:sz w:val="24"/>
          <w:szCs w:val="24"/>
          <w:lang w:val="pt-BR"/>
        </w:rPr>
        <w:t>” (91,2%) e a “</w:t>
      </w:r>
      <w:r w:rsidRPr="001946AC">
        <w:rPr>
          <w:i/>
          <w:iCs/>
          <w:sz w:val="24"/>
          <w:szCs w:val="24"/>
          <w:lang w:val="pt-BR"/>
        </w:rPr>
        <w:t>Aproximação com a natureza/prática da conservação</w:t>
      </w:r>
      <w:r w:rsidRPr="001946AC">
        <w:rPr>
          <w:sz w:val="24"/>
          <w:szCs w:val="24"/>
          <w:lang w:val="pt-BR"/>
        </w:rPr>
        <w:t>” (88,2%). O núcleo funcionou como espaço de mediação e convivência, gerando “</w:t>
      </w:r>
      <w:r w:rsidRPr="001946AC">
        <w:rPr>
          <w:i/>
          <w:iCs/>
          <w:sz w:val="24"/>
          <w:szCs w:val="24"/>
          <w:lang w:val="pt-BR"/>
        </w:rPr>
        <w:t>habilidade de comunicação e trabalho em grupo</w:t>
      </w:r>
      <w:r w:rsidRPr="001946AC">
        <w:rPr>
          <w:sz w:val="24"/>
          <w:szCs w:val="24"/>
          <w:lang w:val="pt-BR"/>
        </w:rPr>
        <w:t>” (82,4%), “</w:t>
      </w:r>
      <w:r w:rsidRPr="001946AC">
        <w:rPr>
          <w:i/>
          <w:iCs/>
          <w:sz w:val="24"/>
          <w:szCs w:val="24"/>
          <w:lang w:val="pt-BR"/>
        </w:rPr>
        <w:t>sensibilidade com comunidades no entorno de UCs</w:t>
      </w:r>
      <w:r w:rsidRPr="001946AC">
        <w:rPr>
          <w:sz w:val="24"/>
          <w:szCs w:val="24"/>
          <w:lang w:val="pt-BR"/>
        </w:rPr>
        <w:t>” (79,4%)</w:t>
      </w:r>
      <w:r w:rsidRPr="001946AC">
        <w:rPr>
          <w:i/>
          <w:iCs/>
          <w:sz w:val="24"/>
          <w:szCs w:val="24"/>
          <w:lang w:val="pt-BR"/>
        </w:rPr>
        <w:t xml:space="preserve"> </w:t>
      </w:r>
      <w:r w:rsidRPr="001946AC">
        <w:rPr>
          <w:sz w:val="24"/>
          <w:szCs w:val="24"/>
          <w:lang w:val="pt-BR"/>
        </w:rPr>
        <w:t>e “</w:t>
      </w:r>
      <w:r w:rsidRPr="001946AC">
        <w:rPr>
          <w:i/>
          <w:iCs/>
          <w:sz w:val="24"/>
          <w:szCs w:val="24"/>
          <w:lang w:val="pt-BR"/>
        </w:rPr>
        <w:t>Construção de relações de amizade</w:t>
      </w:r>
      <w:r w:rsidRPr="001946AC">
        <w:rPr>
          <w:sz w:val="24"/>
          <w:szCs w:val="24"/>
          <w:lang w:val="pt-BR"/>
        </w:rPr>
        <w:t>” (76,5%</w:t>
      </w:r>
      <w:r w:rsidRPr="001946AC">
        <w:rPr>
          <w:i/>
          <w:iCs/>
          <w:sz w:val="24"/>
          <w:szCs w:val="24"/>
          <w:lang w:val="pt-BR"/>
        </w:rPr>
        <w:t>)</w:t>
      </w:r>
      <w:r w:rsidRPr="001946AC">
        <w:rPr>
          <w:sz w:val="24"/>
          <w:szCs w:val="24"/>
          <w:lang w:val="pt-BR"/>
        </w:rPr>
        <w:t xml:space="preserve">. Esses resultados reforçam a premissa de Maxwell </w:t>
      </w:r>
      <w:r w:rsidRPr="00142CCA">
        <w:rPr>
          <w:i/>
          <w:iCs/>
          <w:sz w:val="24"/>
          <w:szCs w:val="24"/>
          <w:lang w:val="pt-BR"/>
        </w:rPr>
        <w:t>et al.</w:t>
      </w:r>
      <w:r w:rsidRPr="001946AC">
        <w:rPr>
          <w:sz w:val="24"/>
          <w:szCs w:val="24"/>
          <w:lang w:val="pt-BR"/>
        </w:rPr>
        <w:t xml:space="preserve"> (2020) de que a conservação moderna exige colaboração local e governança equitativa, superando o manejo puramente biológico. Os relatos evidenciam o desenvolvimento de competências classificadas na literatura como habilidades interpessoais (</w:t>
      </w:r>
      <w:r w:rsidRPr="001946AC">
        <w:rPr>
          <w:i/>
          <w:iCs/>
          <w:sz w:val="24"/>
          <w:szCs w:val="24"/>
          <w:lang w:val="pt-BR"/>
        </w:rPr>
        <w:t>soft skills</w:t>
      </w:r>
      <w:r w:rsidRPr="001946AC">
        <w:rPr>
          <w:sz w:val="24"/>
          <w:szCs w:val="24"/>
          <w:lang w:val="pt-BR"/>
        </w:rPr>
        <w:t>) (Elliott; Ryan; Wyborn, 2018).</w:t>
      </w:r>
    </w:p>
    <w:p w14:paraId="50FDA7AE" w14:textId="77777777" w:rsidR="008C7A3E" w:rsidRPr="001946AC" w:rsidRDefault="008C7A3E" w:rsidP="008C7A3E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1946AC">
        <w:rPr>
          <w:sz w:val="24"/>
          <w:szCs w:val="24"/>
          <w:lang w:val="pt-BR"/>
        </w:rPr>
        <w:t>A análise de interesse revelou clara preferência por imersões práticas classificadas como "Muito Interessante": “</w:t>
      </w:r>
      <w:r w:rsidRPr="001946AC">
        <w:rPr>
          <w:i/>
          <w:iCs/>
          <w:sz w:val="24"/>
          <w:szCs w:val="24"/>
          <w:lang w:val="pt-BR"/>
        </w:rPr>
        <w:t xml:space="preserve">Palestras/cursos” </w:t>
      </w:r>
      <w:r w:rsidRPr="001946AC">
        <w:rPr>
          <w:sz w:val="24"/>
          <w:szCs w:val="24"/>
          <w:lang w:val="pt-BR"/>
        </w:rPr>
        <w:t>(67,6%)</w:t>
      </w:r>
      <w:r w:rsidRPr="001946AC">
        <w:rPr>
          <w:i/>
          <w:iCs/>
          <w:sz w:val="24"/>
          <w:szCs w:val="24"/>
          <w:lang w:val="pt-BR"/>
        </w:rPr>
        <w:t xml:space="preserve">, “Criação de UCs” </w:t>
      </w:r>
      <w:r w:rsidRPr="001946AC">
        <w:rPr>
          <w:sz w:val="24"/>
          <w:szCs w:val="24"/>
          <w:lang w:val="pt-BR"/>
        </w:rPr>
        <w:t>(64,7%)</w:t>
      </w:r>
      <w:r w:rsidRPr="001946AC">
        <w:rPr>
          <w:i/>
          <w:iCs/>
          <w:sz w:val="24"/>
          <w:szCs w:val="24"/>
          <w:lang w:val="pt-BR"/>
        </w:rPr>
        <w:t xml:space="preserve">, “Atividades na natureza” </w:t>
      </w:r>
      <w:r w:rsidRPr="001946AC">
        <w:rPr>
          <w:sz w:val="24"/>
          <w:szCs w:val="24"/>
          <w:lang w:val="pt-BR"/>
        </w:rPr>
        <w:t>(61,8%)</w:t>
      </w:r>
      <w:r w:rsidRPr="001946AC">
        <w:rPr>
          <w:i/>
          <w:iCs/>
          <w:sz w:val="24"/>
          <w:szCs w:val="24"/>
          <w:lang w:val="pt-BR"/>
        </w:rPr>
        <w:t xml:space="preserve"> e “Visitas técnicas” </w:t>
      </w:r>
      <w:r w:rsidRPr="001946AC">
        <w:rPr>
          <w:sz w:val="24"/>
          <w:szCs w:val="24"/>
          <w:lang w:val="pt-BR"/>
        </w:rPr>
        <w:t>(58,8%)</w:t>
      </w:r>
      <w:r w:rsidRPr="001946AC">
        <w:rPr>
          <w:i/>
          <w:iCs/>
          <w:sz w:val="24"/>
          <w:szCs w:val="24"/>
          <w:lang w:val="pt-BR"/>
        </w:rPr>
        <w:t xml:space="preserve">. </w:t>
      </w:r>
      <w:r w:rsidRPr="001946AC">
        <w:rPr>
          <w:sz w:val="24"/>
          <w:szCs w:val="24"/>
          <w:lang w:val="pt-BR"/>
        </w:rPr>
        <w:t>Rotinas teóricas e de gestão interna registraram engajamento intermediário, divididas entre</w:t>
      </w:r>
      <w:r w:rsidRPr="001946AC">
        <w:rPr>
          <w:i/>
          <w:iCs/>
          <w:sz w:val="24"/>
          <w:szCs w:val="24"/>
          <w:lang w:val="pt-BR"/>
        </w:rPr>
        <w:t xml:space="preserve"> “Dinâmicas e Projetos de extensão” (52,9%), “Eventos e congressos”</w:t>
      </w:r>
      <w:r w:rsidRPr="001946AC">
        <w:rPr>
          <w:sz w:val="24"/>
          <w:szCs w:val="24"/>
          <w:lang w:val="pt-BR"/>
        </w:rPr>
        <w:t xml:space="preserve"> (50,0%)</w:t>
      </w:r>
      <w:r w:rsidRPr="001946AC">
        <w:rPr>
          <w:i/>
          <w:iCs/>
          <w:sz w:val="24"/>
          <w:szCs w:val="24"/>
          <w:lang w:val="pt-BR"/>
        </w:rPr>
        <w:t xml:space="preserve">, “Cinedebate” </w:t>
      </w:r>
      <w:r w:rsidRPr="001946AC">
        <w:rPr>
          <w:sz w:val="24"/>
          <w:szCs w:val="24"/>
          <w:lang w:val="pt-BR"/>
        </w:rPr>
        <w:t>(44,1%)</w:t>
      </w:r>
      <w:r w:rsidRPr="001946AC">
        <w:rPr>
          <w:i/>
          <w:iCs/>
          <w:sz w:val="24"/>
          <w:szCs w:val="24"/>
          <w:lang w:val="pt-BR"/>
        </w:rPr>
        <w:t xml:space="preserve">, “Pesquisas e Estudos de caso” </w:t>
      </w:r>
      <w:r w:rsidRPr="001946AC">
        <w:rPr>
          <w:sz w:val="24"/>
          <w:szCs w:val="24"/>
          <w:lang w:val="pt-BR"/>
        </w:rPr>
        <w:t xml:space="preserve">(41,2%) </w:t>
      </w:r>
      <w:r w:rsidRPr="001946AC">
        <w:rPr>
          <w:i/>
          <w:iCs/>
          <w:sz w:val="24"/>
          <w:szCs w:val="24"/>
          <w:lang w:val="pt-BR"/>
        </w:rPr>
        <w:t xml:space="preserve">e Reuniões </w:t>
      </w:r>
      <w:r w:rsidRPr="001946AC">
        <w:rPr>
          <w:sz w:val="24"/>
          <w:szCs w:val="24"/>
          <w:lang w:val="pt-BR"/>
        </w:rPr>
        <w:t>(38,2%). Em contrapartida, as notas "Pouco Interessante" concentraram-se restritamente no “</w:t>
      </w:r>
      <w:r w:rsidRPr="001946AC">
        <w:rPr>
          <w:i/>
          <w:iCs/>
          <w:sz w:val="24"/>
          <w:szCs w:val="24"/>
          <w:lang w:val="pt-BR"/>
        </w:rPr>
        <w:t xml:space="preserve">Cinedebate” </w:t>
      </w:r>
      <w:r w:rsidRPr="001946AC">
        <w:rPr>
          <w:sz w:val="24"/>
          <w:szCs w:val="24"/>
          <w:lang w:val="pt-BR"/>
        </w:rPr>
        <w:t>(5,9%), “</w:t>
      </w:r>
      <w:r w:rsidRPr="001946AC">
        <w:rPr>
          <w:i/>
          <w:iCs/>
          <w:sz w:val="24"/>
          <w:szCs w:val="24"/>
          <w:lang w:val="pt-BR"/>
        </w:rPr>
        <w:t>Estudos de caso</w:t>
      </w:r>
      <w:r w:rsidRPr="001946AC">
        <w:rPr>
          <w:sz w:val="24"/>
          <w:szCs w:val="24"/>
          <w:lang w:val="pt-BR"/>
        </w:rPr>
        <w:t xml:space="preserve">” (2,9%) e </w:t>
      </w:r>
      <w:r w:rsidRPr="001946AC">
        <w:rPr>
          <w:i/>
          <w:iCs/>
          <w:sz w:val="24"/>
          <w:szCs w:val="24"/>
          <w:lang w:val="pt-BR"/>
        </w:rPr>
        <w:t xml:space="preserve">Eventos </w:t>
      </w:r>
      <w:r w:rsidRPr="001946AC">
        <w:rPr>
          <w:sz w:val="24"/>
          <w:szCs w:val="24"/>
          <w:lang w:val="pt-BR"/>
        </w:rPr>
        <w:t>(2,9%). Esse desinteresse em atividades mais reflexivas indica a necessidade de reestruturação dessas frentes e maior direcionamento dos integrantes para a participação em congressos, visto que a baixa vivência teórico-prática nessa área pode explicar os resultados.</w:t>
      </w:r>
    </w:p>
    <w:p w14:paraId="2E169820" w14:textId="77777777" w:rsidR="008C7A3E" w:rsidRDefault="008C7A3E" w:rsidP="008C7A3E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1946AC">
        <w:rPr>
          <w:sz w:val="24"/>
          <w:szCs w:val="24"/>
          <w:lang w:val="pt-BR"/>
        </w:rPr>
        <w:lastRenderedPageBreak/>
        <w:t xml:space="preserve">Nas respostas abertas, o ambiente foi caracterizado por acolhimento, inclusão e pertencimento. Wenger-Trayner (2016) argumenta que a identificação com uma comunidade oferece o suporte social para a transformação individual. Relatos como </w:t>
      </w:r>
      <w:r w:rsidRPr="001946AC">
        <w:rPr>
          <w:i/>
          <w:iCs/>
          <w:sz w:val="24"/>
          <w:szCs w:val="24"/>
          <w:lang w:val="pt-BR"/>
        </w:rPr>
        <w:t>"[...] por meio dele já defini e consegui os meus estágios obrigatórios"</w:t>
      </w:r>
      <w:r w:rsidRPr="001946AC">
        <w:rPr>
          <w:sz w:val="24"/>
          <w:szCs w:val="24"/>
          <w:lang w:val="pt-BR"/>
        </w:rPr>
        <w:t xml:space="preserve"> e a menção a um núcleo "receptivo" demonstram que o NEUC suporta a consolidação de “identidades em construção” </w:t>
      </w:r>
      <w:r w:rsidRPr="001946AC">
        <w:rPr>
          <w:i/>
          <w:iCs/>
          <w:sz w:val="24"/>
          <w:szCs w:val="24"/>
          <w:lang w:val="pt-BR"/>
        </w:rPr>
        <w:t>(identities in becoming)</w:t>
      </w:r>
      <w:r w:rsidRPr="001946AC">
        <w:rPr>
          <w:sz w:val="24"/>
          <w:szCs w:val="24"/>
          <w:lang w:val="pt-BR"/>
        </w:rPr>
        <w:t xml:space="preserve"> através do engajamento prático e do “trabalho em equipe”. Esse espaço de mediação e “incentivo mútuo” consolida o que Farnsworth, Kleanthous e Wenger-Trayner (2016) definem como o alinhamento entre as aspirações pessoais e as competências exigidas pelo campo profissional.</w:t>
      </w:r>
    </w:p>
    <w:p w14:paraId="33D6DC44" w14:textId="77777777" w:rsidR="008C7A3E" w:rsidRPr="001946AC" w:rsidRDefault="008C7A3E" w:rsidP="008C7A3E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</w:p>
    <w:p w14:paraId="54CCF1F8" w14:textId="77777777" w:rsidR="008C7A3E" w:rsidRPr="005F70B0" w:rsidRDefault="008C7A3E" w:rsidP="008C7A3E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Considerações Finais</w:t>
      </w:r>
    </w:p>
    <w:p w14:paraId="556BAC0E" w14:textId="77777777" w:rsidR="008C7A3E" w:rsidRDefault="008C7A3E" w:rsidP="008C7A3E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  <w:r w:rsidRPr="00FD5B7A">
        <w:rPr>
          <w:sz w:val="24"/>
          <w:szCs w:val="24"/>
          <w:lang w:val="pt-BR"/>
        </w:rPr>
        <w:t>Os resultados deste questionário demonstraram a contribuição significativa do NEUC na formação de recursos humanos como agentes da conservação da natureza, e materializam o princípio constitucional da indissociabilidade entre Ensino, Pesquisa e Extensão. O engajamento nas atividades prova que o NEUC funciona como um laboratório de capacitação integrada, indo ao encontro das diretrizes de "Curricularização da Extensão" no Brasil (resoluções do MEC/CNE), que exigem que as universidades preparem os estudantes para resolver problemas reais da sociedade (Brasil, 2024). Este trabalho incentiva outras iniciativas que aprimorem a compreensão, o entendimento e a aplicabilidade do Manejo de Unidades de Conservação, podendo servir como modelo para estruturar outros projetos.</w:t>
      </w:r>
    </w:p>
    <w:p w14:paraId="1EB483AF" w14:textId="77777777" w:rsidR="008C7A3E" w:rsidRPr="00FD5B7A" w:rsidRDefault="008C7A3E" w:rsidP="008C7A3E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</w:p>
    <w:p w14:paraId="0E2C87F3" w14:textId="77777777" w:rsidR="008C7A3E" w:rsidRPr="005F70B0" w:rsidRDefault="008C7A3E" w:rsidP="008C7A3E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Agradecimentos</w:t>
      </w:r>
    </w:p>
    <w:p w14:paraId="5D6831AB" w14:textId="77777777" w:rsidR="008C7A3E" w:rsidRDefault="008C7A3E" w:rsidP="008C7A3E">
      <w:pPr>
        <w:pStyle w:val="Corpodetexto"/>
        <w:spacing w:line="360" w:lineRule="auto"/>
        <w:rPr>
          <w:sz w:val="24"/>
          <w:szCs w:val="24"/>
          <w:lang w:val="pt-BR"/>
        </w:rPr>
      </w:pPr>
      <w:r w:rsidRPr="005F70B0">
        <w:rPr>
          <w:sz w:val="24"/>
          <w:szCs w:val="24"/>
        </w:rPr>
        <w:tab/>
      </w:r>
      <w:r w:rsidRPr="00FD5B7A">
        <w:rPr>
          <w:sz w:val="24"/>
          <w:szCs w:val="24"/>
          <w:lang w:val="pt-BR"/>
        </w:rPr>
        <w:t xml:space="preserve">Agradeço ao Conselho Nacional de Desenvolvimento Científico e Tecnológico (CNPq) por contribuir </w:t>
      </w:r>
      <w:r>
        <w:rPr>
          <w:sz w:val="24"/>
          <w:szCs w:val="24"/>
          <w:lang w:val="pt-BR"/>
        </w:rPr>
        <w:t>no</w:t>
      </w:r>
      <w:r w:rsidRPr="00FD5B7A">
        <w:rPr>
          <w:sz w:val="24"/>
          <w:szCs w:val="24"/>
          <w:lang w:val="pt-BR"/>
        </w:rPr>
        <w:t xml:space="preserve"> financiamento</w:t>
      </w:r>
      <w:r>
        <w:rPr>
          <w:sz w:val="24"/>
          <w:szCs w:val="24"/>
          <w:lang w:val="pt-BR"/>
        </w:rPr>
        <w:t xml:space="preserve"> para participação d</w:t>
      </w:r>
      <w:r w:rsidRPr="00FD5B7A">
        <w:rPr>
          <w:sz w:val="24"/>
          <w:szCs w:val="24"/>
          <w:lang w:val="pt-BR"/>
        </w:rPr>
        <w:t>a discente neste congresso.</w:t>
      </w:r>
    </w:p>
    <w:p w14:paraId="01465666" w14:textId="77777777" w:rsidR="008C7A3E" w:rsidRPr="00FD5B7A" w:rsidRDefault="008C7A3E" w:rsidP="008C7A3E">
      <w:pPr>
        <w:pStyle w:val="Corpodetexto"/>
        <w:spacing w:line="360" w:lineRule="auto"/>
        <w:rPr>
          <w:sz w:val="24"/>
          <w:szCs w:val="24"/>
          <w:lang w:val="pt-BR"/>
        </w:rPr>
      </w:pPr>
    </w:p>
    <w:p w14:paraId="026D4267" w14:textId="77777777" w:rsidR="008C7A3E" w:rsidRPr="00BF6F87" w:rsidRDefault="008C7A3E" w:rsidP="008C7A3E">
      <w:pPr>
        <w:pStyle w:val="Corpodetexto"/>
        <w:spacing w:line="360" w:lineRule="auto"/>
        <w:jc w:val="both"/>
        <w:rPr>
          <w:sz w:val="24"/>
          <w:szCs w:val="24"/>
          <w:lang w:val="en-US"/>
        </w:rPr>
      </w:pPr>
      <w:r w:rsidRPr="00BF6F87">
        <w:rPr>
          <w:b/>
          <w:bCs/>
          <w:sz w:val="28"/>
          <w:szCs w:val="28"/>
          <w:lang w:val="en-US"/>
        </w:rPr>
        <w:t>Referências</w:t>
      </w:r>
    </w:p>
    <w:p w14:paraId="34991780" w14:textId="77777777" w:rsidR="008C7A3E" w:rsidRPr="00FD5B7A" w:rsidRDefault="008C7A3E" w:rsidP="008C7A3E">
      <w:pPr>
        <w:pStyle w:val="Corpodetexto"/>
        <w:rPr>
          <w:sz w:val="24"/>
          <w:szCs w:val="24"/>
          <w:lang w:val="en-US"/>
        </w:rPr>
      </w:pPr>
      <w:r w:rsidRPr="00BF6F87">
        <w:rPr>
          <w:sz w:val="24"/>
          <w:szCs w:val="24"/>
          <w:lang w:val="en-US"/>
        </w:rPr>
        <w:t xml:space="preserve">ANDRADE, K. </w:t>
      </w:r>
      <w:r w:rsidRPr="00BF6F87">
        <w:rPr>
          <w:i/>
          <w:iCs/>
          <w:sz w:val="24"/>
          <w:szCs w:val="24"/>
          <w:lang w:val="en-US"/>
        </w:rPr>
        <w:t>et al</w:t>
      </w:r>
      <w:r w:rsidRPr="00BF6F87">
        <w:rPr>
          <w:sz w:val="24"/>
          <w:szCs w:val="24"/>
          <w:lang w:val="en-US"/>
        </w:rPr>
        <w:t xml:space="preserve">. </w:t>
      </w:r>
      <w:r w:rsidRPr="00FD5B7A">
        <w:rPr>
          <w:sz w:val="24"/>
          <w:szCs w:val="24"/>
          <w:lang w:val="en-US"/>
        </w:rPr>
        <w:t xml:space="preserve">Finding your way in the interdisciplinary forest: notes on educating future conservation practitioners. </w:t>
      </w:r>
      <w:r w:rsidRPr="00FD5B7A">
        <w:rPr>
          <w:b/>
          <w:bCs/>
          <w:sz w:val="24"/>
          <w:szCs w:val="24"/>
          <w:lang w:val="en-US"/>
        </w:rPr>
        <w:t>Biodiversity and Conservation</w:t>
      </w:r>
      <w:r w:rsidRPr="00FD5B7A">
        <w:rPr>
          <w:sz w:val="24"/>
          <w:szCs w:val="24"/>
          <w:lang w:val="en-US"/>
        </w:rPr>
        <w:t>, v. 23, p. 3405–3423, 2014. DOI:</w:t>
      </w:r>
      <w:hyperlink r:id="rId7" w:history="1">
        <w:r w:rsidRPr="00FD5B7A">
          <w:rPr>
            <w:rStyle w:val="Hyperlink"/>
            <w:sz w:val="24"/>
            <w:szCs w:val="24"/>
            <w:lang w:val="en-US"/>
          </w:rPr>
          <w:t xml:space="preserve"> http://dx.doi.org/10.1007/s10531-014-0818-z</w:t>
        </w:r>
      </w:hyperlink>
      <w:r w:rsidRPr="00FD5B7A">
        <w:rPr>
          <w:sz w:val="24"/>
          <w:szCs w:val="24"/>
          <w:lang w:val="en-US"/>
        </w:rPr>
        <w:t>.</w:t>
      </w:r>
    </w:p>
    <w:p w14:paraId="702763AC" w14:textId="77777777" w:rsidR="008C7A3E" w:rsidRPr="00FD5B7A" w:rsidRDefault="008C7A3E" w:rsidP="008C7A3E">
      <w:pPr>
        <w:pStyle w:val="Corpodetexto"/>
        <w:rPr>
          <w:sz w:val="24"/>
          <w:szCs w:val="24"/>
          <w:lang w:val="en-US"/>
        </w:rPr>
      </w:pPr>
      <w:r w:rsidRPr="00FD5B7A">
        <w:rPr>
          <w:sz w:val="24"/>
          <w:szCs w:val="24"/>
          <w:lang w:val="pt-BR"/>
        </w:rPr>
        <w:t xml:space="preserve">BRASIL. Ministério da Educação. Conselho Nacional de Educação. </w:t>
      </w:r>
      <w:r w:rsidRPr="00FD5B7A">
        <w:rPr>
          <w:b/>
          <w:bCs/>
          <w:sz w:val="24"/>
          <w:szCs w:val="24"/>
          <w:lang w:val="pt-BR"/>
        </w:rPr>
        <w:t>Resolução CNE/CEB nº 2, de 13 de novembro de 2024</w:t>
      </w:r>
      <w:r w:rsidRPr="00FD5B7A">
        <w:rPr>
          <w:sz w:val="24"/>
          <w:szCs w:val="24"/>
          <w:lang w:val="pt-BR"/>
        </w:rPr>
        <w:t xml:space="preserve">. Institui as Diretrizes Curriculares Nacionais para o Ensino Médio - DCNEM. </w:t>
      </w:r>
      <w:r w:rsidRPr="00FD5B7A">
        <w:rPr>
          <w:sz w:val="24"/>
          <w:szCs w:val="24"/>
          <w:lang w:val="en-US"/>
        </w:rPr>
        <w:t>Brasília: MEC, 2024.</w:t>
      </w:r>
    </w:p>
    <w:p w14:paraId="3227AAB2" w14:textId="77777777" w:rsidR="008C7A3E" w:rsidRPr="00FD5B7A" w:rsidRDefault="008C7A3E" w:rsidP="008C7A3E">
      <w:pPr>
        <w:pStyle w:val="Corpodetexto"/>
        <w:rPr>
          <w:sz w:val="24"/>
          <w:szCs w:val="24"/>
          <w:lang w:val="en-US"/>
        </w:rPr>
      </w:pPr>
      <w:r w:rsidRPr="00FD5B7A">
        <w:rPr>
          <w:sz w:val="24"/>
          <w:szCs w:val="24"/>
          <w:lang w:val="en-US"/>
        </w:rPr>
        <w:t xml:space="preserve">ELLIOTT, L.; RYAN, M.; WYBORN, C. Global patterns in conservation capacity development. </w:t>
      </w:r>
      <w:r w:rsidRPr="00FD5B7A">
        <w:rPr>
          <w:b/>
          <w:bCs/>
          <w:sz w:val="24"/>
          <w:szCs w:val="24"/>
          <w:lang w:val="en-US"/>
        </w:rPr>
        <w:t>Biological Conservation</w:t>
      </w:r>
      <w:r w:rsidRPr="00FD5B7A">
        <w:rPr>
          <w:sz w:val="24"/>
          <w:szCs w:val="24"/>
          <w:lang w:val="en-US"/>
        </w:rPr>
        <w:t>, v. 221, p. 261-269, 2018. DOI:</w:t>
      </w:r>
      <w:hyperlink r:id="rId8" w:history="1">
        <w:r w:rsidRPr="00FD5B7A">
          <w:rPr>
            <w:rStyle w:val="Hyperlink"/>
            <w:sz w:val="24"/>
            <w:szCs w:val="24"/>
            <w:lang w:val="en-US"/>
          </w:rPr>
          <w:t xml:space="preserve"> https://doi.org/10.1016/j.biocon.2018.03.018</w:t>
        </w:r>
      </w:hyperlink>
      <w:r w:rsidRPr="00FD5B7A">
        <w:rPr>
          <w:sz w:val="24"/>
          <w:szCs w:val="24"/>
          <w:lang w:val="en-US"/>
        </w:rPr>
        <w:t>.</w:t>
      </w:r>
    </w:p>
    <w:p w14:paraId="36CC2B6F" w14:textId="77777777" w:rsidR="008C7A3E" w:rsidRPr="00FD5B7A" w:rsidRDefault="008C7A3E" w:rsidP="008C7A3E">
      <w:pPr>
        <w:pStyle w:val="Corpodetexto"/>
        <w:rPr>
          <w:sz w:val="24"/>
          <w:szCs w:val="24"/>
          <w:lang w:val="en-US"/>
        </w:rPr>
      </w:pPr>
      <w:r w:rsidRPr="00FD5B7A">
        <w:rPr>
          <w:sz w:val="24"/>
          <w:szCs w:val="24"/>
          <w:lang w:val="en-US"/>
        </w:rPr>
        <w:lastRenderedPageBreak/>
        <w:t xml:space="preserve">FARNSWORTH, V.; CLEANTHOUS, I.; WENGER-TRAYNER, E. Communities of practice as a social theory of learning: A conversation with Etienne Wenger. </w:t>
      </w:r>
      <w:r w:rsidRPr="00FD5B7A">
        <w:rPr>
          <w:b/>
          <w:bCs/>
          <w:sz w:val="24"/>
          <w:szCs w:val="24"/>
          <w:lang w:val="en-US"/>
        </w:rPr>
        <w:t>British Journal of Educational Studies</w:t>
      </w:r>
      <w:r w:rsidRPr="00FD5B7A">
        <w:rPr>
          <w:sz w:val="24"/>
          <w:szCs w:val="24"/>
          <w:lang w:val="en-US"/>
        </w:rPr>
        <w:t>, v. 64, n. 2, p. 139-160, 2016. DOI:</w:t>
      </w:r>
      <w:hyperlink r:id="rId9" w:history="1">
        <w:r w:rsidRPr="00FD5B7A">
          <w:rPr>
            <w:rStyle w:val="Hyperlink"/>
            <w:sz w:val="24"/>
            <w:szCs w:val="24"/>
            <w:lang w:val="en-US"/>
          </w:rPr>
          <w:t xml:space="preserve"> https://doi.org/10.1080/00071005.2015.1133799</w:t>
        </w:r>
      </w:hyperlink>
      <w:r w:rsidRPr="00FD5B7A">
        <w:rPr>
          <w:sz w:val="24"/>
          <w:szCs w:val="24"/>
          <w:lang w:val="en-US"/>
        </w:rPr>
        <w:t>.</w:t>
      </w:r>
    </w:p>
    <w:p w14:paraId="51AB00B6" w14:textId="77777777" w:rsidR="008C7A3E" w:rsidRPr="00FD5B7A" w:rsidRDefault="008C7A3E" w:rsidP="008C7A3E">
      <w:pPr>
        <w:pStyle w:val="Corpodetexto"/>
        <w:rPr>
          <w:sz w:val="24"/>
          <w:szCs w:val="24"/>
          <w:lang w:val="en-US"/>
        </w:rPr>
      </w:pPr>
      <w:r w:rsidRPr="00FD5B7A">
        <w:rPr>
          <w:sz w:val="24"/>
          <w:szCs w:val="24"/>
          <w:lang w:val="en-US"/>
        </w:rPr>
        <w:t xml:space="preserve">FEINSTEIN, N. W.; MACH, K. J. Three roles for education in climate change adaptation. </w:t>
      </w:r>
      <w:r w:rsidRPr="00FD5B7A">
        <w:rPr>
          <w:b/>
          <w:bCs/>
          <w:sz w:val="24"/>
          <w:szCs w:val="24"/>
          <w:lang w:val="en-US"/>
        </w:rPr>
        <w:t>Climate Policy</w:t>
      </w:r>
      <w:r w:rsidRPr="00FD5B7A">
        <w:rPr>
          <w:sz w:val="24"/>
          <w:szCs w:val="24"/>
          <w:lang w:val="en-US"/>
        </w:rPr>
        <w:t>, v. 20, p. 1-7, 2019. DOI:</w:t>
      </w:r>
      <w:hyperlink r:id="rId10" w:history="1">
        <w:r w:rsidRPr="00FD5B7A">
          <w:rPr>
            <w:rStyle w:val="Hyperlink"/>
            <w:sz w:val="24"/>
            <w:szCs w:val="24"/>
            <w:lang w:val="en-US"/>
          </w:rPr>
          <w:t xml:space="preserve"> https://doi.org/10.1080/14693062.2019.1701975</w:t>
        </w:r>
      </w:hyperlink>
      <w:r w:rsidRPr="00FD5B7A">
        <w:rPr>
          <w:sz w:val="24"/>
          <w:szCs w:val="24"/>
          <w:lang w:val="en-US"/>
        </w:rPr>
        <w:t>.</w:t>
      </w:r>
    </w:p>
    <w:p w14:paraId="28473995" w14:textId="77777777" w:rsidR="008C7A3E" w:rsidRPr="00FD5B7A" w:rsidRDefault="008C7A3E" w:rsidP="008C7A3E">
      <w:pPr>
        <w:pStyle w:val="Corpodetexto"/>
        <w:rPr>
          <w:sz w:val="24"/>
          <w:szCs w:val="24"/>
          <w:lang w:val="en-US"/>
        </w:rPr>
      </w:pPr>
      <w:r w:rsidRPr="00FD5B7A">
        <w:rPr>
          <w:sz w:val="24"/>
          <w:szCs w:val="24"/>
          <w:lang w:val="en-US"/>
        </w:rPr>
        <w:t xml:space="preserve">LIKERT, R. A technique for the measurement of attitudes. </w:t>
      </w:r>
      <w:r w:rsidRPr="00FD5B7A">
        <w:rPr>
          <w:b/>
          <w:bCs/>
          <w:sz w:val="24"/>
          <w:szCs w:val="24"/>
          <w:lang w:val="en-US"/>
        </w:rPr>
        <w:t>Archives of Psychology</w:t>
      </w:r>
      <w:r w:rsidRPr="00FD5B7A">
        <w:rPr>
          <w:sz w:val="24"/>
          <w:szCs w:val="24"/>
          <w:lang w:val="en-US"/>
        </w:rPr>
        <w:t>, v. 22, n. 140, p. 1-55, 1932.</w:t>
      </w:r>
    </w:p>
    <w:p w14:paraId="4F78DF72" w14:textId="77777777" w:rsidR="008C7A3E" w:rsidRPr="00FD5B7A" w:rsidRDefault="008C7A3E" w:rsidP="008C7A3E">
      <w:pPr>
        <w:pStyle w:val="Corpodetexto"/>
        <w:rPr>
          <w:sz w:val="24"/>
          <w:szCs w:val="24"/>
          <w:lang w:val="en-US"/>
        </w:rPr>
      </w:pPr>
      <w:r w:rsidRPr="00FD5B7A">
        <w:rPr>
          <w:sz w:val="24"/>
          <w:szCs w:val="24"/>
          <w:lang w:val="en-US"/>
        </w:rPr>
        <w:t xml:space="preserve">LUCAS, J.; GORA, E.; ALONSO, A. A view of the global conservation job market and how to succeed in it. </w:t>
      </w:r>
      <w:r w:rsidRPr="00FD5B7A">
        <w:rPr>
          <w:b/>
          <w:bCs/>
          <w:sz w:val="24"/>
          <w:szCs w:val="24"/>
          <w:lang w:val="en-US"/>
        </w:rPr>
        <w:t>Conservation Biology</w:t>
      </w:r>
      <w:r w:rsidRPr="00FD5B7A">
        <w:rPr>
          <w:sz w:val="24"/>
          <w:szCs w:val="24"/>
          <w:lang w:val="en-US"/>
        </w:rPr>
        <w:t>, p. 1–22, 2017. DOI:</w:t>
      </w:r>
      <w:hyperlink r:id="rId11" w:history="1">
        <w:r w:rsidRPr="00FD5B7A">
          <w:rPr>
            <w:rStyle w:val="Hyperlink"/>
            <w:sz w:val="24"/>
            <w:szCs w:val="24"/>
            <w:lang w:val="en-US"/>
          </w:rPr>
          <w:t xml:space="preserve"> http://dx.doi.org/10.1111/cobi.12949</w:t>
        </w:r>
      </w:hyperlink>
      <w:r w:rsidRPr="00FD5B7A">
        <w:rPr>
          <w:sz w:val="24"/>
          <w:szCs w:val="24"/>
          <w:lang w:val="en-US"/>
        </w:rPr>
        <w:t>.</w:t>
      </w:r>
    </w:p>
    <w:p w14:paraId="6B20FBD7" w14:textId="77777777" w:rsidR="008C7A3E" w:rsidRPr="00FD5B7A" w:rsidRDefault="008C7A3E" w:rsidP="008C7A3E">
      <w:pPr>
        <w:pStyle w:val="Corpodetexto"/>
        <w:rPr>
          <w:sz w:val="24"/>
          <w:szCs w:val="24"/>
          <w:lang w:val="pt-BR"/>
        </w:rPr>
      </w:pPr>
      <w:r w:rsidRPr="00FD5B7A">
        <w:rPr>
          <w:sz w:val="24"/>
          <w:szCs w:val="24"/>
          <w:lang w:val="en-US"/>
        </w:rPr>
        <w:t xml:space="preserve">MAXWELL, S. L. </w:t>
      </w:r>
      <w:r w:rsidRPr="00FD5B7A">
        <w:rPr>
          <w:i/>
          <w:iCs/>
          <w:sz w:val="24"/>
          <w:szCs w:val="24"/>
          <w:lang w:val="en-US"/>
        </w:rPr>
        <w:t>et al</w:t>
      </w:r>
      <w:r w:rsidRPr="00FD5B7A">
        <w:rPr>
          <w:sz w:val="24"/>
          <w:szCs w:val="24"/>
          <w:lang w:val="en-US"/>
        </w:rPr>
        <w:t xml:space="preserve">. Area-based conservation in the twenty-first century. </w:t>
      </w:r>
      <w:r w:rsidRPr="00FD5B7A">
        <w:rPr>
          <w:b/>
          <w:bCs/>
          <w:sz w:val="24"/>
          <w:szCs w:val="24"/>
          <w:lang w:val="pt-BR"/>
        </w:rPr>
        <w:t>Nature</w:t>
      </w:r>
      <w:r w:rsidRPr="00FD5B7A">
        <w:rPr>
          <w:sz w:val="24"/>
          <w:szCs w:val="24"/>
          <w:lang w:val="pt-BR"/>
        </w:rPr>
        <w:t>, v. 586, n. 7828, p. 217-227, 2020. DOI:</w:t>
      </w:r>
      <w:hyperlink r:id="rId12" w:history="1">
        <w:r w:rsidRPr="00FD5B7A">
          <w:rPr>
            <w:rStyle w:val="Hyperlink"/>
            <w:sz w:val="24"/>
            <w:szCs w:val="24"/>
            <w:lang w:val="pt-BR"/>
          </w:rPr>
          <w:t xml:space="preserve"> https://doi.org/10.1038/s41586-020-2773-z</w:t>
        </w:r>
      </w:hyperlink>
      <w:r w:rsidRPr="00FD5B7A">
        <w:rPr>
          <w:sz w:val="24"/>
          <w:szCs w:val="24"/>
          <w:lang w:val="pt-BR"/>
        </w:rPr>
        <w:t>.[cite: 6].</w:t>
      </w:r>
    </w:p>
    <w:p w14:paraId="6B6A68BB" w14:textId="77777777" w:rsidR="008C7A3E" w:rsidRPr="00FD5B7A" w:rsidRDefault="008C7A3E" w:rsidP="008C7A3E">
      <w:pPr>
        <w:pStyle w:val="Corpodetexto"/>
        <w:rPr>
          <w:sz w:val="24"/>
          <w:szCs w:val="24"/>
          <w:lang w:val="pt-BR"/>
        </w:rPr>
      </w:pPr>
      <w:r w:rsidRPr="00FD5B7A">
        <w:rPr>
          <w:sz w:val="24"/>
          <w:szCs w:val="24"/>
          <w:lang w:val="en-US"/>
        </w:rPr>
        <w:t xml:space="preserve">REYMERT, I. </w:t>
      </w:r>
      <w:r w:rsidRPr="00FD5B7A">
        <w:rPr>
          <w:i/>
          <w:iCs/>
          <w:sz w:val="24"/>
          <w:szCs w:val="24"/>
          <w:lang w:val="en-US"/>
        </w:rPr>
        <w:t>et al</w:t>
      </w:r>
      <w:r w:rsidRPr="00FD5B7A">
        <w:rPr>
          <w:sz w:val="24"/>
          <w:szCs w:val="24"/>
          <w:lang w:val="en-US"/>
        </w:rPr>
        <w:t xml:space="preserve">. The establishment of formal research groups in higher education institutions. </w:t>
      </w:r>
      <w:r w:rsidRPr="00FD5B7A">
        <w:rPr>
          <w:b/>
          <w:bCs/>
          <w:sz w:val="24"/>
          <w:szCs w:val="24"/>
          <w:lang w:val="en-US"/>
        </w:rPr>
        <w:t>Nordic Journal of Studies in Educational Policy</w:t>
      </w:r>
      <w:r w:rsidRPr="00FD5B7A">
        <w:rPr>
          <w:sz w:val="24"/>
          <w:szCs w:val="24"/>
          <w:lang w:val="en-US"/>
        </w:rPr>
        <w:t xml:space="preserve">, v. 2016, n. 2-3, p. 1-11, 2016. </w:t>
      </w:r>
      <w:r w:rsidRPr="00FD5B7A">
        <w:rPr>
          <w:sz w:val="24"/>
          <w:szCs w:val="24"/>
          <w:lang w:val="pt-BR"/>
        </w:rPr>
        <w:t>DOI:</w:t>
      </w:r>
      <w:hyperlink r:id="rId13" w:history="1">
        <w:r w:rsidRPr="00FD5B7A">
          <w:rPr>
            <w:rStyle w:val="Hyperlink"/>
            <w:sz w:val="24"/>
            <w:szCs w:val="24"/>
            <w:lang w:val="pt-BR"/>
          </w:rPr>
          <w:t xml:space="preserve"> https://doi.org/10.3402/nstep.v2.33896</w:t>
        </w:r>
      </w:hyperlink>
      <w:r w:rsidRPr="00FD5B7A">
        <w:rPr>
          <w:sz w:val="24"/>
          <w:szCs w:val="24"/>
          <w:lang w:val="pt-BR"/>
        </w:rPr>
        <w:t>.</w:t>
      </w:r>
    </w:p>
    <w:p w14:paraId="53AF54DA" w14:textId="77777777" w:rsidR="00243512" w:rsidRDefault="00243512" w:rsidP="00624629">
      <w:pPr>
        <w:pStyle w:val="Corpodetexto"/>
        <w:ind w:firstLine="720"/>
        <w:jc w:val="both"/>
        <w:rPr>
          <w:sz w:val="24"/>
          <w:szCs w:val="24"/>
        </w:rPr>
      </w:pPr>
    </w:p>
    <w:p w14:paraId="3267EE0C" w14:textId="77777777" w:rsidR="000815CB" w:rsidRDefault="000815CB" w:rsidP="00624629">
      <w:pPr>
        <w:pStyle w:val="Corpodetexto"/>
        <w:ind w:firstLine="720"/>
        <w:jc w:val="both"/>
        <w:rPr>
          <w:sz w:val="24"/>
          <w:szCs w:val="24"/>
        </w:rPr>
      </w:pPr>
    </w:p>
    <w:p w14:paraId="1935BD3C" w14:textId="77777777" w:rsidR="000815CB" w:rsidRDefault="000815CB" w:rsidP="00624629">
      <w:pPr>
        <w:pStyle w:val="Corpodetexto"/>
        <w:ind w:firstLine="720"/>
        <w:jc w:val="both"/>
        <w:rPr>
          <w:sz w:val="24"/>
          <w:szCs w:val="24"/>
        </w:rPr>
      </w:pPr>
    </w:p>
    <w:p w14:paraId="3DA96F41" w14:textId="77777777" w:rsidR="000815CB" w:rsidRDefault="000815CB" w:rsidP="00624629">
      <w:pPr>
        <w:pStyle w:val="Corpodetexto"/>
        <w:ind w:firstLine="720"/>
        <w:jc w:val="both"/>
        <w:rPr>
          <w:sz w:val="24"/>
          <w:szCs w:val="24"/>
        </w:rPr>
      </w:pPr>
    </w:p>
    <w:p w14:paraId="281DDCE4" w14:textId="77777777" w:rsidR="000815CB" w:rsidRDefault="000815CB" w:rsidP="00624629">
      <w:pPr>
        <w:pStyle w:val="Corpodetexto"/>
        <w:ind w:firstLine="720"/>
        <w:jc w:val="both"/>
        <w:rPr>
          <w:sz w:val="24"/>
          <w:szCs w:val="24"/>
        </w:rPr>
      </w:pPr>
    </w:p>
    <w:p w14:paraId="1CAFED39" w14:textId="77777777" w:rsidR="000815CB" w:rsidRDefault="000815CB" w:rsidP="00624629">
      <w:pPr>
        <w:pStyle w:val="Corpodetexto"/>
        <w:ind w:firstLine="720"/>
        <w:jc w:val="both"/>
        <w:rPr>
          <w:sz w:val="24"/>
          <w:szCs w:val="24"/>
        </w:rPr>
      </w:pPr>
    </w:p>
    <w:p w14:paraId="242C67BE" w14:textId="77777777" w:rsidR="000815CB" w:rsidRDefault="000815CB" w:rsidP="00624629">
      <w:pPr>
        <w:pStyle w:val="Corpodetexto"/>
        <w:ind w:firstLine="720"/>
        <w:jc w:val="both"/>
        <w:rPr>
          <w:sz w:val="24"/>
          <w:szCs w:val="24"/>
        </w:rPr>
      </w:pPr>
    </w:p>
    <w:p w14:paraId="5694BB2A" w14:textId="77777777" w:rsidR="000815CB" w:rsidRDefault="000815CB" w:rsidP="00624629">
      <w:pPr>
        <w:pStyle w:val="Corpodetexto"/>
        <w:ind w:firstLine="720"/>
        <w:jc w:val="both"/>
        <w:rPr>
          <w:sz w:val="24"/>
          <w:szCs w:val="24"/>
        </w:rPr>
      </w:pPr>
    </w:p>
    <w:p w14:paraId="22DD1D9D" w14:textId="77777777" w:rsidR="000815CB" w:rsidRDefault="000815CB" w:rsidP="00624629">
      <w:pPr>
        <w:pStyle w:val="Corpodetexto"/>
        <w:ind w:firstLine="720"/>
        <w:jc w:val="both"/>
        <w:rPr>
          <w:sz w:val="24"/>
          <w:szCs w:val="24"/>
        </w:rPr>
      </w:pPr>
    </w:p>
    <w:p w14:paraId="17C5E455" w14:textId="77777777" w:rsidR="000815CB" w:rsidRDefault="000815CB" w:rsidP="00624629">
      <w:pPr>
        <w:pStyle w:val="Corpodetexto"/>
        <w:ind w:firstLine="720"/>
        <w:jc w:val="both"/>
        <w:rPr>
          <w:sz w:val="24"/>
          <w:szCs w:val="24"/>
        </w:rPr>
      </w:pPr>
    </w:p>
    <w:p w14:paraId="1DD5519F" w14:textId="77777777" w:rsidR="000815CB" w:rsidRDefault="000815CB" w:rsidP="00624629">
      <w:pPr>
        <w:pStyle w:val="Corpodetexto"/>
        <w:ind w:firstLine="720"/>
        <w:jc w:val="both"/>
        <w:rPr>
          <w:sz w:val="24"/>
          <w:szCs w:val="24"/>
        </w:rPr>
      </w:pPr>
    </w:p>
    <w:p w14:paraId="1BA8F1D8" w14:textId="77777777" w:rsidR="000815CB" w:rsidRDefault="000815CB" w:rsidP="00624629">
      <w:pPr>
        <w:pStyle w:val="Corpodetexto"/>
        <w:ind w:firstLine="720"/>
        <w:jc w:val="both"/>
        <w:rPr>
          <w:sz w:val="24"/>
          <w:szCs w:val="24"/>
        </w:rPr>
      </w:pPr>
    </w:p>
    <w:p w14:paraId="3B529DF9" w14:textId="77777777" w:rsidR="000815CB" w:rsidRDefault="000815CB" w:rsidP="00624629">
      <w:pPr>
        <w:pStyle w:val="Corpodetexto"/>
        <w:ind w:firstLine="720"/>
        <w:jc w:val="both"/>
        <w:rPr>
          <w:sz w:val="24"/>
          <w:szCs w:val="24"/>
        </w:rPr>
      </w:pPr>
    </w:p>
    <w:p w14:paraId="6B831D44" w14:textId="77777777" w:rsidR="000815CB" w:rsidRDefault="000815CB" w:rsidP="00624629">
      <w:pPr>
        <w:pStyle w:val="Corpodetexto"/>
        <w:ind w:firstLine="720"/>
        <w:jc w:val="both"/>
        <w:rPr>
          <w:sz w:val="24"/>
          <w:szCs w:val="24"/>
        </w:rPr>
      </w:pPr>
    </w:p>
    <w:p w14:paraId="2006A24E" w14:textId="77777777" w:rsidR="000815CB" w:rsidRDefault="000815CB" w:rsidP="00624629">
      <w:pPr>
        <w:pStyle w:val="Corpodetexto"/>
        <w:ind w:firstLine="720"/>
        <w:jc w:val="both"/>
        <w:rPr>
          <w:sz w:val="24"/>
          <w:szCs w:val="24"/>
        </w:rPr>
      </w:pPr>
    </w:p>
    <w:p w14:paraId="398D53B1" w14:textId="77777777" w:rsidR="000815CB" w:rsidRDefault="000815CB" w:rsidP="00624629">
      <w:pPr>
        <w:pStyle w:val="Corpodetexto"/>
        <w:ind w:firstLine="720"/>
        <w:jc w:val="both"/>
        <w:rPr>
          <w:sz w:val="24"/>
          <w:szCs w:val="24"/>
        </w:rPr>
      </w:pPr>
    </w:p>
    <w:p w14:paraId="7DD08078" w14:textId="77777777" w:rsidR="000815CB" w:rsidRDefault="000815CB" w:rsidP="00624629">
      <w:pPr>
        <w:pStyle w:val="Corpodetexto"/>
        <w:ind w:firstLine="720"/>
        <w:jc w:val="both"/>
        <w:rPr>
          <w:sz w:val="24"/>
          <w:szCs w:val="24"/>
        </w:rPr>
      </w:pPr>
    </w:p>
    <w:p w14:paraId="42DD6D43" w14:textId="77777777" w:rsidR="000815CB" w:rsidRDefault="000815CB" w:rsidP="00624629">
      <w:pPr>
        <w:pStyle w:val="Corpodetexto"/>
        <w:ind w:firstLine="720"/>
        <w:jc w:val="both"/>
        <w:rPr>
          <w:sz w:val="24"/>
          <w:szCs w:val="24"/>
        </w:rPr>
      </w:pPr>
    </w:p>
    <w:p w14:paraId="43B56BF2" w14:textId="77777777" w:rsidR="000815CB" w:rsidRDefault="000815CB" w:rsidP="00624629">
      <w:pPr>
        <w:pStyle w:val="Corpodetexto"/>
        <w:ind w:firstLine="720"/>
        <w:jc w:val="both"/>
        <w:rPr>
          <w:sz w:val="24"/>
          <w:szCs w:val="24"/>
        </w:rPr>
      </w:pPr>
    </w:p>
    <w:p w14:paraId="21FAFD21" w14:textId="77777777" w:rsidR="000815CB" w:rsidRDefault="000815CB" w:rsidP="00624629">
      <w:pPr>
        <w:pStyle w:val="Corpodetexto"/>
        <w:ind w:firstLine="720"/>
        <w:jc w:val="both"/>
        <w:rPr>
          <w:sz w:val="24"/>
          <w:szCs w:val="24"/>
        </w:rPr>
      </w:pPr>
    </w:p>
    <w:p w14:paraId="34CDA924" w14:textId="77777777" w:rsidR="000815CB" w:rsidRDefault="000815CB" w:rsidP="00624629">
      <w:pPr>
        <w:pStyle w:val="Corpodetexto"/>
        <w:ind w:firstLine="720"/>
        <w:jc w:val="both"/>
        <w:rPr>
          <w:sz w:val="24"/>
          <w:szCs w:val="24"/>
        </w:rPr>
      </w:pPr>
    </w:p>
    <w:p w14:paraId="50DE8EDD" w14:textId="77777777" w:rsidR="000815CB" w:rsidRDefault="000815CB" w:rsidP="00624629">
      <w:pPr>
        <w:pStyle w:val="Corpodetexto"/>
        <w:ind w:firstLine="720"/>
        <w:jc w:val="both"/>
        <w:rPr>
          <w:sz w:val="24"/>
          <w:szCs w:val="24"/>
        </w:rPr>
      </w:pPr>
    </w:p>
    <w:p w14:paraId="051B8463" w14:textId="77777777" w:rsidR="000815CB" w:rsidRDefault="000815CB" w:rsidP="00624629">
      <w:pPr>
        <w:pStyle w:val="Corpodetexto"/>
        <w:ind w:firstLine="720"/>
        <w:jc w:val="both"/>
        <w:rPr>
          <w:sz w:val="24"/>
          <w:szCs w:val="24"/>
        </w:rPr>
      </w:pPr>
    </w:p>
    <w:p w14:paraId="0BB2841D" w14:textId="77777777" w:rsidR="000815CB" w:rsidRDefault="000815CB" w:rsidP="00624629">
      <w:pPr>
        <w:pStyle w:val="Corpodetexto"/>
        <w:ind w:firstLine="720"/>
        <w:jc w:val="both"/>
        <w:rPr>
          <w:sz w:val="24"/>
          <w:szCs w:val="24"/>
        </w:rPr>
      </w:pPr>
    </w:p>
    <w:p w14:paraId="5A82FE36" w14:textId="77777777" w:rsidR="000815CB" w:rsidRDefault="000815CB" w:rsidP="00624629">
      <w:pPr>
        <w:pStyle w:val="Corpodetexto"/>
        <w:ind w:firstLine="720"/>
        <w:jc w:val="both"/>
        <w:rPr>
          <w:sz w:val="24"/>
          <w:szCs w:val="24"/>
        </w:rPr>
      </w:pPr>
    </w:p>
    <w:p w14:paraId="6E5F47DD" w14:textId="77777777" w:rsidR="000815CB" w:rsidRDefault="000815CB" w:rsidP="00624629">
      <w:pPr>
        <w:pStyle w:val="Corpodetexto"/>
        <w:ind w:firstLine="720"/>
        <w:jc w:val="both"/>
        <w:rPr>
          <w:sz w:val="24"/>
          <w:szCs w:val="24"/>
        </w:rPr>
      </w:pPr>
    </w:p>
    <w:p w14:paraId="5854D8DA" w14:textId="77777777" w:rsidR="000815CB" w:rsidRDefault="000815CB" w:rsidP="00624629">
      <w:pPr>
        <w:pStyle w:val="Corpodetexto"/>
        <w:ind w:firstLine="720"/>
        <w:jc w:val="both"/>
        <w:rPr>
          <w:sz w:val="24"/>
          <w:szCs w:val="24"/>
        </w:rPr>
      </w:pPr>
    </w:p>
    <w:p w14:paraId="4A100EDE" w14:textId="77777777" w:rsidR="000815CB" w:rsidRDefault="000815CB" w:rsidP="00624629">
      <w:pPr>
        <w:pStyle w:val="Corpodetexto"/>
        <w:ind w:firstLine="720"/>
        <w:jc w:val="both"/>
        <w:rPr>
          <w:sz w:val="24"/>
          <w:szCs w:val="24"/>
        </w:rPr>
      </w:pPr>
    </w:p>
    <w:p w14:paraId="65173529" w14:textId="77777777" w:rsidR="000815CB" w:rsidRDefault="000815CB" w:rsidP="00624629">
      <w:pPr>
        <w:pStyle w:val="Corpodetexto"/>
        <w:ind w:firstLine="720"/>
        <w:jc w:val="both"/>
        <w:rPr>
          <w:sz w:val="24"/>
          <w:szCs w:val="24"/>
        </w:rPr>
      </w:pPr>
    </w:p>
    <w:p w14:paraId="465F4FEB" w14:textId="77777777" w:rsidR="000815CB" w:rsidRDefault="000815CB" w:rsidP="00624629">
      <w:pPr>
        <w:pStyle w:val="Corpodetexto"/>
        <w:ind w:firstLine="720"/>
        <w:jc w:val="both"/>
        <w:rPr>
          <w:sz w:val="24"/>
          <w:szCs w:val="24"/>
        </w:rPr>
      </w:pPr>
    </w:p>
    <w:p w14:paraId="5189C509" w14:textId="77777777" w:rsidR="000815CB" w:rsidRDefault="000815CB" w:rsidP="00624629">
      <w:pPr>
        <w:pStyle w:val="Corpodetexto"/>
        <w:ind w:firstLine="720"/>
        <w:jc w:val="both"/>
        <w:rPr>
          <w:sz w:val="24"/>
          <w:szCs w:val="24"/>
        </w:rPr>
      </w:pPr>
    </w:p>
    <w:p w14:paraId="2D58BBDE" w14:textId="77777777" w:rsidR="000815CB" w:rsidRDefault="000815CB" w:rsidP="00624629">
      <w:pPr>
        <w:pStyle w:val="Corpodetexto"/>
        <w:ind w:firstLine="720"/>
        <w:jc w:val="both"/>
        <w:rPr>
          <w:sz w:val="24"/>
          <w:szCs w:val="24"/>
        </w:rPr>
      </w:pPr>
    </w:p>
    <w:p w14:paraId="402C0612" w14:textId="77777777" w:rsidR="000815CB" w:rsidRDefault="000815CB" w:rsidP="00624629">
      <w:pPr>
        <w:pStyle w:val="Corpodetexto"/>
        <w:ind w:firstLine="720"/>
        <w:jc w:val="both"/>
        <w:rPr>
          <w:sz w:val="24"/>
          <w:szCs w:val="24"/>
        </w:rPr>
      </w:pPr>
    </w:p>
    <w:p w14:paraId="73F1B2E2" w14:textId="77777777" w:rsidR="000815CB" w:rsidRDefault="000815CB" w:rsidP="00624629">
      <w:pPr>
        <w:pStyle w:val="Corpodetexto"/>
        <w:ind w:firstLine="720"/>
        <w:jc w:val="both"/>
        <w:rPr>
          <w:sz w:val="24"/>
          <w:szCs w:val="24"/>
        </w:rPr>
      </w:pPr>
    </w:p>
    <w:p w14:paraId="0BA8C96F" w14:textId="4F393EFD" w:rsidR="001C5BCC" w:rsidRDefault="001C5BCC">
      <w:pPr>
        <w:pStyle w:val="Corpodetexto"/>
        <w:ind w:right="3991"/>
      </w:pPr>
    </w:p>
    <w:sectPr w:rsidR="001C5BCC" w:rsidSect="008913F4">
      <w:headerReference w:type="default" r:id="rId14"/>
      <w:footerReference w:type="default" r:id="rId15"/>
      <w:type w:val="continuous"/>
      <w:pgSz w:w="11910" w:h="16840"/>
      <w:pgMar w:top="1701" w:right="1134" w:bottom="1134" w:left="1701" w:header="0" w:footer="141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F766C" w14:textId="77777777" w:rsidR="002A2A37" w:rsidRDefault="002A2A37">
      <w:r>
        <w:separator/>
      </w:r>
    </w:p>
  </w:endnote>
  <w:endnote w:type="continuationSeparator" w:id="0">
    <w:p w14:paraId="0A6946AB" w14:textId="77777777" w:rsidR="002A2A37" w:rsidRDefault="002A2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FE9C9" w14:textId="4EAAFBA9" w:rsidR="001C5BCC" w:rsidRDefault="001C5BCC">
    <w:pPr>
      <w:pStyle w:val="Corpodetex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F4652" w14:textId="77777777" w:rsidR="002A2A37" w:rsidRDefault="002A2A37">
      <w:r>
        <w:separator/>
      </w:r>
    </w:p>
  </w:footnote>
  <w:footnote w:type="continuationSeparator" w:id="0">
    <w:p w14:paraId="6310A12C" w14:textId="77777777" w:rsidR="002A2A37" w:rsidRDefault="002A2A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835E2" w14:textId="6B9B4E0D" w:rsidR="000815CB" w:rsidRDefault="000815CB">
    <w:pPr>
      <w:pStyle w:val="Cabealho"/>
    </w:pPr>
    <w:r w:rsidRPr="005F70B0">
      <w:rPr>
        <w:noProof/>
        <w:sz w:val="24"/>
        <w:szCs w:val="24"/>
        <w:lang w:val="pt-BR" w:eastAsia="pt-BR"/>
      </w:rPr>
      <w:drawing>
        <wp:anchor distT="0" distB="0" distL="0" distR="0" simplePos="0" relativeHeight="251659264" behindDoc="0" locked="0" layoutInCell="1" allowOverlap="1" wp14:anchorId="610C0622" wp14:editId="301FEADD">
          <wp:simplePos x="0" y="0"/>
          <wp:positionH relativeFrom="page">
            <wp:posOffset>6350</wp:posOffset>
          </wp:positionH>
          <wp:positionV relativeFrom="page">
            <wp:posOffset>0</wp:posOffset>
          </wp:positionV>
          <wp:extent cx="7556500" cy="1060450"/>
          <wp:effectExtent l="0" t="0" r="6350" b="6350"/>
          <wp:wrapNone/>
          <wp:docPr id="2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072" cy="1060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44CDC">
      <w:rPr>
        <w:noProof/>
        <w:sz w:val="24"/>
        <w:szCs w:val="24"/>
        <w:lang w:val="pt-BR" w:eastAsia="pt-BR"/>
      </w:rPr>
      <w:drawing>
        <wp:inline distT="0" distB="0" distL="0" distR="0" wp14:anchorId="35FB35BF" wp14:editId="5F2A0F56">
          <wp:extent cx="5753100" cy="996950"/>
          <wp:effectExtent l="0" t="0" r="0" b="0"/>
          <wp:docPr id="58698020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996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923C4"/>
    <w:multiLevelType w:val="multilevel"/>
    <w:tmpl w:val="A432A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F43B22"/>
    <w:multiLevelType w:val="hybridMultilevel"/>
    <w:tmpl w:val="B1E8C65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20A604B"/>
    <w:multiLevelType w:val="multilevel"/>
    <w:tmpl w:val="C9A8C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9817059">
    <w:abstractNumId w:val="0"/>
  </w:num>
  <w:num w:numId="2" w16cid:durableId="949705031">
    <w:abstractNumId w:val="1"/>
  </w:num>
  <w:num w:numId="3" w16cid:durableId="6145986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C5BCC"/>
    <w:rsid w:val="000449F4"/>
    <w:rsid w:val="000815CB"/>
    <w:rsid w:val="00157AC0"/>
    <w:rsid w:val="00165EE9"/>
    <w:rsid w:val="001946AC"/>
    <w:rsid w:val="001C5BCC"/>
    <w:rsid w:val="0020412C"/>
    <w:rsid w:val="00241701"/>
    <w:rsid w:val="00243512"/>
    <w:rsid w:val="002A2A37"/>
    <w:rsid w:val="0036697E"/>
    <w:rsid w:val="004D3B89"/>
    <w:rsid w:val="004E4AE3"/>
    <w:rsid w:val="005259CE"/>
    <w:rsid w:val="005F70B0"/>
    <w:rsid w:val="00624629"/>
    <w:rsid w:val="00694319"/>
    <w:rsid w:val="0072065C"/>
    <w:rsid w:val="007561D8"/>
    <w:rsid w:val="00782FCE"/>
    <w:rsid w:val="008858BD"/>
    <w:rsid w:val="008913F4"/>
    <w:rsid w:val="008B4DF1"/>
    <w:rsid w:val="008C7A3E"/>
    <w:rsid w:val="009337CA"/>
    <w:rsid w:val="009C4B75"/>
    <w:rsid w:val="00A33E6F"/>
    <w:rsid w:val="00AD22F1"/>
    <w:rsid w:val="00AF5124"/>
    <w:rsid w:val="00C44CDC"/>
    <w:rsid w:val="00C538C1"/>
    <w:rsid w:val="00C60F3C"/>
    <w:rsid w:val="00C62E66"/>
    <w:rsid w:val="00C80AF3"/>
    <w:rsid w:val="00CB7608"/>
    <w:rsid w:val="00CD643E"/>
    <w:rsid w:val="00D17C36"/>
    <w:rsid w:val="00E3782C"/>
    <w:rsid w:val="00EA25BE"/>
    <w:rsid w:val="00F135CC"/>
    <w:rsid w:val="00FD5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3154C0"/>
  <w15:docId w15:val="{848C2E62-7580-45CE-8A1F-59270862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367"/>
      <w:ind w:left="75" w:right="209"/>
      <w:jc w:val="center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6697E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6697E"/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36697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6697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6697E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6697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6697E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paragraph" w:styleId="NormalWeb">
    <w:name w:val="Normal (Web)"/>
    <w:basedOn w:val="Normal"/>
    <w:uiPriority w:val="99"/>
    <w:semiHidden/>
    <w:unhideWhenUsed/>
    <w:rsid w:val="00FD5B7A"/>
    <w:rPr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FD5B7A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5B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7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https://doi.org/10.1016/j.biocon.2018.03.018" TargetMode="External"/><Relationship Id="rId13" Type="http://schemas.openxmlformats.org/officeDocument/2006/relationships/hyperlink" Target="https://www.google.com/search?q=https://doi.org/10.3402/nstep.v2.3389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ogle.com/search?q=http://dx.doi.org/10.1007/s10531-014-0818-z" TargetMode="External"/><Relationship Id="rId12" Type="http://schemas.openxmlformats.org/officeDocument/2006/relationships/hyperlink" Target="https://www.google.com/search?q=https://doi.org/10.1038/s41586-020-2773-z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dx.doi.org/10.1111/cobi.12949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www.google.com/search?q=https://doi.org/10.1080/14693062.2019.170197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search?q=https://doi.org/10.1080/00071005.2015.1133799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7</Pages>
  <Words>2231</Words>
  <Characters>12052</Characters>
  <Application>Microsoft Office Word</Application>
  <DocSecurity>0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cristiano poleto</dc:creator>
  <cp:lastModifiedBy>Maria Eduarda Souza Goulart</cp:lastModifiedBy>
  <cp:revision>15</cp:revision>
  <cp:lastPrinted>2026-06-30T18:16:00Z</cp:lastPrinted>
  <dcterms:created xsi:type="dcterms:W3CDTF">2026-01-27T16:39:00Z</dcterms:created>
  <dcterms:modified xsi:type="dcterms:W3CDTF">2026-08-17T18:38:00Z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2026-01-27T00:00:00Z</vt:filetime>
  </property>
</Properties>
</file>