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FA6E4B" w14:textId="77777777" w:rsidR="00ED604B" w:rsidRPr="00ED604B" w:rsidRDefault="00ED604B" w:rsidP="00ED604B">
      <w:pPr>
        <w:pStyle w:val="Ttulo1"/>
        <w:spacing w:before="251" w:line="242" w:lineRule="auto"/>
        <w:ind w:left="75" w:right="214"/>
        <w:jc w:val="center"/>
        <w:rPr>
          <w:sz w:val="32"/>
          <w:szCs w:val="32"/>
          <w:lang w:val="pt-BR"/>
        </w:rPr>
      </w:pPr>
      <w:r w:rsidRPr="00ED604B">
        <w:rPr>
          <w:sz w:val="32"/>
          <w:szCs w:val="32"/>
          <w:lang w:val="pt-BR"/>
        </w:rPr>
        <w:t>O PREÇO DO CARBONO E A REGENERAÇÃO DO SISTEMA: A ECONOMIA CIRCULAR COMO GRAMÁTICA JURÍDICA DO CLIMA</w:t>
      </w:r>
    </w:p>
    <w:p w14:paraId="1B1E1CB4" w14:textId="77777777" w:rsidR="00D06F4D" w:rsidRDefault="00D06F4D" w:rsidP="00E3782C">
      <w:pPr>
        <w:pStyle w:val="Ttulo1"/>
        <w:spacing w:before="251" w:line="242" w:lineRule="auto"/>
        <w:ind w:left="75" w:right="214"/>
        <w:jc w:val="center"/>
        <w:rPr>
          <w:sz w:val="32"/>
          <w:szCs w:val="32"/>
        </w:rPr>
      </w:pPr>
    </w:p>
    <w:p w14:paraId="128C99A5" w14:textId="77777777" w:rsidR="006E4A33" w:rsidRDefault="006E4A33" w:rsidP="006E4A33">
      <w:pPr>
        <w:jc w:val="center"/>
      </w:pPr>
      <w:r>
        <w:rPr>
          <w:sz w:val="24"/>
          <w:szCs w:val="24"/>
          <w:vertAlign w:val="superscript"/>
        </w:rPr>
        <w:t>1</w:t>
      </w:r>
      <w:r>
        <w:rPr>
          <w:b/>
          <w:bCs/>
          <w:sz w:val="24"/>
          <w:szCs w:val="24"/>
        </w:rPr>
        <w:t xml:space="preserve">Jamile Gonçalves Calissi, </w:t>
      </w:r>
      <w:r>
        <w:rPr>
          <w:sz w:val="24"/>
          <w:szCs w:val="24"/>
          <w:vertAlign w:val="superscript"/>
        </w:rPr>
        <w:t>2</w:t>
      </w:r>
      <w:r>
        <w:rPr>
          <w:b/>
          <w:bCs/>
          <w:sz w:val="24"/>
          <w:szCs w:val="24"/>
        </w:rPr>
        <w:t xml:space="preserve">Renato </w:t>
      </w:r>
      <w:proofErr w:type="spellStart"/>
      <w:r>
        <w:rPr>
          <w:b/>
          <w:bCs/>
          <w:sz w:val="24"/>
          <w:szCs w:val="24"/>
        </w:rPr>
        <w:t>Zanolla</w:t>
      </w:r>
      <w:proofErr w:type="spellEnd"/>
      <w:r>
        <w:rPr>
          <w:b/>
          <w:bCs/>
          <w:sz w:val="24"/>
          <w:szCs w:val="24"/>
        </w:rPr>
        <w:t xml:space="preserve"> </w:t>
      </w:r>
      <w:proofErr w:type="spellStart"/>
      <w:r>
        <w:rPr>
          <w:b/>
          <w:bCs/>
          <w:sz w:val="24"/>
          <w:szCs w:val="24"/>
        </w:rPr>
        <w:t>Montefusco</w:t>
      </w:r>
      <w:proofErr w:type="spellEnd"/>
      <w:r>
        <w:rPr>
          <w:b/>
          <w:bCs/>
          <w:sz w:val="24"/>
          <w:szCs w:val="24"/>
        </w:rPr>
        <w:t xml:space="preserve">, </w:t>
      </w:r>
      <w:r w:rsidRPr="008914EC">
        <w:rPr>
          <w:sz w:val="24"/>
          <w:szCs w:val="24"/>
          <w:vertAlign w:val="superscript"/>
        </w:rPr>
        <w:t>3</w:t>
      </w:r>
      <w:r w:rsidRPr="008914EC">
        <w:rPr>
          <w:b/>
          <w:bCs/>
          <w:sz w:val="24"/>
          <w:szCs w:val="24"/>
        </w:rPr>
        <w:t xml:space="preserve">Renato </w:t>
      </w:r>
      <w:proofErr w:type="spellStart"/>
      <w:r w:rsidRPr="008914EC">
        <w:rPr>
          <w:b/>
          <w:bCs/>
          <w:sz w:val="24"/>
          <w:szCs w:val="24"/>
        </w:rPr>
        <w:t>Maso</w:t>
      </w:r>
      <w:proofErr w:type="spellEnd"/>
      <w:r w:rsidRPr="008914EC">
        <w:rPr>
          <w:b/>
          <w:bCs/>
          <w:sz w:val="24"/>
          <w:szCs w:val="24"/>
        </w:rPr>
        <w:t xml:space="preserve"> </w:t>
      </w:r>
      <w:proofErr w:type="spellStart"/>
      <w:r w:rsidRPr="008914EC">
        <w:rPr>
          <w:b/>
          <w:bCs/>
          <w:sz w:val="24"/>
          <w:szCs w:val="24"/>
        </w:rPr>
        <w:t>Previde</w:t>
      </w:r>
      <w:proofErr w:type="spellEnd"/>
    </w:p>
    <w:p w14:paraId="36EF0677" w14:textId="77777777" w:rsidR="006E4A33" w:rsidRDefault="006E4A33" w:rsidP="006E4A33">
      <w:pPr>
        <w:spacing w:after="200"/>
        <w:jc w:val="center"/>
      </w:pPr>
      <w:r>
        <w:rPr>
          <w:i/>
          <w:iCs/>
          <w:sz w:val="24"/>
          <w:szCs w:val="24"/>
          <w:vertAlign w:val="superscript"/>
        </w:rPr>
        <w:t>1</w:t>
      </w:r>
      <w:r>
        <w:rPr>
          <w:i/>
          <w:iCs/>
          <w:sz w:val="24"/>
          <w:szCs w:val="24"/>
        </w:rPr>
        <w:t xml:space="preserve">Universidade do Estado de Minas Gerais, e-mail: jamile.calissi@uemg.br; </w:t>
      </w:r>
      <w:r>
        <w:rPr>
          <w:i/>
          <w:iCs/>
          <w:sz w:val="24"/>
          <w:szCs w:val="24"/>
          <w:vertAlign w:val="superscript"/>
        </w:rPr>
        <w:t>2</w:t>
      </w:r>
      <w:r>
        <w:rPr>
          <w:i/>
          <w:iCs/>
          <w:sz w:val="24"/>
          <w:szCs w:val="24"/>
        </w:rPr>
        <w:t xml:space="preserve">Universidade do Estado de Minas Gerais, e-mail: renato.montefusco@uemg.br; </w:t>
      </w:r>
      <w:r>
        <w:rPr>
          <w:i/>
          <w:iCs/>
          <w:sz w:val="24"/>
          <w:szCs w:val="24"/>
          <w:vertAlign w:val="superscript"/>
        </w:rPr>
        <w:t>3</w:t>
      </w:r>
      <w:r>
        <w:rPr>
          <w:i/>
          <w:iCs/>
          <w:sz w:val="24"/>
          <w:szCs w:val="24"/>
        </w:rPr>
        <w:t>Universidade do Estado de Minas Gerais, e-mail:</w:t>
      </w:r>
      <w:r w:rsidRPr="00E17C6B">
        <w:rPr>
          <w:i/>
          <w:iCs/>
          <w:sz w:val="24"/>
          <w:szCs w:val="24"/>
        </w:rPr>
        <w:t xml:space="preserve"> </w:t>
      </w:r>
      <w:r>
        <w:rPr>
          <w:i/>
          <w:iCs/>
          <w:sz w:val="24"/>
          <w:szCs w:val="24"/>
        </w:rPr>
        <w:t>renato.previde@uemg.br</w:t>
      </w:r>
    </w:p>
    <w:p w14:paraId="19ACAB03" w14:textId="77777777" w:rsidR="00E3782C" w:rsidRPr="005F70B0" w:rsidRDefault="00E3782C" w:rsidP="00E3782C">
      <w:pPr>
        <w:spacing w:line="228" w:lineRule="exact"/>
        <w:ind w:left="77" w:right="209"/>
        <w:jc w:val="center"/>
        <w:rPr>
          <w:i/>
          <w:spacing w:val="-2"/>
          <w:sz w:val="24"/>
          <w:szCs w:val="24"/>
        </w:rPr>
      </w:pPr>
    </w:p>
    <w:p w14:paraId="3FA99EF2" w14:textId="77777777" w:rsidR="00253B6F" w:rsidRPr="00253B6F" w:rsidRDefault="00253B6F" w:rsidP="00253B6F">
      <w:pPr>
        <w:spacing w:line="228" w:lineRule="exact"/>
        <w:ind w:left="77" w:right="209"/>
        <w:jc w:val="right"/>
        <w:rPr>
          <w:b/>
          <w:bCs/>
          <w:i/>
          <w:iCs/>
          <w:sz w:val="24"/>
          <w:szCs w:val="24"/>
          <w:lang w:val="pt-BR"/>
        </w:rPr>
      </w:pPr>
      <w:r w:rsidRPr="00253B6F">
        <w:rPr>
          <w:b/>
          <w:bCs/>
          <w:i/>
          <w:iCs/>
          <w:sz w:val="24"/>
          <w:szCs w:val="24"/>
          <w:lang w:val="pt-BR"/>
        </w:rPr>
        <w:t>Grupo 1: Ambiente e Clima</w:t>
      </w:r>
    </w:p>
    <w:p w14:paraId="69438972" w14:textId="77777777" w:rsidR="00253B6F" w:rsidRPr="00253B6F" w:rsidRDefault="00253B6F" w:rsidP="00253B6F">
      <w:pPr>
        <w:spacing w:line="228" w:lineRule="exact"/>
        <w:ind w:left="77" w:right="209"/>
        <w:jc w:val="right"/>
        <w:rPr>
          <w:b/>
          <w:bCs/>
          <w:i/>
          <w:iCs/>
          <w:sz w:val="24"/>
          <w:szCs w:val="24"/>
          <w:lang w:val="pt-BR"/>
        </w:rPr>
      </w:pPr>
      <w:r w:rsidRPr="00253B6F">
        <w:rPr>
          <w:b/>
          <w:bCs/>
          <w:i/>
          <w:iCs/>
          <w:sz w:val="24"/>
          <w:szCs w:val="24"/>
          <w:lang w:val="pt-BR"/>
        </w:rPr>
        <w:t>Eixo: Economia circular e clima</w:t>
      </w:r>
    </w:p>
    <w:p w14:paraId="1ADFF788" w14:textId="77777777" w:rsidR="00E3782C" w:rsidRPr="005F70B0" w:rsidRDefault="00E3782C" w:rsidP="00253B6F">
      <w:pPr>
        <w:spacing w:line="228" w:lineRule="exact"/>
        <w:ind w:left="77" w:right="209"/>
        <w:jc w:val="right"/>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31CCEC68" w14:textId="77777777" w:rsidR="000F75C3" w:rsidRPr="000F75C3" w:rsidRDefault="000F75C3" w:rsidP="000F75C3">
      <w:pPr>
        <w:jc w:val="both"/>
        <w:rPr>
          <w:iCs/>
          <w:sz w:val="24"/>
          <w:szCs w:val="24"/>
          <w:lang w:val="pt-BR"/>
        </w:rPr>
      </w:pPr>
      <w:r w:rsidRPr="000F75C3">
        <w:rPr>
          <w:iCs/>
          <w:sz w:val="24"/>
          <w:szCs w:val="24"/>
          <w:lang w:val="pt-BR"/>
        </w:rPr>
        <w:t xml:space="preserve">O presente trabalho examina a economia circular, em suas diferentes escolas de pensamento, como gramática jurídica capaz de articular a precificação de carbono e o design regenerativo em torno do direito fundamental à sustentabilidade. Parte-se da premissa de que a mudança climática, lida como a maior falha de mercado já registrada, exige instrumentos econômicos e normativos que superem o modelo linear de extração, produção e descarte herdado da Revolução Industrial. Objetiva-se demonstrar como escolas como a economia de performance, a ecologia industrial, o </w:t>
      </w:r>
      <w:proofErr w:type="spellStart"/>
      <w:r w:rsidRPr="00AE43FD">
        <w:rPr>
          <w:i/>
          <w:sz w:val="24"/>
          <w:szCs w:val="24"/>
          <w:lang w:val="pt-BR"/>
        </w:rPr>
        <w:t>cradle</w:t>
      </w:r>
      <w:proofErr w:type="spellEnd"/>
      <w:r w:rsidRPr="00AE43FD">
        <w:rPr>
          <w:i/>
          <w:sz w:val="24"/>
          <w:szCs w:val="24"/>
          <w:lang w:val="pt-BR"/>
        </w:rPr>
        <w:t xml:space="preserve"> </w:t>
      </w:r>
      <w:proofErr w:type="spellStart"/>
      <w:r w:rsidRPr="00AE43FD">
        <w:rPr>
          <w:i/>
          <w:sz w:val="24"/>
          <w:szCs w:val="24"/>
          <w:lang w:val="pt-BR"/>
        </w:rPr>
        <w:t>to</w:t>
      </w:r>
      <w:proofErr w:type="spellEnd"/>
      <w:r w:rsidRPr="00AE43FD">
        <w:rPr>
          <w:i/>
          <w:sz w:val="24"/>
          <w:szCs w:val="24"/>
          <w:lang w:val="pt-BR"/>
        </w:rPr>
        <w:t xml:space="preserve"> </w:t>
      </w:r>
      <w:proofErr w:type="spellStart"/>
      <w:r w:rsidRPr="00AE43FD">
        <w:rPr>
          <w:i/>
          <w:sz w:val="24"/>
          <w:szCs w:val="24"/>
          <w:lang w:val="pt-BR"/>
        </w:rPr>
        <w:t>cradle</w:t>
      </w:r>
      <w:proofErr w:type="spellEnd"/>
      <w:r w:rsidRPr="000F75C3">
        <w:rPr>
          <w:iCs/>
          <w:sz w:val="24"/>
          <w:szCs w:val="24"/>
          <w:lang w:val="pt-BR"/>
        </w:rPr>
        <w:t xml:space="preserve">, o capitalismo natural e o design regenerativo convergem para fundamentar juridicamente o </w:t>
      </w:r>
      <w:proofErr w:type="spellStart"/>
      <w:r w:rsidRPr="00AE43FD">
        <w:rPr>
          <w:i/>
          <w:sz w:val="24"/>
          <w:szCs w:val="24"/>
          <w:lang w:val="pt-BR"/>
        </w:rPr>
        <w:t>carbon</w:t>
      </w:r>
      <w:proofErr w:type="spellEnd"/>
      <w:r w:rsidRPr="00AE43FD">
        <w:rPr>
          <w:i/>
          <w:sz w:val="24"/>
          <w:szCs w:val="24"/>
          <w:lang w:val="pt-BR"/>
        </w:rPr>
        <w:t xml:space="preserve"> </w:t>
      </w:r>
      <w:proofErr w:type="spellStart"/>
      <w:r w:rsidRPr="00AE43FD">
        <w:rPr>
          <w:i/>
          <w:sz w:val="24"/>
          <w:szCs w:val="24"/>
          <w:lang w:val="pt-BR"/>
        </w:rPr>
        <w:t>pricing</w:t>
      </w:r>
      <w:proofErr w:type="spellEnd"/>
      <w:r w:rsidRPr="000F75C3">
        <w:rPr>
          <w:iCs/>
          <w:sz w:val="24"/>
          <w:szCs w:val="24"/>
          <w:lang w:val="pt-BR"/>
        </w:rPr>
        <w:t xml:space="preserve"> como mecanismo de internalização de custos ambientais. Utiliza-se pesquisa bibliográfica, de natureza qualitativa, com procedimento dedutivo, a partir de revisão da literatura nacional e internacional sobre economia circular, direito ambiental econômico e governança climática. Os resultados indicam que a precificação de carbono, prevista no artigo 6º do Acordo de Paris, não constitui iniciativa isolada, mas desdobramento prático das escolas de pensamento circular, sobretudo do design regenerativo e do capitalismo natural. Conclui-se que a economia circular oferece arcabouço teórico apto a unificar instrumentos de mitigação climática e proteção do capital natural em torno de um mesmo projeto jurídico-constitucional de desenvolvimento sustentável.</w:t>
      </w:r>
    </w:p>
    <w:p w14:paraId="762F9B08" w14:textId="77777777" w:rsidR="00E3782C" w:rsidRPr="005F70B0" w:rsidRDefault="00E3782C" w:rsidP="00E3782C">
      <w:pPr>
        <w:jc w:val="both"/>
        <w:rPr>
          <w:b/>
          <w:sz w:val="24"/>
          <w:szCs w:val="24"/>
        </w:rPr>
      </w:pPr>
    </w:p>
    <w:p w14:paraId="5F0D22CA" w14:textId="77777777" w:rsidR="00AE43FD" w:rsidRPr="00AE43FD" w:rsidRDefault="00E3782C" w:rsidP="00AE43FD">
      <w:pPr>
        <w:jc w:val="both"/>
        <w:rPr>
          <w:sz w:val="24"/>
          <w:szCs w:val="24"/>
          <w:lang w:val="pt-BR"/>
        </w:rPr>
      </w:pPr>
      <w:r w:rsidRPr="005F70B0">
        <w:rPr>
          <w:b/>
          <w:sz w:val="24"/>
          <w:szCs w:val="24"/>
        </w:rPr>
        <w:t>Palavras-chave:</w:t>
      </w:r>
      <w:r w:rsidRPr="005F70B0">
        <w:rPr>
          <w:b/>
          <w:spacing w:val="-2"/>
          <w:sz w:val="24"/>
          <w:szCs w:val="24"/>
        </w:rPr>
        <w:t xml:space="preserve"> </w:t>
      </w:r>
      <w:r w:rsidR="00AE43FD" w:rsidRPr="00AE43FD">
        <w:rPr>
          <w:sz w:val="24"/>
          <w:szCs w:val="24"/>
          <w:lang w:val="pt-BR"/>
        </w:rPr>
        <w:t>Design regenerativo; Economia circular; Precificação de carbono; Sustentabilidade.</w:t>
      </w:r>
    </w:p>
    <w:p w14:paraId="0F7CD38A" w14:textId="15FC9134" w:rsidR="009C4B75" w:rsidRDefault="009C4B75" w:rsidP="009C4B75">
      <w:pPr>
        <w:jc w:val="both"/>
        <w:rPr>
          <w:sz w:val="24"/>
          <w:szCs w:val="24"/>
          <w:lang w:val="pt-BR"/>
        </w:rPr>
      </w:pPr>
    </w:p>
    <w:p w14:paraId="0627400E" w14:textId="77777777" w:rsidR="004C30BE" w:rsidRDefault="004C30BE" w:rsidP="009C4B75">
      <w:pPr>
        <w:jc w:val="both"/>
        <w:rPr>
          <w:b/>
          <w:bCs/>
          <w:spacing w:val="-2"/>
          <w:sz w:val="28"/>
          <w:szCs w:val="28"/>
        </w:rPr>
      </w:pPr>
    </w:p>
    <w:p w14:paraId="5878A4D9" w14:textId="36E1CCDC" w:rsidR="00E3782C" w:rsidRPr="005F70B0" w:rsidRDefault="00E3782C" w:rsidP="009C4B75">
      <w:pPr>
        <w:jc w:val="both"/>
        <w:rPr>
          <w:b/>
          <w:bCs/>
          <w:spacing w:val="-2"/>
          <w:sz w:val="28"/>
          <w:szCs w:val="28"/>
        </w:rPr>
      </w:pPr>
      <w:r w:rsidRPr="005F70B0">
        <w:rPr>
          <w:b/>
          <w:bCs/>
          <w:spacing w:val="-2"/>
          <w:sz w:val="28"/>
          <w:szCs w:val="28"/>
        </w:rPr>
        <w:t>Introdução</w:t>
      </w:r>
    </w:p>
    <w:p w14:paraId="5E270B86" w14:textId="77777777" w:rsidR="009C4B75" w:rsidRDefault="009C4B75" w:rsidP="009C4B75">
      <w:pPr>
        <w:pStyle w:val="Corpodetexto"/>
        <w:spacing w:before="1" w:line="360" w:lineRule="auto"/>
        <w:ind w:firstLine="720"/>
        <w:jc w:val="both"/>
        <w:rPr>
          <w:sz w:val="24"/>
          <w:szCs w:val="24"/>
        </w:rPr>
      </w:pPr>
    </w:p>
    <w:p w14:paraId="585E9875" w14:textId="78280DC9" w:rsidR="00404E91" w:rsidRDefault="00404E91" w:rsidP="00404E91">
      <w:pPr>
        <w:spacing w:line="360" w:lineRule="auto"/>
        <w:ind w:firstLine="720"/>
        <w:jc w:val="both"/>
      </w:pPr>
      <w:r>
        <w:rPr>
          <w:sz w:val="24"/>
          <w:szCs w:val="24"/>
        </w:rPr>
        <w:t xml:space="preserve">A Revolução Industrial, subdividida em três grandes momentos históricos que se estendem de 1760 até </w:t>
      </w:r>
      <w:proofErr w:type="gramStart"/>
      <w:r>
        <w:rPr>
          <w:sz w:val="24"/>
          <w:szCs w:val="24"/>
        </w:rPr>
        <w:t>a</w:t>
      </w:r>
      <w:proofErr w:type="gramEnd"/>
      <w:r>
        <w:rPr>
          <w:sz w:val="24"/>
          <w:szCs w:val="24"/>
        </w:rPr>
        <w:t xml:space="preserve"> contemporaneidade, inaugurou processo de degradação ambiental sem precedentes na história da civilização (</w:t>
      </w:r>
      <w:proofErr w:type="spellStart"/>
      <w:r>
        <w:rPr>
          <w:sz w:val="24"/>
          <w:szCs w:val="24"/>
        </w:rPr>
        <w:t>H</w:t>
      </w:r>
      <w:r w:rsidR="00F07705">
        <w:rPr>
          <w:sz w:val="24"/>
          <w:szCs w:val="24"/>
        </w:rPr>
        <w:t>obsbawm</w:t>
      </w:r>
      <w:proofErr w:type="spellEnd"/>
      <w:r>
        <w:rPr>
          <w:sz w:val="24"/>
          <w:szCs w:val="24"/>
        </w:rPr>
        <w:t xml:space="preserve">, 2014, p. 79). A substituição da manufatura pela maquinofatura e a posterior revolução técnico-científica produziram cadeias lineares de produção e consumo que hoje se revelam insustentáveis. Segundo Nicholas Stern (2006, p. 1), a mudança climática constitui a maior e mais abrangente falha de mercado já observada, o que </w:t>
      </w:r>
      <w:r>
        <w:rPr>
          <w:sz w:val="24"/>
          <w:szCs w:val="24"/>
        </w:rPr>
        <w:lastRenderedPageBreak/>
        <w:t xml:space="preserve">justificou o surgimento de escolas de pensamento vinculadas à economia circular, entre elas a economia de performance, a ecologia industrial, o design regenerativo, o </w:t>
      </w:r>
      <w:proofErr w:type="spellStart"/>
      <w:r w:rsidRPr="00076234">
        <w:rPr>
          <w:i/>
          <w:iCs/>
          <w:sz w:val="24"/>
          <w:szCs w:val="24"/>
        </w:rPr>
        <w:t>cradle</w:t>
      </w:r>
      <w:proofErr w:type="spellEnd"/>
      <w:r w:rsidRPr="00076234">
        <w:rPr>
          <w:i/>
          <w:iCs/>
          <w:sz w:val="24"/>
          <w:szCs w:val="24"/>
        </w:rPr>
        <w:t xml:space="preserve"> to </w:t>
      </w:r>
      <w:proofErr w:type="spellStart"/>
      <w:r w:rsidRPr="00076234">
        <w:rPr>
          <w:i/>
          <w:iCs/>
          <w:sz w:val="24"/>
          <w:szCs w:val="24"/>
        </w:rPr>
        <w:t>cradle</w:t>
      </w:r>
      <w:proofErr w:type="spellEnd"/>
      <w:r>
        <w:rPr>
          <w:sz w:val="24"/>
          <w:szCs w:val="24"/>
        </w:rPr>
        <w:t xml:space="preserve">, a </w:t>
      </w:r>
      <w:proofErr w:type="spellStart"/>
      <w:r>
        <w:rPr>
          <w:sz w:val="24"/>
          <w:szCs w:val="24"/>
        </w:rPr>
        <w:t>biomimética</w:t>
      </w:r>
      <w:proofErr w:type="spellEnd"/>
      <w:r>
        <w:rPr>
          <w:sz w:val="24"/>
          <w:szCs w:val="24"/>
        </w:rPr>
        <w:t xml:space="preserve"> e o capitalismo natural.</w:t>
      </w:r>
    </w:p>
    <w:p w14:paraId="400BA090" w14:textId="08C192C0" w:rsidR="00404E91" w:rsidRDefault="00404E91" w:rsidP="00404E91">
      <w:pPr>
        <w:spacing w:line="360" w:lineRule="auto"/>
        <w:ind w:firstLine="720"/>
        <w:jc w:val="both"/>
      </w:pPr>
      <w:r>
        <w:rPr>
          <w:sz w:val="24"/>
          <w:szCs w:val="24"/>
        </w:rPr>
        <w:t xml:space="preserve">O problema que orienta esta pesquisa pode ser formulado da seguinte maneira: em que medida as escolas de pensamento da economia circular fornecem fundamento jurídico ao </w:t>
      </w:r>
      <w:proofErr w:type="spellStart"/>
      <w:r w:rsidRPr="00076234">
        <w:rPr>
          <w:i/>
          <w:iCs/>
          <w:sz w:val="24"/>
          <w:szCs w:val="24"/>
        </w:rPr>
        <w:t>carbon</w:t>
      </w:r>
      <w:proofErr w:type="spellEnd"/>
      <w:r w:rsidRPr="00076234">
        <w:rPr>
          <w:i/>
          <w:iCs/>
          <w:sz w:val="24"/>
          <w:szCs w:val="24"/>
        </w:rPr>
        <w:t xml:space="preserve"> </w:t>
      </w:r>
      <w:proofErr w:type="spellStart"/>
      <w:r w:rsidRPr="00076234">
        <w:rPr>
          <w:i/>
          <w:iCs/>
          <w:sz w:val="24"/>
          <w:szCs w:val="24"/>
        </w:rPr>
        <w:t>pricing</w:t>
      </w:r>
      <w:proofErr w:type="spellEnd"/>
      <w:r>
        <w:rPr>
          <w:sz w:val="24"/>
          <w:szCs w:val="24"/>
        </w:rPr>
        <w:t xml:space="preserve"> como instrumento de internalização de custos ambientais? A pergunta ganha relevância quando se observa que a precificação de carbono responde ao mesmo diagnóstico que orienta o design regenerativo, qual seja, a insuficiência do modelo econômico linear de extração, transformação e descarte (</w:t>
      </w:r>
      <w:proofErr w:type="spellStart"/>
      <w:r>
        <w:rPr>
          <w:sz w:val="24"/>
          <w:szCs w:val="24"/>
        </w:rPr>
        <w:t>D</w:t>
      </w:r>
      <w:r w:rsidR="00076234">
        <w:rPr>
          <w:sz w:val="24"/>
          <w:szCs w:val="24"/>
        </w:rPr>
        <w:t>etanico</w:t>
      </w:r>
      <w:proofErr w:type="spellEnd"/>
      <w:r>
        <w:rPr>
          <w:sz w:val="24"/>
          <w:szCs w:val="24"/>
        </w:rPr>
        <w:t>; T</w:t>
      </w:r>
      <w:r w:rsidR="00076234">
        <w:rPr>
          <w:sz w:val="24"/>
          <w:szCs w:val="24"/>
        </w:rPr>
        <w:t>eixeira</w:t>
      </w:r>
      <w:r>
        <w:rPr>
          <w:sz w:val="24"/>
          <w:szCs w:val="24"/>
        </w:rPr>
        <w:t>; D</w:t>
      </w:r>
      <w:r w:rsidR="00076234">
        <w:rPr>
          <w:sz w:val="24"/>
          <w:szCs w:val="24"/>
        </w:rPr>
        <w:t>a</w:t>
      </w:r>
      <w:r>
        <w:rPr>
          <w:sz w:val="24"/>
          <w:szCs w:val="24"/>
        </w:rPr>
        <w:t xml:space="preserve"> S</w:t>
      </w:r>
      <w:r w:rsidR="00076234">
        <w:rPr>
          <w:sz w:val="24"/>
          <w:szCs w:val="24"/>
        </w:rPr>
        <w:t>ilva</w:t>
      </w:r>
      <w:r>
        <w:rPr>
          <w:sz w:val="24"/>
          <w:szCs w:val="24"/>
        </w:rPr>
        <w:t xml:space="preserve">, 2010, p. 105) frente às demandas da sociedade de risco descrita por Ulrich </w:t>
      </w:r>
      <w:proofErr w:type="spellStart"/>
      <w:r>
        <w:rPr>
          <w:sz w:val="24"/>
          <w:szCs w:val="24"/>
        </w:rPr>
        <w:t>Beck</w:t>
      </w:r>
      <w:proofErr w:type="spellEnd"/>
      <w:r>
        <w:rPr>
          <w:sz w:val="24"/>
          <w:szCs w:val="24"/>
        </w:rPr>
        <w:t xml:space="preserve"> (2011, p. 26).</w:t>
      </w:r>
    </w:p>
    <w:p w14:paraId="191B88E9" w14:textId="77777777" w:rsidR="00404E91" w:rsidRDefault="00404E91" w:rsidP="00404E91">
      <w:pPr>
        <w:spacing w:line="360" w:lineRule="auto"/>
        <w:ind w:firstLine="720"/>
        <w:jc w:val="both"/>
      </w:pPr>
      <w:r>
        <w:rPr>
          <w:sz w:val="24"/>
          <w:szCs w:val="24"/>
        </w:rPr>
        <w:t xml:space="preserve">Justifica-se o estudo porque o debate sobre precificação de carbono costuma ser tratado em chave estritamente econômica, o que dificulta a </w:t>
      </w:r>
      <w:proofErr w:type="spellStart"/>
      <w:r>
        <w:rPr>
          <w:sz w:val="24"/>
          <w:szCs w:val="24"/>
        </w:rPr>
        <w:t>percepção</w:t>
      </w:r>
      <w:proofErr w:type="spellEnd"/>
      <w:r>
        <w:rPr>
          <w:sz w:val="24"/>
          <w:szCs w:val="24"/>
        </w:rPr>
        <w:t xml:space="preserve"> de que essa agenda deriva das mesmas escolas circulares que fundamentam o design regenerativo. Objetiva-se, assim, demonstrar a unidade epistemológica subjacente ao </w:t>
      </w:r>
      <w:proofErr w:type="spellStart"/>
      <w:r w:rsidRPr="00ED1C00">
        <w:rPr>
          <w:i/>
          <w:iCs/>
          <w:sz w:val="24"/>
          <w:szCs w:val="24"/>
        </w:rPr>
        <w:t>carbon</w:t>
      </w:r>
      <w:proofErr w:type="spellEnd"/>
      <w:r w:rsidRPr="00ED1C00">
        <w:rPr>
          <w:i/>
          <w:iCs/>
          <w:sz w:val="24"/>
          <w:szCs w:val="24"/>
        </w:rPr>
        <w:t xml:space="preserve"> </w:t>
      </w:r>
      <w:proofErr w:type="spellStart"/>
      <w:r w:rsidRPr="00ED1C00">
        <w:rPr>
          <w:i/>
          <w:iCs/>
          <w:sz w:val="24"/>
          <w:szCs w:val="24"/>
        </w:rPr>
        <w:t>pricing</w:t>
      </w:r>
      <w:proofErr w:type="spellEnd"/>
      <w:r>
        <w:rPr>
          <w:sz w:val="24"/>
          <w:szCs w:val="24"/>
        </w:rPr>
        <w:t xml:space="preserve"> e ao design regenerativo, situando-os como desdobramentos do direito fundamental à sustentabilidade insculpido no artigo 225 da Constituição Federal de 1988.</w:t>
      </w:r>
    </w:p>
    <w:p w14:paraId="506008E4" w14:textId="77777777" w:rsidR="00404E91" w:rsidRDefault="00404E91" w:rsidP="00404E91">
      <w:pPr>
        <w:spacing w:before="240" w:line="360" w:lineRule="auto"/>
        <w:jc w:val="both"/>
      </w:pPr>
      <w:r>
        <w:rPr>
          <w:b/>
          <w:bCs/>
          <w:sz w:val="28"/>
          <w:szCs w:val="28"/>
        </w:rPr>
        <w:t>Metodologia</w:t>
      </w:r>
    </w:p>
    <w:p w14:paraId="0F420027" w14:textId="77777777" w:rsidR="00404E91" w:rsidRDefault="00404E91" w:rsidP="00404E91">
      <w:pPr>
        <w:spacing w:line="360" w:lineRule="auto"/>
        <w:ind w:firstLine="720"/>
        <w:jc w:val="both"/>
      </w:pPr>
      <w:r>
        <w:rPr>
          <w:sz w:val="24"/>
          <w:szCs w:val="24"/>
        </w:rPr>
        <w:t xml:space="preserve">Trata-se de pesquisa qualitativa, de natureza bibliográfica e documental, desenvolvida por meio de revisão da literatura nacional e internacional sobre economia circular, direito ambiental econômico e precificação de carbono. O procedimento de análise é dedutivo: parte-se das categorias teóricas gerais formuladas pelas escolas de pensamento circular para, em seguida, examinar o </w:t>
      </w:r>
      <w:proofErr w:type="spellStart"/>
      <w:r w:rsidRPr="00ED1C00">
        <w:rPr>
          <w:i/>
          <w:iCs/>
          <w:sz w:val="24"/>
          <w:szCs w:val="24"/>
        </w:rPr>
        <w:t>carbon</w:t>
      </w:r>
      <w:proofErr w:type="spellEnd"/>
      <w:r w:rsidRPr="00ED1C00">
        <w:rPr>
          <w:i/>
          <w:iCs/>
          <w:sz w:val="24"/>
          <w:szCs w:val="24"/>
        </w:rPr>
        <w:t xml:space="preserve"> </w:t>
      </w:r>
      <w:proofErr w:type="spellStart"/>
      <w:r w:rsidRPr="00ED1C00">
        <w:rPr>
          <w:i/>
          <w:iCs/>
          <w:sz w:val="24"/>
          <w:szCs w:val="24"/>
        </w:rPr>
        <w:t>pricing</w:t>
      </w:r>
      <w:proofErr w:type="spellEnd"/>
      <w:r>
        <w:rPr>
          <w:sz w:val="24"/>
          <w:szCs w:val="24"/>
        </w:rPr>
        <w:t xml:space="preserve"> como caso aplicado, evidenciando a unidade conceitual dessas escolas. A seleção das fontes privilegiou autores de referência no debate constitucional ambiental brasileiro, a exemplo de </w:t>
      </w:r>
      <w:proofErr w:type="spellStart"/>
      <w:r>
        <w:rPr>
          <w:sz w:val="24"/>
          <w:szCs w:val="24"/>
        </w:rPr>
        <w:t>Sarlet</w:t>
      </w:r>
      <w:proofErr w:type="spellEnd"/>
      <w:r>
        <w:rPr>
          <w:sz w:val="24"/>
          <w:szCs w:val="24"/>
        </w:rPr>
        <w:t xml:space="preserve"> e </w:t>
      </w:r>
      <w:proofErr w:type="spellStart"/>
      <w:r>
        <w:rPr>
          <w:sz w:val="24"/>
          <w:szCs w:val="24"/>
        </w:rPr>
        <w:t>Fensterseifer</w:t>
      </w:r>
      <w:proofErr w:type="spellEnd"/>
      <w:r>
        <w:rPr>
          <w:sz w:val="24"/>
          <w:szCs w:val="24"/>
        </w:rPr>
        <w:t xml:space="preserve">, e na literatura internacional sobre economia circular, a exemplo de </w:t>
      </w:r>
      <w:proofErr w:type="spellStart"/>
      <w:r>
        <w:rPr>
          <w:sz w:val="24"/>
          <w:szCs w:val="24"/>
        </w:rPr>
        <w:t>Stahel</w:t>
      </w:r>
      <w:proofErr w:type="spellEnd"/>
      <w:r>
        <w:rPr>
          <w:sz w:val="24"/>
          <w:szCs w:val="24"/>
        </w:rPr>
        <w:t xml:space="preserve">, </w:t>
      </w:r>
      <w:proofErr w:type="spellStart"/>
      <w:r>
        <w:rPr>
          <w:sz w:val="24"/>
          <w:szCs w:val="24"/>
        </w:rPr>
        <w:t>Hawken</w:t>
      </w:r>
      <w:proofErr w:type="spellEnd"/>
      <w:r>
        <w:rPr>
          <w:sz w:val="24"/>
          <w:szCs w:val="24"/>
        </w:rPr>
        <w:t xml:space="preserve">, </w:t>
      </w:r>
      <w:proofErr w:type="spellStart"/>
      <w:r>
        <w:rPr>
          <w:sz w:val="24"/>
          <w:szCs w:val="24"/>
        </w:rPr>
        <w:t>Lovins</w:t>
      </w:r>
      <w:proofErr w:type="spellEnd"/>
      <w:r>
        <w:rPr>
          <w:sz w:val="24"/>
          <w:szCs w:val="24"/>
        </w:rPr>
        <w:t xml:space="preserve"> e </w:t>
      </w:r>
      <w:proofErr w:type="spellStart"/>
      <w:r>
        <w:rPr>
          <w:sz w:val="24"/>
          <w:szCs w:val="24"/>
        </w:rPr>
        <w:t>Lyle</w:t>
      </w:r>
      <w:proofErr w:type="spellEnd"/>
      <w:r>
        <w:rPr>
          <w:sz w:val="24"/>
          <w:szCs w:val="24"/>
        </w:rPr>
        <w:t>.</w:t>
      </w:r>
    </w:p>
    <w:p w14:paraId="720C8C2A" w14:textId="77777777" w:rsidR="00404E91" w:rsidRDefault="00404E91" w:rsidP="00404E91">
      <w:pPr>
        <w:spacing w:before="240" w:line="360" w:lineRule="auto"/>
        <w:jc w:val="both"/>
      </w:pPr>
      <w:r>
        <w:rPr>
          <w:b/>
          <w:bCs/>
          <w:sz w:val="28"/>
          <w:szCs w:val="28"/>
        </w:rPr>
        <w:t>Resultados e Discussão</w:t>
      </w:r>
    </w:p>
    <w:p w14:paraId="666A29B5" w14:textId="77777777" w:rsidR="00404E91" w:rsidRDefault="00404E91" w:rsidP="00404E91">
      <w:pPr>
        <w:spacing w:line="360" w:lineRule="auto"/>
        <w:ind w:firstLine="720"/>
        <w:jc w:val="both"/>
      </w:pPr>
      <w:r>
        <w:rPr>
          <w:b/>
          <w:bCs/>
          <w:i/>
          <w:iCs/>
          <w:sz w:val="24"/>
          <w:szCs w:val="24"/>
        </w:rPr>
        <w:t>As escolas de pensamento da economia circular</w:t>
      </w:r>
    </w:p>
    <w:p w14:paraId="11CEE7BD" w14:textId="18FE0230" w:rsidR="00404E91" w:rsidRDefault="00404E91" w:rsidP="00404E91">
      <w:pPr>
        <w:spacing w:line="360" w:lineRule="auto"/>
        <w:ind w:firstLine="720"/>
        <w:jc w:val="both"/>
      </w:pPr>
      <w:r>
        <w:rPr>
          <w:sz w:val="24"/>
          <w:szCs w:val="24"/>
        </w:rPr>
        <w:t>A economia circular não constitui escola única, mas mosaico de correntes complementares. A economia de performance</w:t>
      </w:r>
      <w:r w:rsidR="007F5936">
        <w:rPr>
          <w:sz w:val="24"/>
          <w:szCs w:val="24"/>
        </w:rPr>
        <w:t xml:space="preserve"> </w:t>
      </w:r>
      <w:r>
        <w:rPr>
          <w:sz w:val="24"/>
          <w:szCs w:val="24"/>
        </w:rPr>
        <w:t>busca o maior valor de uso possível pelo maior tempo possível, assentada em cinco pilares: conservadorismo, limitação da toxicidade, produção de recursos, ecologia cultural e ecologia social (</w:t>
      </w:r>
      <w:proofErr w:type="spellStart"/>
      <w:r>
        <w:rPr>
          <w:sz w:val="24"/>
          <w:szCs w:val="24"/>
        </w:rPr>
        <w:t>S</w:t>
      </w:r>
      <w:r w:rsidR="007F5936">
        <w:rPr>
          <w:sz w:val="24"/>
          <w:szCs w:val="24"/>
        </w:rPr>
        <w:t>tahel</w:t>
      </w:r>
      <w:proofErr w:type="spellEnd"/>
      <w:r>
        <w:rPr>
          <w:sz w:val="24"/>
          <w:szCs w:val="24"/>
        </w:rPr>
        <w:t xml:space="preserve">, 2013). A ecologia industrial, </w:t>
      </w:r>
      <w:r>
        <w:rPr>
          <w:sz w:val="24"/>
          <w:szCs w:val="24"/>
        </w:rPr>
        <w:lastRenderedPageBreak/>
        <w:t>popularizada por (</w:t>
      </w:r>
      <w:proofErr w:type="spellStart"/>
      <w:r w:rsidR="007F5936">
        <w:rPr>
          <w:sz w:val="24"/>
          <w:szCs w:val="24"/>
        </w:rPr>
        <w:t>Frosch</w:t>
      </w:r>
      <w:proofErr w:type="spellEnd"/>
      <w:r w:rsidR="007F5936">
        <w:rPr>
          <w:sz w:val="24"/>
          <w:szCs w:val="24"/>
        </w:rPr>
        <w:t xml:space="preserve">; </w:t>
      </w:r>
      <w:proofErr w:type="spellStart"/>
      <w:r w:rsidR="007F5936">
        <w:rPr>
          <w:sz w:val="24"/>
          <w:szCs w:val="24"/>
        </w:rPr>
        <w:t>Gallopoulos</w:t>
      </w:r>
      <w:proofErr w:type="spellEnd"/>
      <w:r w:rsidR="007F5936">
        <w:rPr>
          <w:sz w:val="24"/>
          <w:szCs w:val="24"/>
        </w:rPr>
        <w:t xml:space="preserve"> </w:t>
      </w:r>
      <w:r>
        <w:rPr>
          <w:sz w:val="24"/>
          <w:szCs w:val="24"/>
        </w:rPr>
        <w:t xml:space="preserve">1989, p. 152), propõe a transformação do modelo fabril tradicional em sistema integrado no qual os efluentes de um processo servem de matéria-prima a outro. O </w:t>
      </w:r>
      <w:proofErr w:type="spellStart"/>
      <w:r w:rsidRPr="007F5936">
        <w:rPr>
          <w:i/>
          <w:iCs/>
          <w:sz w:val="24"/>
          <w:szCs w:val="24"/>
        </w:rPr>
        <w:t>cradle</w:t>
      </w:r>
      <w:proofErr w:type="spellEnd"/>
      <w:r w:rsidRPr="007F5936">
        <w:rPr>
          <w:i/>
          <w:iCs/>
          <w:sz w:val="24"/>
          <w:szCs w:val="24"/>
        </w:rPr>
        <w:t xml:space="preserve"> to </w:t>
      </w:r>
      <w:proofErr w:type="spellStart"/>
      <w:r w:rsidRPr="007F5936">
        <w:rPr>
          <w:i/>
          <w:iCs/>
          <w:sz w:val="24"/>
          <w:szCs w:val="24"/>
        </w:rPr>
        <w:t>cradle</w:t>
      </w:r>
      <w:proofErr w:type="spellEnd"/>
      <w:r w:rsidR="007F5936">
        <w:rPr>
          <w:sz w:val="24"/>
          <w:szCs w:val="24"/>
        </w:rPr>
        <w:t xml:space="preserve"> </w:t>
      </w:r>
      <w:r>
        <w:rPr>
          <w:sz w:val="24"/>
          <w:szCs w:val="24"/>
        </w:rPr>
        <w:t>(</w:t>
      </w:r>
      <w:proofErr w:type="spellStart"/>
      <w:r w:rsidR="007F5936">
        <w:rPr>
          <w:sz w:val="24"/>
          <w:szCs w:val="24"/>
        </w:rPr>
        <w:t>McDonough</w:t>
      </w:r>
      <w:proofErr w:type="spellEnd"/>
      <w:r w:rsidR="007F5936">
        <w:rPr>
          <w:sz w:val="24"/>
          <w:szCs w:val="24"/>
        </w:rPr>
        <w:t xml:space="preserve">; </w:t>
      </w:r>
      <w:proofErr w:type="spellStart"/>
      <w:r w:rsidR="007F5936">
        <w:rPr>
          <w:sz w:val="24"/>
          <w:szCs w:val="24"/>
        </w:rPr>
        <w:t>Braungart</w:t>
      </w:r>
      <w:proofErr w:type="spellEnd"/>
      <w:r w:rsidR="007F5936">
        <w:rPr>
          <w:sz w:val="24"/>
          <w:szCs w:val="24"/>
        </w:rPr>
        <w:t xml:space="preserve"> </w:t>
      </w:r>
      <w:r>
        <w:rPr>
          <w:sz w:val="24"/>
          <w:szCs w:val="24"/>
        </w:rPr>
        <w:t>2002, p. 67), elimina o próprio conceito de resíduo, substituindo-o pela noção de nutriente técnico ou biológico reincorporável ao ciclo produtivo. O capitalismo natural (</w:t>
      </w:r>
      <w:proofErr w:type="spellStart"/>
      <w:r w:rsidR="00A954EE">
        <w:rPr>
          <w:sz w:val="24"/>
          <w:szCs w:val="24"/>
        </w:rPr>
        <w:t>Hawken</w:t>
      </w:r>
      <w:proofErr w:type="spellEnd"/>
      <w:r w:rsidR="00A954EE">
        <w:rPr>
          <w:sz w:val="24"/>
          <w:szCs w:val="24"/>
        </w:rPr>
        <w:t xml:space="preserve">; </w:t>
      </w:r>
      <w:proofErr w:type="spellStart"/>
      <w:r w:rsidR="00A954EE">
        <w:rPr>
          <w:sz w:val="24"/>
          <w:szCs w:val="24"/>
        </w:rPr>
        <w:t>Lovins</w:t>
      </w:r>
      <w:proofErr w:type="spellEnd"/>
      <w:r w:rsidR="003A2BB9">
        <w:rPr>
          <w:sz w:val="24"/>
          <w:szCs w:val="24"/>
        </w:rPr>
        <w:t xml:space="preserve">; </w:t>
      </w:r>
      <w:proofErr w:type="spellStart"/>
      <w:r w:rsidR="00A954EE">
        <w:rPr>
          <w:sz w:val="24"/>
          <w:szCs w:val="24"/>
        </w:rPr>
        <w:t>Lovins</w:t>
      </w:r>
      <w:proofErr w:type="spellEnd"/>
      <w:r w:rsidR="00A954EE">
        <w:rPr>
          <w:sz w:val="24"/>
          <w:szCs w:val="24"/>
        </w:rPr>
        <w:t xml:space="preserve"> </w:t>
      </w:r>
      <w:r>
        <w:rPr>
          <w:sz w:val="24"/>
          <w:szCs w:val="24"/>
        </w:rPr>
        <w:t>1999, p. 2), sustenta que a próxima revolução industrial dependerá do reconhecimento do capital natural como ativo tão relevante quanto o capital financeiro e o manufaturado. Por fim, o design regenerativo (</w:t>
      </w:r>
      <w:proofErr w:type="spellStart"/>
      <w:r w:rsidR="00A954EE">
        <w:rPr>
          <w:sz w:val="24"/>
          <w:szCs w:val="24"/>
        </w:rPr>
        <w:t>Lyle</w:t>
      </w:r>
      <w:proofErr w:type="spellEnd"/>
      <w:r w:rsidR="00A954EE">
        <w:rPr>
          <w:sz w:val="24"/>
          <w:szCs w:val="24"/>
        </w:rPr>
        <w:t xml:space="preserve">, </w:t>
      </w:r>
      <w:r>
        <w:rPr>
          <w:sz w:val="24"/>
          <w:szCs w:val="24"/>
        </w:rPr>
        <w:t>1996), vai além da mera sustentabilidade, propondo que sistemas humanos e naturais evoluam em direção à regeneração mútua, não apenas à neutralidade de impacto.</w:t>
      </w:r>
    </w:p>
    <w:p w14:paraId="499CEF1D" w14:textId="77777777" w:rsidR="00404E91" w:rsidRDefault="00404E91" w:rsidP="00404E91">
      <w:pPr>
        <w:spacing w:line="360" w:lineRule="auto"/>
        <w:ind w:firstLine="720"/>
        <w:jc w:val="both"/>
      </w:pPr>
      <w:proofErr w:type="spellStart"/>
      <w:r>
        <w:rPr>
          <w:b/>
          <w:bCs/>
          <w:i/>
          <w:iCs/>
          <w:sz w:val="24"/>
          <w:szCs w:val="24"/>
        </w:rPr>
        <w:t>Carbon</w:t>
      </w:r>
      <w:proofErr w:type="spellEnd"/>
      <w:r>
        <w:rPr>
          <w:b/>
          <w:bCs/>
          <w:i/>
          <w:iCs/>
          <w:sz w:val="24"/>
          <w:szCs w:val="24"/>
        </w:rPr>
        <w:t xml:space="preserve"> </w:t>
      </w:r>
      <w:proofErr w:type="spellStart"/>
      <w:r>
        <w:rPr>
          <w:b/>
          <w:bCs/>
          <w:i/>
          <w:iCs/>
          <w:sz w:val="24"/>
          <w:szCs w:val="24"/>
        </w:rPr>
        <w:t>pricing</w:t>
      </w:r>
      <w:proofErr w:type="spellEnd"/>
      <w:r>
        <w:rPr>
          <w:b/>
          <w:bCs/>
          <w:i/>
          <w:iCs/>
          <w:sz w:val="24"/>
          <w:szCs w:val="24"/>
        </w:rPr>
        <w:t xml:space="preserve"> como instrumento jurídico-econômico</w:t>
      </w:r>
    </w:p>
    <w:p w14:paraId="248E00E1" w14:textId="1FD91AF1" w:rsidR="00404E91" w:rsidRDefault="00404E91" w:rsidP="00404E91">
      <w:pPr>
        <w:spacing w:line="360" w:lineRule="auto"/>
        <w:ind w:firstLine="720"/>
        <w:jc w:val="both"/>
      </w:pPr>
      <w:r>
        <w:rPr>
          <w:sz w:val="24"/>
          <w:szCs w:val="24"/>
        </w:rPr>
        <w:t>A precificação de carbono internaliza custos externos das emissões de gases de efeito estufa, funcionando como sinal econômico que permite aos emissores decidir entre reduzir emissões ou assumir o ônus financeiro correspondente. O Acordo de Paris, em seu artigo 6º, parágrafo 4º, estabeleceu mecanismo voluntário de cooperação internacional para a mitigação de emissões, sem fixar preço mundial único para o carbono, mas fomentando a convergência regulatória entre Estados (ONU, Acordo de Paris). A precificação pode ser implícita, quando resulta de restrições tecnológicas impostas por órgão regulador, ou explícita, quando se vale de sistemas de comércio de emissões ou de tributação direta sobre o carbono (</w:t>
      </w:r>
      <w:proofErr w:type="spellStart"/>
      <w:r>
        <w:rPr>
          <w:sz w:val="24"/>
          <w:szCs w:val="24"/>
        </w:rPr>
        <w:t>R</w:t>
      </w:r>
      <w:r w:rsidR="00880375">
        <w:rPr>
          <w:sz w:val="24"/>
          <w:szCs w:val="24"/>
        </w:rPr>
        <w:t>amstein</w:t>
      </w:r>
      <w:proofErr w:type="spellEnd"/>
      <w:r>
        <w:rPr>
          <w:sz w:val="24"/>
          <w:szCs w:val="24"/>
        </w:rPr>
        <w:t xml:space="preserve"> </w:t>
      </w:r>
      <w:proofErr w:type="spellStart"/>
      <w:r w:rsidRPr="003A2BB9">
        <w:rPr>
          <w:i/>
          <w:iCs/>
          <w:sz w:val="24"/>
          <w:szCs w:val="24"/>
        </w:rPr>
        <w:t>et</w:t>
      </w:r>
      <w:proofErr w:type="spellEnd"/>
      <w:r w:rsidRPr="003A2BB9">
        <w:rPr>
          <w:i/>
          <w:iCs/>
          <w:sz w:val="24"/>
          <w:szCs w:val="24"/>
        </w:rPr>
        <w:t xml:space="preserve"> al.,</w:t>
      </w:r>
      <w:r>
        <w:rPr>
          <w:sz w:val="24"/>
          <w:szCs w:val="24"/>
        </w:rPr>
        <w:t xml:space="preserve"> 2019). Em 2017, ao menos quarenta e dois países e vinte e cinco jurisdições subnacionais haviam adotado algum mecanismo de precificação, posicionando o instrumento como peça central das políticas climáticas contemporâneas.</w:t>
      </w:r>
    </w:p>
    <w:p w14:paraId="76C48D4E" w14:textId="2319F88B" w:rsidR="00404E91" w:rsidRDefault="00404E91" w:rsidP="00404E91">
      <w:pPr>
        <w:spacing w:line="360" w:lineRule="auto"/>
        <w:ind w:firstLine="720"/>
        <w:jc w:val="both"/>
      </w:pPr>
      <w:r>
        <w:rPr>
          <w:sz w:val="24"/>
          <w:szCs w:val="24"/>
        </w:rPr>
        <w:t xml:space="preserve">Essa lógica de precificação dialoga diretamente com as escolas circulares examinadas, na medida em que pressupõe a superação do paradigma de emissão como externalidade gratuita, substituindo-o pela internalização de custos prevista na ecologia industrial e no capitalismo natural. O </w:t>
      </w:r>
      <w:proofErr w:type="spellStart"/>
      <w:r w:rsidRPr="00880375">
        <w:rPr>
          <w:i/>
          <w:iCs/>
          <w:sz w:val="24"/>
          <w:szCs w:val="24"/>
        </w:rPr>
        <w:t>carbon</w:t>
      </w:r>
      <w:proofErr w:type="spellEnd"/>
      <w:r w:rsidRPr="00880375">
        <w:rPr>
          <w:i/>
          <w:iCs/>
          <w:sz w:val="24"/>
          <w:szCs w:val="24"/>
        </w:rPr>
        <w:t xml:space="preserve"> </w:t>
      </w:r>
      <w:proofErr w:type="spellStart"/>
      <w:r w:rsidRPr="00880375">
        <w:rPr>
          <w:i/>
          <w:iCs/>
          <w:sz w:val="24"/>
          <w:szCs w:val="24"/>
        </w:rPr>
        <w:t>pricing</w:t>
      </w:r>
      <w:proofErr w:type="spellEnd"/>
      <w:r>
        <w:rPr>
          <w:sz w:val="24"/>
          <w:szCs w:val="24"/>
        </w:rPr>
        <w:t>, assim, não é instrumento isolado, mas tradução normativa de princípios já formulados pelas escolas de pensamento circular, sobretudo a ideia de que o capital natural deve ser tratado como ativo escasso e mensurável (</w:t>
      </w:r>
      <w:proofErr w:type="spellStart"/>
      <w:r>
        <w:rPr>
          <w:sz w:val="24"/>
          <w:szCs w:val="24"/>
        </w:rPr>
        <w:t>H</w:t>
      </w:r>
      <w:r w:rsidR="00880375">
        <w:rPr>
          <w:sz w:val="24"/>
          <w:szCs w:val="24"/>
        </w:rPr>
        <w:t>awken</w:t>
      </w:r>
      <w:proofErr w:type="spellEnd"/>
      <w:r>
        <w:rPr>
          <w:sz w:val="24"/>
          <w:szCs w:val="24"/>
        </w:rPr>
        <w:t xml:space="preserve">; </w:t>
      </w:r>
      <w:proofErr w:type="spellStart"/>
      <w:r>
        <w:rPr>
          <w:sz w:val="24"/>
          <w:szCs w:val="24"/>
        </w:rPr>
        <w:t>L</w:t>
      </w:r>
      <w:r w:rsidR="00880375">
        <w:rPr>
          <w:sz w:val="24"/>
          <w:szCs w:val="24"/>
        </w:rPr>
        <w:t>ovins</w:t>
      </w:r>
      <w:proofErr w:type="spellEnd"/>
      <w:r>
        <w:rPr>
          <w:sz w:val="24"/>
          <w:szCs w:val="24"/>
        </w:rPr>
        <w:t xml:space="preserve">; </w:t>
      </w:r>
      <w:proofErr w:type="spellStart"/>
      <w:r>
        <w:rPr>
          <w:sz w:val="24"/>
          <w:szCs w:val="24"/>
        </w:rPr>
        <w:t>L</w:t>
      </w:r>
      <w:r w:rsidR="00880375">
        <w:rPr>
          <w:sz w:val="24"/>
          <w:szCs w:val="24"/>
        </w:rPr>
        <w:t>ovins</w:t>
      </w:r>
      <w:proofErr w:type="spellEnd"/>
      <w:r>
        <w:rPr>
          <w:sz w:val="24"/>
          <w:szCs w:val="24"/>
        </w:rPr>
        <w:t>, 1999, p. 4).</w:t>
      </w:r>
    </w:p>
    <w:p w14:paraId="6D6DD3CE" w14:textId="77777777" w:rsidR="00404E91" w:rsidRDefault="00404E91" w:rsidP="00404E91">
      <w:pPr>
        <w:spacing w:line="360" w:lineRule="auto"/>
        <w:ind w:firstLine="720"/>
        <w:jc w:val="both"/>
      </w:pPr>
      <w:r>
        <w:rPr>
          <w:b/>
          <w:bCs/>
          <w:i/>
          <w:iCs/>
          <w:sz w:val="24"/>
          <w:szCs w:val="24"/>
        </w:rPr>
        <w:t>Design regenerativo e a superação da mera sustentabilidade</w:t>
      </w:r>
    </w:p>
    <w:p w14:paraId="29638A63" w14:textId="0ACC4171" w:rsidR="00404E91" w:rsidRDefault="00404E91" w:rsidP="00404E91">
      <w:pPr>
        <w:spacing w:line="360" w:lineRule="auto"/>
        <w:ind w:firstLine="720"/>
        <w:jc w:val="both"/>
      </w:pPr>
      <w:r>
        <w:rPr>
          <w:sz w:val="24"/>
          <w:szCs w:val="24"/>
        </w:rPr>
        <w:t xml:space="preserve">Daniel </w:t>
      </w:r>
      <w:proofErr w:type="spellStart"/>
      <w:r>
        <w:rPr>
          <w:sz w:val="24"/>
          <w:szCs w:val="24"/>
        </w:rPr>
        <w:t>Wahl</w:t>
      </w:r>
      <w:proofErr w:type="spellEnd"/>
      <w:r>
        <w:rPr>
          <w:sz w:val="24"/>
          <w:szCs w:val="24"/>
        </w:rPr>
        <w:t xml:space="preserve"> (2019, p. 23) afirma que imergir na sustentabilidade, por si só, não é suficiente, pois a expressão não esclarece o que exatamente se pretende sustentar. O design regenerativo, nesse sentido, propõe seis etapas evolutivas: o abandono das práticas convencionais lineares, o </w:t>
      </w:r>
      <w:proofErr w:type="spellStart"/>
      <w:r>
        <w:rPr>
          <w:sz w:val="24"/>
          <w:szCs w:val="24"/>
        </w:rPr>
        <w:t>esverdeamento</w:t>
      </w:r>
      <w:proofErr w:type="spellEnd"/>
      <w:r>
        <w:rPr>
          <w:sz w:val="24"/>
          <w:szCs w:val="24"/>
        </w:rPr>
        <w:t xml:space="preserve"> das relações humanas com a biosfera, o design </w:t>
      </w:r>
      <w:r>
        <w:rPr>
          <w:sz w:val="24"/>
          <w:szCs w:val="24"/>
        </w:rPr>
        <w:lastRenderedPageBreak/>
        <w:t xml:space="preserve">sustentável propriamente dito, o design restaurativo, o design reconciliador e, por fim, o design regenerativo, no qual sociedade e natureza </w:t>
      </w:r>
      <w:proofErr w:type="spellStart"/>
      <w:r>
        <w:rPr>
          <w:sz w:val="24"/>
          <w:szCs w:val="24"/>
        </w:rPr>
        <w:t>coevoluem</w:t>
      </w:r>
      <w:proofErr w:type="spellEnd"/>
      <w:r>
        <w:rPr>
          <w:sz w:val="24"/>
          <w:szCs w:val="24"/>
        </w:rPr>
        <w:t xml:space="preserve"> (</w:t>
      </w:r>
      <w:proofErr w:type="spellStart"/>
      <w:r>
        <w:rPr>
          <w:sz w:val="24"/>
          <w:szCs w:val="24"/>
        </w:rPr>
        <w:t>L</w:t>
      </w:r>
      <w:r w:rsidR="003A2BB9">
        <w:rPr>
          <w:sz w:val="24"/>
          <w:szCs w:val="24"/>
        </w:rPr>
        <w:t>yle</w:t>
      </w:r>
      <w:proofErr w:type="spellEnd"/>
      <w:r>
        <w:rPr>
          <w:sz w:val="24"/>
          <w:szCs w:val="24"/>
        </w:rPr>
        <w:t xml:space="preserve">, 1996). Bill </w:t>
      </w:r>
      <w:proofErr w:type="spellStart"/>
      <w:r>
        <w:rPr>
          <w:sz w:val="24"/>
          <w:szCs w:val="24"/>
        </w:rPr>
        <w:t>Reed</w:t>
      </w:r>
      <w:proofErr w:type="spellEnd"/>
      <w:r>
        <w:rPr>
          <w:sz w:val="24"/>
          <w:szCs w:val="24"/>
        </w:rPr>
        <w:t xml:space="preserve"> (2007, p. 676) sintetiza essa transição ao afirmar que é necessário aprender a participar do meio ambiente, usando a saúde dos sistemas ecológicos como base do projeto, em vez de apenas causar menos dano. Essa gradação fornece parâmetro normativo para avaliar políticas públicas ambientais, distinguindo medidas meramente mitigadoras de medidas efetivamente regenerativas.</w:t>
      </w:r>
    </w:p>
    <w:p w14:paraId="6AC0B7E0" w14:textId="77777777" w:rsidR="00404E91" w:rsidRDefault="00404E91" w:rsidP="00404E91">
      <w:pPr>
        <w:spacing w:line="360" w:lineRule="auto"/>
        <w:ind w:firstLine="720"/>
        <w:jc w:val="both"/>
      </w:pPr>
      <w:r>
        <w:rPr>
          <w:b/>
          <w:bCs/>
          <w:i/>
          <w:iCs/>
          <w:sz w:val="24"/>
          <w:szCs w:val="24"/>
        </w:rPr>
        <w:t>O direito fundamental à sustentabilidade como síntese normativa</w:t>
      </w:r>
    </w:p>
    <w:p w14:paraId="7E5B0A40" w14:textId="77777777" w:rsidR="00404E91" w:rsidRDefault="00404E91" w:rsidP="00404E91">
      <w:pPr>
        <w:spacing w:line="360" w:lineRule="auto"/>
        <w:ind w:firstLine="720"/>
        <w:jc w:val="both"/>
      </w:pPr>
      <w:r>
        <w:rPr>
          <w:sz w:val="24"/>
          <w:szCs w:val="24"/>
        </w:rPr>
        <w:t xml:space="preserve">O Supremo Tribunal Federal já reconheceu o desenvolvimento sustentável como princípio de </w:t>
      </w:r>
      <w:proofErr w:type="spellStart"/>
      <w:r>
        <w:rPr>
          <w:sz w:val="24"/>
          <w:szCs w:val="24"/>
        </w:rPr>
        <w:t>caráter</w:t>
      </w:r>
      <w:proofErr w:type="spellEnd"/>
      <w:r>
        <w:rPr>
          <w:sz w:val="24"/>
          <w:szCs w:val="24"/>
        </w:rPr>
        <w:t xml:space="preserve"> constitucional apto a promover o justo equilíbrio entre as exigências da economia e as da ecologia, sem esvaziar o conteúdo essencial do direito à preservação ambiental (STF, ADI 3.540-MC, Rel. Min. Celso de Mello, DJ 03/02/06). Essa jurisprudência fornece base para compreender o artigo 170, inciso VI, e o artigo 225 da Constituição Federal como vetores normativos que autorizam tanto a precificação de carbono quanto a adoção de práticas regenerativas pela atividade econômica, na medida em que ambas buscam compatibilizar crescimento econômico, equidade social e proteção ambiental sem reduzir a sustentabilidade a mero discurso retórico.</w:t>
      </w:r>
    </w:p>
    <w:p w14:paraId="05A53F73" w14:textId="77777777" w:rsidR="00404E91" w:rsidRDefault="00404E91" w:rsidP="00404E91">
      <w:pPr>
        <w:spacing w:before="240" w:line="360" w:lineRule="auto"/>
        <w:jc w:val="both"/>
      </w:pPr>
      <w:r>
        <w:rPr>
          <w:b/>
          <w:bCs/>
          <w:sz w:val="28"/>
          <w:szCs w:val="28"/>
        </w:rPr>
        <w:t>Considerações Finais</w:t>
      </w:r>
    </w:p>
    <w:p w14:paraId="2F7FDE8B" w14:textId="77777777" w:rsidR="00404E91" w:rsidRDefault="00404E91" w:rsidP="00404E91">
      <w:pPr>
        <w:spacing w:line="360" w:lineRule="auto"/>
        <w:ind w:firstLine="720"/>
        <w:jc w:val="both"/>
      </w:pPr>
      <w:r>
        <w:rPr>
          <w:sz w:val="24"/>
          <w:szCs w:val="24"/>
        </w:rPr>
        <w:t xml:space="preserve">A pesquisa indica que a economia circular, em suas múltiplas escolas, fornece substrato teórico unificado para a precificação de carbono e para as práticas de design regenerativo. O </w:t>
      </w:r>
      <w:proofErr w:type="spellStart"/>
      <w:r w:rsidRPr="002E031A">
        <w:rPr>
          <w:i/>
          <w:iCs/>
          <w:sz w:val="24"/>
          <w:szCs w:val="24"/>
        </w:rPr>
        <w:t>carbon</w:t>
      </w:r>
      <w:proofErr w:type="spellEnd"/>
      <w:r w:rsidRPr="002E031A">
        <w:rPr>
          <w:i/>
          <w:iCs/>
          <w:sz w:val="24"/>
          <w:szCs w:val="24"/>
        </w:rPr>
        <w:t xml:space="preserve"> </w:t>
      </w:r>
      <w:proofErr w:type="spellStart"/>
      <w:r w:rsidRPr="002E031A">
        <w:rPr>
          <w:i/>
          <w:iCs/>
          <w:sz w:val="24"/>
          <w:szCs w:val="24"/>
        </w:rPr>
        <w:t>pricing</w:t>
      </w:r>
      <w:proofErr w:type="spellEnd"/>
      <w:r>
        <w:rPr>
          <w:sz w:val="24"/>
          <w:szCs w:val="24"/>
        </w:rPr>
        <w:t xml:space="preserve"> internaliza juridicamente o custo das emissões, enquanto o design regenerativo traduz, no plano do projeto e da gestão de recursos, os mesmos princípios de superação do modelo linear de produção e descarte. Ambos os instrumentos encontram fundamento no direito fundamental à sustentabilidade, reconhecido pelo Supremo Tribunal Federal como vetor de equilíbrio entre economia e ecologia. O debate permanece em aberto, sobretudo quanto à efetividade da precificação de carbono no contexto brasileiro, que ainda não adotou sistema explícito de comércio de emissões ou tributação direta, mas a presente pesquisa oferece moldura conceitual capaz de orientar a articulação futura entre política climática e práticas regenerativas de produção.</w:t>
      </w:r>
    </w:p>
    <w:p w14:paraId="57894413" w14:textId="77777777" w:rsidR="00404E91" w:rsidRDefault="00404E91" w:rsidP="00404E91">
      <w:pPr>
        <w:spacing w:before="240" w:line="360" w:lineRule="auto"/>
        <w:jc w:val="both"/>
      </w:pPr>
      <w:r>
        <w:rPr>
          <w:b/>
          <w:bCs/>
          <w:sz w:val="28"/>
          <w:szCs w:val="28"/>
        </w:rPr>
        <w:t>Referências</w:t>
      </w:r>
    </w:p>
    <w:p w14:paraId="480574FA" w14:textId="77777777" w:rsidR="00404E91" w:rsidRDefault="00404E91" w:rsidP="00404E91">
      <w:pPr>
        <w:spacing w:after="120"/>
      </w:pPr>
      <w:r>
        <w:rPr>
          <w:sz w:val="24"/>
          <w:szCs w:val="24"/>
        </w:rPr>
        <w:t>BECK, Ulrich. Sociedade de risco: rumo a uma outra modernidade. 2. ed. São Paulo: Editora 34, 2011.</w:t>
      </w:r>
    </w:p>
    <w:p w14:paraId="14658020" w14:textId="77777777" w:rsidR="00404E91" w:rsidRDefault="00404E91" w:rsidP="00404E91">
      <w:pPr>
        <w:spacing w:after="120"/>
      </w:pPr>
      <w:r>
        <w:rPr>
          <w:sz w:val="24"/>
          <w:szCs w:val="24"/>
        </w:rPr>
        <w:t xml:space="preserve">DETANICO, Flora Bittencourt; TEIXEIRA, Fábio; DA SILVA, Tânia L. K. A </w:t>
      </w:r>
      <w:proofErr w:type="spellStart"/>
      <w:r>
        <w:rPr>
          <w:sz w:val="24"/>
          <w:szCs w:val="24"/>
        </w:rPr>
        <w:t>biomimética</w:t>
      </w:r>
      <w:proofErr w:type="spellEnd"/>
      <w:r>
        <w:rPr>
          <w:sz w:val="24"/>
          <w:szCs w:val="24"/>
        </w:rPr>
        <w:t xml:space="preserve"> </w:t>
      </w:r>
      <w:r>
        <w:rPr>
          <w:sz w:val="24"/>
          <w:szCs w:val="24"/>
        </w:rPr>
        <w:lastRenderedPageBreak/>
        <w:t>como método criativo para o projeto de produto. Design &amp; Tecnologia, v. 1, n. 2, p. 101-113, 2010.</w:t>
      </w:r>
    </w:p>
    <w:p w14:paraId="14F11548" w14:textId="77777777" w:rsidR="00404E91" w:rsidRDefault="00404E91" w:rsidP="00404E91">
      <w:pPr>
        <w:spacing w:after="120"/>
      </w:pPr>
      <w:r>
        <w:rPr>
          <w:sz w:val="24"/>
          <w:szCs w:val="24"/>
        </w:rPr>
        <w:t xml:space="preserve">FROSCH, Robert A.; GALLOPOULOS, Nicholas E. </w:t>
      </w:r>
      <w:proofErr w:type="spellStart"/>
      <w:r>
        <w:rPr>
          <w:sz w:val="24"/>
          <w:szCs w:val="24"/>
        </w:rPr>
        <w:t>Strategies</w:t>
      </w:r>
      <w:proofErr w:type="spellEnd"/>
      <w:r>
        <w:rPr>
          <w:sz w:val="24"/>
          <w:szCs w:val="24"/>
        </w:rPr>
        <w:t xml:space="preserve"> for </w:t>
      </w:r>
      <w:proofErr w:type="spellStart"/>
      <w:r>
        <w:rPr>
          <w:sz w:val="24"/>
          <w:szCs w:val="24"/>
        </w:rPr>
        <w:t>manufacturing</w:t>
      </w:r>
      <w:proofErr w:type="spellEnd"/>
      <w:r>
        <w:rPr>
          <w:sz w:val="24"/>
          <w:szCs w:val="24"/>
        </w:rPr>
        <w:t xml:space="preserve">. </w:t>
      </w:r>
      <w:proofErr w:type="spellStart"/>
      <w:r>
        <w:rPr>
          <w:sz w:val="24"/>
          <w:szCs w:val="24"/>
        </w:rPr>
        <w:t>Scientific</w:t>
      </w:r>
      <w:proofErr w:type="spellEnd"/>
      <w:r>
        <w:rPr>
          <w:sz w:val="24"/>
          <w:szCs w:val="24"/>
        </w:rPr>
        <w:t xml:space="preserve"> </w:t>
      </w:r>
      <w:proofErr w:type="spellStart"/>
      <w:r>
        <w:rPr>
          <w:sz w:val="24"/>
          <w:szCs w:val="24"/>
        </w:rPr>
        <w:t>American</w:t>
      </w:r>
      <w:proofErr w:type="spellEnd"/>
      <w:r>
        <w:rPr>
          <w:sz w:val="24"/>
          <w:szCs w:val="24"/>
        </w:rPr>
        <w:t>, v. 261, n. 3, p. 144-152, 1989.</w:t>
      </w:r>
    </w:p>
    <w:p w14:paraId="7FCA33D5" w14:textId="77777777" w:rsidR="00404E91" w:rsidRDefault="00404E91" w:rsidP="00404E91">
      <w:pPr>
        <w:spacing w:after="120"/>
      </w:pPr>
      <w:r>
        <w:rPr>
          <w:sz w:val="24"/>
          <w:szCs w:val="24"/>
        </w:rPr>
        <w:t xml:space="preserve">HAWKEN, Paul; LOVINS, Hunter L.; LOVINS, </w:t>
      </w:r>
      <w:proofErr w:type="spellStart"/>
      <w:r>
        <w:rPr>
          <w:sz w:val="24"/>
          <w:szCs w:val="24"/>
        </w:rPr>
        <w:t>Amory</w:t>
      </w:r>
      <w:proofErr w:type="spellEnd"/>
      <w:r>
        <w:rPr>
          <w:sz w:val="24"/>
          <w:szCs w:val="24"/>
        </w:rPr>
        <w:t xml:space="preserve">. Natural </w:t>
      </w:r>
      <w:proofErr w:type="spellStart"/>
      <w:r>
        <w:rPr>
          <w:sz w:val="24"/>
          <w:szCs w:val="24"/>
        </w:rPr>
        <w:t>capitalism</w:t>
      </w:r>
      <w:proofErr w:type="spellEnd"/>
      <w:r>
        <w:rPr>
          <w:sz w:val="24"/>
          <w:szCs w:val="24"/>
        </w:rPr>
        <w:t xml:space="preserve">: </w:t>
      </w:r>
      <w:proofErr w:type="spellStart"/>
      <w:r>
        <w:rPr>
          <w:sz w:val="24"/>
          <w:szCs w:val="24"/>
        </w:rPr>
        <w:t>creating</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next</w:t>
      </w:r>
      <w:proofErr w:type="spellEnd"/>
      <w:r>
        <w:rPr>
          <w:sz w:val="24"/>
          <w:szCs w:val="24"/>
        </w:rPr>
        <w:t xml:space="preserve"> industrial </w:t>
      </w:r>
      <w:proofErr w:type="spellStart"/>
      <w:r>
        <w:rPr>
          <w:sz w:val="24"/>
          <w:szCs w:val="24"/>
        </w:rPr>
        <w:t>revolution</w:t>
      </w:r>
      <w:proofErr w:type="spellEnd"/>
      <w:r>
        <w:rPr>
          <w:sz w:val="24"/>
          <w:szCs w:val="24"/>
        </w:rPr>
        <w:t xml:space="preserve">. New York: </w:t>
      </w:r>
      <w:proofErr w:type="spellStart"/>
      <w:r>
        <w:rPr>
          <w:sz w:val="24"/>
          <w:szCs w:val="24"/>
        </w:rPr>
        <w:t>Little</w:t>
      </w:r>
      <w:proofErr w:type="spellEnd"/>
      <w:r>
        <w:rPr>
          <w:sz w:val="24"/>
          <w:szCs w:val="24"/>
        </w:rPr>
        <w:t xml:space="preserve">, Brown </w:t>
      </w:r>
      <w:proofErr w:type="spellStart"/>
      <w:r>
        <w:rPr>
          <w:sz w:val="24"/>
          <w:szCs w:val="24"/>
        </w:rPr>
        <w:t>and</w:t>
      </w:r>
      <w:proofErr w:type="spellEnd"/>
      <w:r>
        <w:rPr>
          <w:sz w:val="24"/>
          <w:szCs w:val="24"/>
        </w:rPr>
        <w:t xml:space="preserve"> </w:t>
      </w:r>
      <w:proofErr w:type="spellStart"/>
      <w:r>
        <w:rPr>
          <w:sz w:val="24"/>
          <w:szCs w:val="24"/>
        </w:rPr>
        <w:t>Company</w:t>
      </w:r>
      <w:proofErr w:type="spellEnd"/>
      <w:r>
        <w:rPr>
          <w:sz w:val="24"/>
          <w:szCs w:val="24"/>
        </w:rPr>
        <w:t>, 1999.</w:t>
      </w:r>
    </w:p>
    <w:p w14:paraId="0B3379EE" w14:textId="77777777" w:rsidR="00404E91" w:rsidRDefault="00404E91" w:rsidP="00404E91">
      <w:pPr>
        <w:spacing w:after="120"/>
      </w:pPr>
      <w:r>
        <w:rPr>
          <w:sz w:val="24"/>
          <w:szCs w:val="24"/>
        </w:rPr>
        <w:t>HOBSBAWM, Eric J. A era das revoluções: 1789-1848. Rio de Janeiro: Paz e Terra, 2014.</w:t>
      </w:r>
    </w:p>
    <w:p w14:paraId="50D94333" w14:textId="77777777" w:rsidR="00404E91" w:rsidRDefault="00404E91" w:rsidP="00404E91">
      <w:pPr>
        <w:spacing w:after="120"/>
      </w:pPr>
      <w:r>
        <w:rPr>
          <w:sz w:val="24"/>
          <w:szCs w:val="24"/>
        </w:rPr>
        <w:t xml:space="preserve">LYLE, John </w:t>
      </w:r>
      <w:proofErr w:type="spellStart"/>
      <w:r>
        <w:rPr>
          <w:sz w:val="24"/>
          <w:szCs w:val="24"/>
        </w:rPr>
        <w:t>Tillman</w:t>
      </w:r>
      <w:proofErr w:type="spellEnd"/>
      <w:r>
        <w:rPr>
          <w:sz w:val="24"/>
          <w:szCs w:val="24"/>
        </w:rPr>
        <w:t xml:space="preserve">. </w:t>
      </w:r>
      <w:proofErr w:type="spellStart"/>
      <w:r>
        <w:rPr>
          <w:sz w:val="24"/>
          <w:szCs w:val="24"/>
        </w:rPr>
        <w:t>Regenerative</w:t>
      </w:r>
      <w:proofErr w:type="spellEnd"/>
      <w:r>
        <w:rPr>
          <w:sz w:val="24"/>
          <w:szCs w:val="24"/>
        </w:rPr>
        <w:t xml:space="preserve"> design for </w:t>
      </w:r>
      <w:proofErr w:type="spellStart"/>
      <w:r>
        <w:rPr>
          <w:sz w:val="24"/>
          <w:szCs w:val="24"/>
        </w:rPr>
        <w:t>sustainable</w:t>
      </w:r>
      <w:proofErr w:type="spellEnd"/>
      <w:r>
        <w:rPr>
          <w:sz w:val="24"/>
          <w:szCs w:val="24"/>
        </w:rPr>
        <w:t xml:space="preserve"> </w:t>
      </w:r>
      <w:proofErr w:type="spellStart"/>
      <w:r>
        <w:rPr>
          <w:sz w:val="24"/>
          <w:szCs w:val="24"/>
        </w:rPr>
        <w:t>development</w:t>
      </w:r>
      <w:proofErr w:type="spellEnd"/>
      <w:r>
        <w:rPr>
          <w:sz w:val="24"/>
          <w:szCs w:val="24"/>
        </w:rPr>
        <w:t xml:space="preserve">. New York: John </w:t>
      </w:r>
      <w:proofErr w:type="spellStart"/>
      <w:r>
        <w:rPr>
          <w:sz w:val="24"/>
          <w:szCs w:val="24"/>
        </w:rPr>
        <w:t>Wiley</w:t>
      </w:r>
      <w:proofErr w:type="spellEnd"/>
      <w:r>
        <w:rPr>
          <w:sz w:val="24"/>
          <w:szCs w:val="24"/>
        </w:rPr>
        <w:t xml:space="preserve"> &amp; Sons, 1996.</w:t>
      </w:r>
    </w:p>
    <w:p w14:paraId="39F3EE05" w14:textId="77777777" w:rsidR="00404E91" w:rsidRDefault="00404E91" w:rsidP="00404E91">
      <w:pPr>
        <w:spacing w:after="120"/>
      </w:pPr>
      <w:r>
        <w:rPr>
          <w:sz w:val="24"/>
          <w:szCs w:val="24"/>
        </w:rPr>
        <w:t xml:space="preserve">MCDONOUGH, William; BRAUNGART, Michael. </w:t>
      </w:r>
      <w:proofErr w:type="spellStart"/>
      <w:r>
        <w:rPr>
          <w:sz w:val="24"/>
          <w:szCs w:val="24"/>
        </w:rPr>
        <w:t>Cradle</w:t>
      </w:r>
      <w:proofErr w:type="spellEnd"/>
      <w:r>
        <w:rPr>
          <w:sz w:val="24"/>
          <w:szCs w:val="24"/>
        </w:rPr>
        <w:t xml:space="preserve"> to </w:t>
      </w:r>
      <w:proofErr w:type="spellStart"/>
      <w:r>
        <w:rPr>
          <w:sz w:val="24"/>
          <w:szCs w:val="24"/>
        </w:rPr>
        <w:t>cradle</w:t>
      </w:r>
      <w:proofErr w:type="spellEnd"/>
      <w:r>
        <w:rPr>
          <w:sz w:val="24"/>
          <w:szCs w:val="24"/>
        </w:rPr>
        <w:t xml:space="preserve">: </w:t>
      </w:r>
      <w:proofErr w:type="spellStart"/>
      <w:r>
        <w:rPr>
          <w:sz w:val="24"/>
          <w:szCs w:val="24"/>
        </w:rPr>
        <w:t>remaking</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way</w:t>
      </w:r>
      <w:proofErr w:type="spellEnd"/>
      <w:r>
        <w:rPr>
          <w:sz w:val="24"/>
          <w:szCs w:val="24"/>
        </w:rPr>
        <w:t xml:space="preserve"> </w:t>
      </w:r>
      <w:proofErr w:type="spellStart"/>
      <w:r>
        <w:rPr>
          <w:sz w:val="24"/>
          <w:szCs w:val="24"/>
        </w:rPr>
        <w:t>we</w:t>
      </w:r>
      <w:proofErr w:type="spellEnd"/>
      <w:r>
        <w:rPr>
          <w:sz w:val="24"/>
          <w:szCs w:val="24"/>
        </w:rPr>
        <w:t xml:space="preserve"> </w:t>
      </w:r>
      <w:proofErr w:type="spellStart"/>
      <w:r>
        <w:rPr>
          <w:sz w:val="24"/>
          <w:szCs w:val="24"/>
        </w:rPr>
        <w:t>make</w:t>
      </w:r>
      <w:proofErr w:type="spellEnd"/>
      <w:r>
        <w:rPr>
          <w:sz w:val="24"/>
          <w:szCs w:val="24"/>
        </w:rPr>
        <w:t xml:space="preserve"> </w:t>
      </w:r>
      <w:proofErr w:type="spellStart"/>
      <w:r>
        <w:rPr>
          <w:sz w:val="24"/>
          <w:szCs w:val="24"/>
        </w:rPr>
        <w:t>things</w:t>
      </w:r>
      <w:proofErr w:type="spellEnd"/>
      <w:r>
        <w:rPr>
          <w:sz w:val="24"/>
          <w:szCs w:val="24"/>
        </w:rPr>
        <w:t xml:space="preserve">. New York: </w:t>
      </w:r>
      <w:proofErr w:type="spellStart"/>
      <w:r>
        <w:rPr>
          <w:sz w:val="24"/>
          <w:szCs w:val="24"/>
        </w:rPr>
        <w:t>North</w:t>
      </w:r>
      <w:proofErr w:type="spellEnd"/>
      <w:r>
        <w:rPr>
          <w:sz w:val="24"/>
          <w:szCs w:val="24"/>
        </w:rPr>
        <w:t xml:space="preserve"> </w:t>
      </w:r>
      <w:proofErr w:type="spellStart"/>
      <w:r>
        <w:rPr>
          <w:sz w:val="24"/>
          <w:szCs w:val="24"/>
        </w:rPr>
        <w:t>Point</w:t>
      </w:r>
      <w:proofErr w:type="spellEnd"/>
      <w:r>
        <w:rPr>
          <w:sz w:val="24"/>
          <w:szCs w:val="24"/>
        </w:rPr>
        <w:t xml:space="preserve"> </w:t>
      </w:r>
      <w:proofErr w:type="spellStart"/>
      <w:r>
        <w:rPr>
          <w:sz w:val="24"/>
          <w:szCs w:val="24"/>
        </w:rPr>
        <w:t>Press</w:t>
      </w:r>
      <w:proofErr w:type="spellEnd"/>
      <w:r>
        <w:rPr>
          <w:sz w:val="24"/>
          <w:szCs w:val="24"/>
        </w:rPr>
        <w:t>, 2002.</w:t>
      </w:r>
    </w:p>
    <w:p w14:paraId="5DFEFE45" w14:textId="77777777" w:rsidR="00404E91" w:rsidRDefault="00404E91" w:rsidP="00404E91">
      <w:pPr>
        <w:spacing w:after="120"/>
      </w:pPr>
      <w:r>
        <w:rPr>
          <w:sz w:val="24"/>
          <w:szCs w:val="24"/>
        </w:rPr>
        <w:t>ORGANIZAÇÃO DAS NAÇÕES UNIDAS. Acordo de Paris. Nova York: ONU, 2015.</w:t>
      </w:r>
    </w:p>
    <w:p w14:paraId="1A6D8FB6" w14:textId="77777777" w:rsidR="00404E91" w:rsidRDefault="00404E91" w:rsidP="00404E91">
      <w:pPr>
        <w:spacing w:after="120"/>
      </w:pPr>
      <w:r>
        <w:rPr>
          <w:sz w:val="24"/>
          <w:szCs w:val="24"/>
        </w:rPr>
        <w:t xml:space="preserve">RAMSTEIN, Céline </w:t>
      </w:r>
      <w:proofErr w:type="spellStart"/>
      <w:r>
        <w:rPr>
          <w:sz w:val="24"/>
          <w:szCs w:val="24"/>
        </w:rPr>
        <w:t>et</w:t>
      </w:r>
      <w:proofErr w:type="spellEnd"/>
      <w:r>
        <w:rPr>
          <w:sz w:val="24"/>
          <w:szCs w:val="24"/>
        </w:rPr>
        <w:t xml:space="preserve"> al. </w:t>
      </w:r>
      <w:proofErr w:type="spellStart"/>
      <w:r>
        <w:rPr>
          <w:sz w:val="24"/>
          <w:szCs w:val="24"/>
        </w:rPr>
        <w:t>State</w:t>
      </w:r>
      <w:proofErr w:type="spellEnd"/>
      <w:r>
        <w:rPr>
          <w:sz w:val="24"/>
          <w:szCs w:val="24"/>
        </w:rPr>
        <w:t xml:space="preserve"> </w:t>
      </w:r>
      <w:proofErr w:type="spellStart"/>
      <w:r>
        <w:rPr>
          <w:sz w:val="24"/>
          <w:szCs w:val="24"/>
        </w:rPr>
        <w:t>and</w:t>
      </w:r>
      <w:proofErr w:type="spellEnd"/>
      <w:r>
        <w:rPr>
          <w:sz w:val="24"/>
          <w:szCs w:val="24"/>
        </w:rPr>
        <w:t xml:space="preserve"> </w:t>
      </w:r>
      <w:proofErr w:type="spellStart"/>
      <w:r>
        <w:rPr>
          <w:sz w:val="24"/>
          <w:szCs w:val="24"/>
        </w:rPr>
        <w:t>trends</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carbon</w:t>
      </w:r>
      <w:proofErr w:type="spellEnd"/>
      <w:r>
        <w:rPr>
          <w:sz w:val="24"/>
          <w:szCs w:val="24"/>
        </w:rPr>
        <w:t xml:space="preserve"> </w:t>
      </w:r>
      <w:proofErr w:type="spellStart"/>
      <w:r>
        <w:rPr>
          <w:sz w:val="24"/>
          <w:szCs w:val="24"/>
        </w:rPr>
        <w:t>pricing</w:t>
      </w:r>
      <w:proofErr w:type="spellEnd"/>
      <w:r>
        <w:rPr>
          <w:sz w:val="24"/>
          <w:szCs w:val="24"/>
        </w:rPr>
        <w:t xml:space="preserve"> 2019. Washington: </w:t>
      </w:r>
      <w:proofErr w:type="spellStart"/>
      <w:r>
        <w:rPr>
          <w:sz w:val="24"/>
          <w:szCs w:val="24"/>
        </w:rPr>
        <w:t>The</w:t>
      </w:r>
      <w:proofErr w:type="spellEnd"/>
      <w:r>
        <w:rPr>
          <w:sz w:val="24"/>
          <w:szCs w:val="24"/>
        </w:rPr>
        <w:t xml:space="preserve"> </w:t>
      </w:r>
      <w:proofErr w:type="spellStart"/>
      <w:r>
        <w:rPr>
          <w:sz w:val="24"/>
          <w:szCs w:val="24"/>
        </w:rPr>
        <w:t>World</w:t>
      </w:r>
      <w:proofErr w:type="spellEnd"/>
      <w:r>
        <w:rPr>
          <w:sz w:val="24"/>
          <w:szCs w:val="24"/>
        </w:rPr>
        <w:t xml:space="preserve"> </w:t>
      </w:r>
      <w:proofErr w:type="spellStart"/>
      <w:r>
        <w:rPr>
          <w:sz w:val="24"/>
          <w:szCs w:val="24"/>
        </w:rPr>
        <w:t>Bank</w:t>
      </w:r>
      <w:proofErr w:type="spellEnd"/>
      <w:r>
        <w:rPr>
          <w:sz w:val="24"/>
          <w:szCs w:val="24"/>
        </w:rPr>
        <w:t>, 2019.</w:t>
      </w:r>
    </w:p>
    <w:p w14:paraId="782EE925" w14:textId="77777777" w:rsidR="00404E91" w:rsidRDefault="00404E91" w:rsidP="00404E91">
      <w:pPr>
        <w:spacing w:after="120"/>
      </w:pPr>
      <w:r>
        <w:rPr>
          <w:sz w:val="24"/>
          <w:szCs w:val="24"/>
        </w:rPr>
        <w:t xml:space="preserve">REED, Bill. </w:t>
      </w:r>
      <w:proofErr w:type="spellStart"/>
      <w:r>
        <w:rPr>
          <w:sz w:val="24"/>
          <w:szCs w:val="24"/>
        </w:rPr>
        <w:t>Shifting</w:t>
      </w:r>
      <w:proofErr w:type="spellEnd"/>
      <w:r>
        <w:rPr>
          <w:sz w:val="24"/>
          <w:szCs w:val="24"/>
        </w:rPr>
        <w:t xml:space="preserve"> </w:t>
      </w:r>
      <w:proofErr w:type="spellStart"/>
      <w:r>
        <w:rPr>
          <w:sz w:val="24"/>
          <w:szCs w:val="24"/>
        </w:rPr>
        <w:t>from</w:t>
      </w:r>
      <w:proofErr w:type="spellEnd"/>
      <w:r>
        <w:rPr>
          <w:sz w:val="24"/>
          <w:szCs w:val="24"/>
        </w:rPr>
        <w:t xml:space="preserve"> </w:t>
      </w:r>
      <w:proofErr w:type="spellStart"/>
      <w:r>
        <w:rPr>
          <w:sz w:val="24"/>
          <w:szCs w:val="24"/>
        </w:rPr>
        <w:t>sustainability</w:t>
      </w:r>
      <w:proofErr w:type="spellEnd"/>
      <w:r>
        <w:rPr>
          <w:sz w:val="24"/>
          <w:szCs w:val="24"/>
        </w:rPr>
        <w:t xml:space="preserve"> to </w:t>
      </w:r>
      <w:proofErr w:type="spellStart"/>
      <w:r>
        <w:rPr>
          <w:sz w:val="24"/>
          <w:szCs w:val="24"/>
        </w:rPr>
        <w:t>regeneration</w:t>
      </w:r>
      <w:proofErr w:type="spellEnd"/>
      <w:r>
        <w:rPr>
          <w:sz w:val="24"/>
          <w:szCs w:val="24"/>
        </w:rPr>
        <w:t xml:space="preserve">. </w:t>
      </w:r>
      <w:proofErr w:type="spellStart"/>
      <w:r>
        <w:rPr>
          <w:sz w:val="24"/>
          <w:szCs w:val="24"/>
        </w:rPr>
        <w:t>Building</w:t>
      </w:r>
      <w:proofErr w:type="spellEnd"/>
      <w:r>
        <w:rPr>
          <w:sz w:val="24"/>
          <w:szCs w:val="24"/>
        </w:rPr>
        <w:t xml:space="preserve"> Research &amp; </w:t>
      </w:r>
      <w:proofErr w:type="spellStart"/>
      <w:r>
        <w:rPr>
          <w:sz w:val="24"/>
          <w:szCs w:val="24"/>
        </w:rPr>
        <w:t>Information</w:t>
      </w:r>
      <w:proofErr w:type="spellEnd"/>
      <w:r>
        <w:rPr>
          <w:sz w:val="24"/>
          <w:szCs w:val="24"/>
        </w:rPr>
        <w:t>, v. 35, n. 6, p. 674-680, 2007.</w:t>
      </w:r>
    </w:p>
    <w:p w14:paraId="3AB31AD7" w14:textId="77777777" w:rsidR="00404E91" w:rsidRDefault="00404E91" w:rsidP="00404E91">
      <w:pPr>
        <w:spacing w:after="120"/>
      </w:pPr>
      <w:r>
        <w:rPr>
          <w:sz w:val="24"/>
          <w:szCs w:val="24"/>
        </w:rPr>
        <w:t>SARLET, Ingo Wolfgang; FENSTERSEIFER, Tiago. Direito constitucional ambiental: constituição, direitos fundamentais e proteção do ambiente. 5. ed. São Paulo: Revista dos Tribunais, 2017.</w:t>
      </w:r>
    </w:p>
    <w:p w14:paraId="04198140" w14:textId="77777777" w:rsidR="00404E91" w:rsidRDefault="00404E91" w:rsidP="00404E91">
      <w:pPr>
        <w:spacing w:after="120"/>
      </w:pPr>
      <w:r>
        <w:rPr>
          <w:sz w:val="24"/>
          <w:szCs w:val="24"/>
        </w:rPr>
        <w:t xml:space="preserve">STAHEL, Walter R. </w:t>
      </w:r>
      <w:proofErr w:type="spellStart"/>
      <w:r>
        <w:rPr>
          <w:sz w:val="24"/>
          <w:szCs w:val="24"/>
        </w:rPr>
        <w:t>The</w:t>
      </w:r>
      <w:proofErr w:type="spellEnd"/>
      <w:r>
        <w:rPr>
          <w:sz w:val="24"/>
          <w:szCs w:val="24"/>
        </w:rPr>
        <w:t xml:space="preserve"> </w:t>
      </w:r>
      <w:proofErr w:type="spellStart"/>
      <w:r>
        <w:rPr>
          <w:sz w:val="24"/>
          <w:szCs w:val="24"/>
        </w:rPr>
        <w:t>product-life</w:t>
      </w:r>
      <w:proofErr w:type="spellEnd"/>
      <w:r>
        <w:rPr>
          <w:sz w:val="24"/>
          <w:szCs w:val="24"/>
        </w:rPr>
        <w:t xml:space="preserve"> </w:t>
      </w:r>
      <w:proofErr w:type="spellStart"/>
      <w:r>
        <w:rPr>
          <w:sz w:val="24"/>
          <w:szCs w:val="24"/>
        </w:rPr>
        <w:t>factor</w:t>
      </w:r>
      <w:proofErr w:type="spellEnd"/>
      <w:r>
        <w:rPr>
          <w:sz w:val="24"/>
          <w:szCs w:val="24"/>
        </w:rPr>
        <w:t xml:space="preserve">. </w:t>
      </w:r>
      <w:proofErr w:type="spellStart"/>
      <w:r>
        <w:rPr>
          <w:sz w:val="24"/>
          <w:szCs w:val="24"/>
        </w:rPr>
        <w:t>Sponsor's</w:t>
      </w:r>
      <w:proofErr w:type="spellEnd"/>
      <w:r>
        <w:rPr>
          <w:sz w:val="24"/>
          <w:szCs w:val="24"/>
        </w:rPr>
        <w:t xml:space="preserve"> </w:t>
      </w:r>
      <w:proofErr w:type="spellStart"/>
      <w:r>
        <w:rPr>
          <w:sz w:val="24"/>
          <w:szCs w:val="24"/>
        </w:rPr>
        <w:t>Manifest</w:t>
      </w:r>
      <w:proofErr w:type="spellEnd"/>
      <w:r>
        <w:rPr>
          <w:sz w:val="24"/>
          <w:szCs w:val="24"/>
        </w:rPr>
        <w:t>, 2013.</w:t>
      </w:r>
    </w:p>
    <w:p w14:paraId="6180313D" w14:textId="77777777" w:rsidR="00404E91" w:rsidRDefault="00404E91" w:rsidP="00404E91">
      <w:pPr>
        <w:spacing w:after="120"/>
      </w:pPr>
      <w:r>
        <w:rPr>
          <w:sz w:val="24"/>
          <w:szCs w:val="24"/>
        </w:rPr>
        <w:t xml:space="preserve">STERN, Nicholas. Stern </w:t>
      </w:r>
      <w:proofErr w:type="spellStart"/>
      <w:r>
        <w:rPr>
          <w:sz w:val="24"/>
          <w:szCs w:val="24"/>
        </w:rPr>
        <w:t>review</w:t>
      </w:r>
      <w:proofErr w:type="spellEnd"/>
      <w:r>
        <w:rPr>
          <w:sz w:val="24"/>
          <w:szCs w:val="24"/>
        </w:rPr>
        <w:t xml:space="preserve">: </w:t>
      </w:r>
      <w:proofErr w:type="spellStart"/>
      <w:r>
        <w:rPr>
          <w:sz w:val="24"/>
          <w:szCs w:val="24"/>
        </w:rPr>
        <w:t>the</w:t>
      </w:r>
      <w:proofErr w:type="spellEnd"/>
      <w:r>
        <w:rPr>
          <w:sz w:val="24"/>
          <w:szCs w:val="24"/>
        </w:rPr>
        <w:t xml:space="preserve"> </w:t>
      </w:r>
      <w:proofErr w:type="spellStart"/>
      <w:r>
        <w:rPr>
          <w:sz w:val="24"/>
          <w:szCs w:val="24"/>
        </w:rPr>
        <w:t>economics</w:t>
      </w:r>
      <w:proofErr w:type="spellEnd"/>
      <w:r>
        <w:rPr>
          <w:sz w:val="24"/>
          <w:szCs w:val="24"/>
        </w:rPr>
        <w:t xml:space="preserve"> </w:t>
      </w:r>
      <w:proofErr w:type="spellStart"/>
      <w:r>
        <w:rPr>
          <w:sz w:val="24"/>
          <w:szCs w:val="24"/>
        </w:rPr>
        <w:t>of</w:t>
      </w:r>
      <w:proofErr w:type="spellEnd"/>
      <w:r>
        <w:rPr>
          <w:sz w:val="24"/>
          <w:szCs w:val="24"/>
        </w:rPr>
        <w:t xml:space="preserve"> </w:t>
      </w:r>
      <w:proofErr w:type="spellStart"/>
      <w:r>
        <w:rPr>
          <w:sz w:val="24"/>
          <w:szCs w:val="24"/>
        </w:rPr>
        <w:t>climate</w:t>
      </w:r>
      <w:proofErr w:type="spellEnd"/>
      <w:r>
        <w:rPr>
          <w:sz w:val="24"/>
          <w:szCs w:val="24"/>
        </w:rPr>
        <w:t xml:space="preserve"> </w:t>
      </w:r>
      <w:proofErr w:type="spellStart"/>
      <w:r>
        <w:rPr>
          <w:sz w:val="24"/>
          <w:szCs w:val="24"/>
        </w:rPr>
        <w:t>change</w:t>
      </w:r>
      <w:proofErr w:type="spellEnd"/>
      <w:r>
        <w:rPr>
          <w:sz w:val="24"/>
          <w:szCs w:val="24"/>
        </w:rPr>
        <w:t xml:space="preserve">. London: HM </w:t>
      </w:r>
      <w:proofErr w:type="spellStart"/>
      <w:r>
        <w:rPr>
          <w:sz w:val="24"/>
          <w:szCs w:val="24"/>
        </w:rPr>
        <w:t>Treasury</w:t>
      </w:r>
      <w:proofErr w:type="spellEnd"/>
      <w:r>
        <w:rPr>
          <w:sz w:val="24"/>
          <w:szCs w:val="24"/>
        </w:rPr>
        <w:t>, 2006.</w:t>
      </w:r>
    </w:p>
    <w:p w14:paraId="0DEDEBD2" w14:textId="77777777" w:rsidR="00404E91" w:rsidRDefault="00404E91" w:rsidP="00404E91">
      <w:pPr>
        <w:spacing w:after="120"/>
      </w:pPr>
      <w:r>
        <w:rPr>
          <w:sz w:val="24"/>
          <w:szCs w:val="24"/>
        </w:rPr>
        <w:t>SUPREMO TRIBUNAL FEDERAL. Ação Direta de Inconstitucionalidade nº 3.540-MC. Relator: Min. Celso de Mello. Diário de Justiça, Brasília, 03 fev. 2006.</w:t>
      </w:r>
    </w:p>
    <w:p w14:paraId="7B7C9806" w14:textId="77777777" w:rsidR="00404E91" w:rsidRDefault="00404E91" w:rsidP="00404E91">
      <w:pPr>
        <w:spacing w:after="120"/>
      </w:pPr>
      <w:r>
        <w:rPr>
          <w:sz w:val="24"/>
          <w:szCs w:val="24"/>
        </w:rPr>
        <w:t>WAHL, Daniel Christian. Design de culturas regenerativas. Rio de Janeiro: Bambual Editora, 2019.</w:t>
      </w:r>
    </w:p>
    <w:p w14:paraId="0BA8C96F" w14:textId="4F393EFD" w:rsidR="001C5BCC" w:rsidRDefault="001C5BCC">
      <w:pPr>
        <w:pStyle w:val="Corpodetexto"/>
        <w:ind w:right="3991"/>
      </w:pPr>
    </w:p>
    <w:sectPr w:rsidR="001C5BCC" w:rsidSect="008913F4">
      <w:headerReference w:type="default" r:id="rId7"/>
      <w:footerReference w:type="default" r:id="rId8"/>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765FF2C" w14:textId="77777777" w:rsidR="00CC2607" w:rsidRDefault="00CC2607">
      <w:r>
        <w:separator/>
      </w:r>
    </w:p>
  </w:endnote>
  <w:endnote w:type="continuationSeparator" w:id="0">
    <w:p w14:paraId="25E12035" w14:textId="77777777" w:rsidR="00CC2607" w:rsidRDefault="00CC2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CDDF68" w14:textId="77777777" w:rsidR="00CC2607" w:rsidRDefault="00CC2607">
      <w:r>
        <w:separator/>
      </w:r>
    </w:p>
  </w:footnote>
  <w:footnote w:type="continuationSeparator" w:id="0">
    <w:p w14:paraId="4BD36DA4" w14:textId="77777777" w:rsidR="00CC2607" w:rsidRDefault="00CC26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5835E2" w14:textId="07FBC6F3"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524245869">
    <w:abstractNumId w:val="0"/>
  </w:num>
  <w:num w:numId="2" w16cid:durableId="214284164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339C9"/>
    <w:rsid w:val="000449F4"/>
    <w:rsid w:val="000530FE"/>
    <w:rsid w:val="00076234"/>
    <w:rsid w:val="000815CB"/>
    <w:rsid w:val="000A5F3A"/>
    <w:rsid w:val="000F75C3"/>
    <w:rsid w:val="0012053B"/>
    <w:rsid w:val="001C5BCC"/>
    <w:rsid w:val="00231244"/>
    <w:rsid w:val="00243512"/>
    <w:rsid w:val="00251969"/>
    <w:rsid w:val="00253B6F"/>
    <w:rsid w:val="00281FAE"/>
    <w:rsid w:val="00292A2A"/>
    <w:rsid w:val="002952A5"/>
    <w:rsid w:val="002E031A"/>
    <w:rsid w:val="002E2EC2"/>
    <w:rsid w:val="00323360"/>
    <w:rsid w:val="00326513"/>
    <w:rsid w:val="00331DDE"/>
    <w:rsid w:val="0036697E"/>
    <w:rsid w:val="003A2BB9"/>
    <w:rsid w:val="00404E91"/>
    <w:rsid w:val="00432035"/>
    <w:rsid w:val="004850B6"/>
    <w:rsid w:val="004C30BE"/>
    <w:rsid w:val="005259CE"/>
    <w:rsid w:val="0055259B"/>
    <w:rsid w:val="005F70B0"/>
    <w:rsid w:val="0062291E"/>
    <w:rsid w:val="00624629"/>
    <w:rsid w:val="0065005C"/>
    <w:rsid w:val="00694319"/>
    <w:rsid w:val="006E36B2"/>
    <w:rsid w:val="006E4A33"/>
    <w:rsid w:val="006E65E1"/>
    <w:rsid w:val="00732760"/>
    <w:rsid w:val="007561D8"/>
    <w:rsid w:val="00764D36"/>
    <w:rsid w:val="007F5936"/>
    <w:rsid w:val="00880375"/>
    <w:rsid w:val="008858BD"/>
    <w:rsid w:val="008913F4"/>
    <w:rsid w:val="00943214"/>
    <w:rsid w:val="009C4B75"/>
    <w:rsid w:val="00A33E6F"/>
    <w:rsid w:val="00A946E1"/>
    <w:rsid w:val="00A954EE"/>
    <w:rsid w:val="00AD22F1"/>
    <w:rsid w:val="00AE43FD"/>
    <w:rsid w:val="00AF5124"/>
    <w:rsid w:val="00B0243C"/>
    <w:rsid w:val="00B72453"/>
    <w:rsid w:val="00B81BE9"/>
    <w:rsid w:val="00B92B2B"/>
    <w:rsid w:val="00C538C1"/>
    <w:rsid w:val="00C60F3C"/>
    <w:rsid w:val="00CB7608"/>
    <w:rsid w:val="00CC2607"/>
    <w:rsid w:val="00D06F4D"/>
    <w:rsid w:val="00D13059"/>
    <w:rsid w:val="00D7735B"/>
    <w:rsid w:val="00D81876"/>
    <w:rsid w:val="00DB5C67"/>
    <w:rsid w:val="00DD0807"/>
    <w:rsid w:val="00E3782C"/>
    <w:rsid w:val="00E61756"/>
    <w:rsid w:val="00E765BC"/>
    <w:rsid w:val="00EA25BE"/>
    <w:rsid w:val="00EC5AB9"/>
    <w:rsid w:val="00ED1C00"/>
    <w:rsid w:val="00ED604B"/>
    <w:rsid w:val="00EF3557"/>
    <w:rsid w:val="00F01C67"/>
    <w:rsid w:val="00F07705"/>
    <w:rsid w:val="00F509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1684</Words>
  <Characters>10150</Characters>
  <Application>Microsoft Office Word</Application>
  <DocSecurity>0</DocSecurity>
  <Lines>165</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Jamile Gonçalves Calissi</cp:lastModifiedBy>
  <cp:revision>16</cp:revision>
  <dcterms:created xsi:type="dcterms:W3CDTF">2026-06-17T22:18:00Z</dcterms:created>
  <dcterms:modified xsi:type="dcterms:W3CDTF">2026-06-30T20:59:00Z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