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6E09" w14:textId="551EC880" w:rsidR="00EA0272" w:rsidRPr="007476A4" w:rsidRDefault="00EA0272" w:rsidP="00EA0272">
      <w:pPr>
        <w:pStyle w:val="Ttulo"/>
      </w:pPr>
      <w:r w:rsidRPr="007476A4">
        <w:t>ÁREAS PRIORITÁRIAS PARA CRIAÇÃO DE UNIDADES DE CONSERVAÇÃO DA NATUREZA NO ESTADO DO RIO DE JANEIRO</w:t>
      </w:r>
    </w:p>
    <w:p w14:paraId="19ACAB03" w14:textId="77777777" w:rsidR="00E3782C" w:rsidRPr="006E064D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bookmarkStart w:id="0" w:name="1Primeiro_Autor_com_nome_completo,_2Segu"/>
      <w:bookmarkEnd w:id="0"/>
    </w:p>
    <w:p w14:paraId="28A4F696" w14:textId="299ABA8B" w:rsidR="00D4643E" w:rsidRPr="006E064D" w:rsidRDefault="00D4643E" w:rsidP="00D4643E">
      <w:pPr>
        <w:spacing w:line="228" w:lineRule="exact"/>
        <w:ind w:left="77" w:right="209"/>
        <w:jc w:val="center"/>
        <w:rPr>
          <w:b/>
          <w:bCs/>
          <w:iCs/>
          <w:spacing w:val="-2"/>
          <w:sz w:val="24"/>
          <w:szCs w:val="24"/>
        </w:rPr>
      </w:pPr>
      <w:r w:rsidRPr="006E064D">
        <w:rPr>
          <w:b/>
          <w:bCs/>
          <w:iCs/>
          <w:spacing w:val="-2"/>
          <w:sz w:val="24"/>
          <w:szCs w:val="24"/>
        </w:rPr>
        <w:t>¹</w:t>
      </w:r>
      <w:r w:rsidRPr="006E064D">
        <w:rPr>
          <w:b/>
          <w:bCs/>
          <w:iCs/>
          <w:spacing w:val="-2"/>
          <w:sz w:val="24"/>
          <w:szCs w:val="24"/>
        </w:rPr>
        <w:t xml:space="preserve">Laís Nogueira Santos, </w:t>
      </w:r>
      <w:r w:rsidRPr="006E064D">
        <w:rPr>
          <w:b/>
          <w:bCs/>
          <w:iCs/>
          <w:spacing w:val="-2"/>
          <w:sz w:val="24"/>
          <w:szCs w:val="24"/>
        </w:rPr>
        <w:t>²</w:t>
      </w:r>
      <w:r w:rsidRPr="006E064D">
        <w:rPr>
          <w:b/>
          <w:bCs/>
          <w:iCs/>
          <w:spacing w:val="-2"/>
          <w:sz w:val="24"/>
          <w:szCs w:val="24"/>
        </w:rPr>
        <w:t xml:space="preserve">Vinícius de Amorim Silva, </w:t>
      </w:r>
      <w:r w:rsidRPr="006E064D">
        <w:rPr>
          <w:b/>
          <w:bCs/>
          <w:iCs/>
          <w:spacing w:val="-2"/>
          <w:sz w:val="24"/>
          <w:szCs w:val="24"/>
        </w:rPr>
        <w:t>³</w:t>
      </w:r>
      <w:r w:rsidRPr="006E064D">
        <w:rPr>
          <w:b/>
          <w:bCs/>
          <w:iCs/>
          <w:spacing w:val="-2"/>
          <w:sz w:val="24"/>
          <w:szCs w:val="24"/>
        </w:rPr>
        <w:t>Hércules da Silva Carvalho</w:t>
      </w:r>
    </w:p>
    <w:p w14:paraId="51977526" w14:textId="7285D6A7" w:rsidR="00D4643E" w:rsidRPr="006E064D" w:rsidRDefault="00D4643E" w:rsidP="00D4643E">
      <w:pPr>
        <w:spacing w:line="228" w:lineRule="exact"/>
        <w:ind w:left="77" w:right="209"/>
        <w:jc w:val="center"/>
        <w:rPr>
          <w:b/>
          <w:bCs/>
          <w:i/>
          <w:spacing w:val="-2"/>
          <w:sz w:val="24"/>
          <w:szCs w:val="24"/>
        </w:rPr>
      </w:pPr>
      <w:r w:rsidRPr="006E064D">
        <w:rPr>
          <w:i/>
          <w:spacing w:val="-2"/>
          <w:sz w:val="24"/>
          <w:szCs w:val="24"/>
        </w:rPr>
        <w:t>¹</w:t>
      </w:r>
      <w:r w:rsidRPr="006E064D">
        <w:rPr>
          <w:i/>
          <w:spacing w:val="-2"/>
          <w:sz w:val="24"/>
          <w:szCs w:val="24"/>
        </w:rPr>
        <w:t xml:space="preserve"> UFF, e-mail: laisnogsantos@gmail.com; </w:t>
      </w:r>
      <w:r w:rsidRPr="006E064D">
        <w:rPr>
          <w:i/>
          <w:spacing w:val="-2"/>
          <w:sz w:val="24"/>
          <w:szCs w:val="24"/>
        </w:rPr>
        <w:t>²</w:t>
      </w:r>
      <w:r w:rsidRPr="006E064D">
        <w:rPr>
          <w:i/>
          <w:spacing w:val="-2"/>
          <w:sz w:val="24"/>
          <w:szCs w:val="24"/>
        </w:rPr>
        <w:t xml:space="preserve">UFSB, e-mail: vinicius@ufsb.edu.br; </w:t>
      </w:r>
      <w:r w:rsidRPr="006E064D">
        <w:rPr>
          <w:i/>
          <w:spacing w:val="-2"/>
          <w:sz w:val="24"/>
          <w:szCs w:val="24"/>
        </w:rPr>
        <w:t>³</w:t>
      </w:r>
      <w:r w:rsidRPr="006E064D">
        <w:rPr>
          <w:i/>
          <w:spacing w:val="-2"/>
          <w:sz w:val="24"/>
          <w:szCs w:val="24"/>
        </w:rPr>
        <w:t xml:space="preserve">UFSB, e-mail: </w:t>
      </w:r>
      <w:hyperlink r:id="rId7" w:history="1">
        <w:r w:rsidRPr="006E064D">
          <w:rPr>
            <w:i/>
            <w:sz w:val="24"/>
            <w:szCs w:val="24"/>
          </w:rPr>
          <w:t>hercules.carvalho@cja.ufsb.edu.br</w:t>
        </w:r>
      </w:hyperlink>
    </w:p>
    <w:p w14:paraId="353B8213" w14:textId="77777777" w:rsidR="00D4643E" w:rsidRDefault="00D4643E" w:rsidP="00D4643E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</w:p>
    <w:p w14:paraId="5D3C410E" w14:textId="2515D4F5" w:rsidR="00EA0272" w:rsidRPr="007476A4" w:rsidRDefault="00EA0272" w:rsidP="00EA0272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7476A4">
        <w:rPr>
          <w:b/>
          <w:bCs/>
          <w:i/>
          <w:spacing w:val="-2"/>
          <w:sz w:val="24"/>
          <w:szCs w:val="24"/>
        </w:rPr>
        <w:t>Gestão Ambiental e Políticas Ambientais</w:t>
      </w:r>
    </w:p>
    <w:p w14:paraId="6B98AFFE" w14:textId="77777777" w:rsidR="00EA0272" w:rsidRPr="007476A4" w:rsidRDefault="00EA0272" w:rsidP="00EA0272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7476A4">
        <w:rPr>
          <w:b/>
          <w:bCs/>
          <w:i/>
          <w:spacing w:val="-2"/>
          <w:sz w:val="24"/>
          <w:szCs w:val="24"/>
        </w:rPr>
        <w:t>Gestão integrada na legislação de recursos naturais</w:t>
      </w:r>
    </w:p>
    <w:p w14:paraId="1ADFF788" w14:textId="77777777" w:rsidR="00E3782C" w:rsidRPr="007476A4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7476A4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7476A4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7476A4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FF2F571" w14:textId="2202E6BB" w:rsidR="00EA0272" w:rsidRPr="007476A4" w:rsidRDefault="00EA0272" w:rsidP="00EA0272">
      <w:pPr>
        <w:ind w:right="209"/>
        <w:jc w:val="both"/>
        <w:rPr>
          <w:iCs/>
          <w:sz w:val="24"/>
          <w:szCs w:val="24"/>
        </w:rPr>
      </w:pPr>
      <w:r w:rsidRPr="007476A4">
        <w:rPr>
          <w:iCs/>
          <w:sz w:val="24"/>
          <w:szCs w:val="24"/>
        </w:rPr>
        <w:t xml:space="preserve">Este estudo avalia o potencial para a criação de novas Unidades de Conservação (UC) no estado do Rio de Janeiro, área que abriga remanescentes críticos e ameaçados do Bioma Mata Atlântica. Diante da necessidade de metodologias que reduzam a subjetividade no planejamento ambiental, integrou-se o uso de Sistemas de Informações Geográficas (SIG), por meio do </w:t>
      </w:r>
      <w:r w:rsidRPr="00096C6A">
        <w:rPr>
          <w:i/>
          <w:sz w:val="24"/>
          <w:szCs w:val="24"/>
        </w:rPr>
        <w:t>software</w:t>
      </w:r>
      <w:r w:rsidRPr="00096C6A">
        <w:rPr>
          <w:iCs/>
          <w:sz w:val="24"/>
          <w:szCs w:val="24"/>
        </w:rPr>
        <w:t xml:space="preserve"> </w:t>
      </w:r>
      <w:r w:rsidRPr="007476A4">
        <w:rPr>
          <w:iCs/>
          <w:sz w:val="24"/>
          <w:szCs w:val="24"/>
        </w:rPr>
        <w:t xml:space="preserve">QGIS, ao método multicritério de Processo Analítico Hierárquico (AHP). </w:t>
      </w:r>
      <w:r w:rsidR="00096C6A">
        <w:rPr>
          <w:iCs/>
          <w:sz w:val="24"/>
          <w:szCs w:val="24"/>
        </w:rPr>
        <w:t>Foram</w:t>
      </w:r>
      <w:r w:rsidRPr="007476A4">
        <w:rPr>
          <w:iCs/>
          <w:sz w:val="24"/>
          <w:szCs w:val="24"/>
        </w:rPr>
        <w:t xml:space="preserve"> utilizadas bases de dados espaciais do IBGE (ano 2020) avaliadas a partir de cinco variáveis determinantes: tamanho do fragmento, declividade do terreno, distância das rodovias, densidade de nascentes e rede de drenagem. Os resultados permitiram </w:t>
      </w:r>
      <w:r w:rsidR="006D26E9">
        <w:rPr>
          <w:iCs/>
          <w:sz w:val="24"/>
          <w:szCs w:val="24"/>
        </w:rPr>
        <w:t>identificar</w:t>
      </w:r>
      <w:r w:rsidRPr="007476A4">
        <w:rPr>
          <w:iCs/>
          <w:sz w:val="24"/>
          <w:szCs w:val="24"/>
        </w:rPr>
        <w:t xml:space="preserve"> que as variáveis selecionadas contribuem para a criação de UC no Bioma Mata Atlântica. Conclui-se que a abordagem metodológica </w:t>
      </w:r>
      <w:r w:rsidR="003821F1">
        <w:rPr>
          <w:iCs/>
          <w:sz w:val="24"/>
          <w:szCs w:val="24"/>
        </w:rPr>
        <w:t xml:space="preserve">e os pesos </w:t>
      </w:r>
      <w:r w:rsidRPr="007476A4">
        <w:rPr>
          <w:iCs/>
          <w:sz w:val="24"/>
          <w:szCs w:val="24"/>
        </w:rPr>
        <w:t>adotad</w:t>
      </w:r>
      <w:r w:rsidR="003821F1">
        <w:rPr>
          <w:iCs/>
          <w:sz w:val="24"/>
          <w:szCs w:val="24"/>
        </w:rPr>
        <w:t>os para cada critério</w:t>
      </w:r>
      <w:r w:rsidRPr="007476A4">
        <w:rPr>
          <w:iCs/>
          <w:sz w:val="24"/>
          <w:szCs w:val="24"/>
        </w:rPr>
        <w:t xml:space="preserve"> fornece</w:t>
      </w:r>
      <w:r w:rsidR="003821F1">
        <w:rPr>
          <w:iCs/>
          <w:sz w:val="24"/>
          <w:szCs w:val="24"/>
        </w:rPr>
        <w:t>m</w:t>
      </w:r>
      <w:r w:rsidRPr="007476A4">
        <w:rPr>
          <w:iCs/>
          <w:sz w:val="24"/>
          <w:szCs w:val="24"/>
        </w:rPr>
        <w:t xml:space="preserve"> um subsídio técnico-científico robusto para a tomada de decisão pelos setores público e privado, auxiliando no ordenamento territorial e no cumprimento de metas globais de conservação da biodiversidade.</w:t>
      </w:r>
    </w:p>
    <w:p w14:paraId="5D44B57A" w14:textId="77777777" w:rsidR="00EA0272" w:rsidRPr="007476A4" w:rsidRDefault="00EA0272" w:rsidP="00E3782C">
      <w:pPr>
        <w:ind w:right="209"/>
        <w:jc w:val="both"/>
        <w:rPr>
          <w:iCs/>
          <w:sz w:val="24"/>
          <w:szCs w:val="24"/>
        </w:rPr>
      </w:pPr>
    </w:p>
    <w:p w14:paraId="78CAF50A" w14:textId="77777777" w:rsidR="00EA0272" w:rsidRPr="007476A4" w:rsidRDefault="00EA0272" w:rsidP="00E3782C">
      <w:pPr>
        <w:ind w:right="209"/>
        <w:jc w:val="both"/>
        <w:rPr>
          <w:iCs/>
          <w:sz w:val="24"/>
          <w:szCs w:val="24"/>
        </w:rPr>
      </w:pPr>
    </w:p>
    <w:p w14:paraId="762F9B08" w14:textId="77777777" w:rsidR="00E3782C" w:rsidRPr="007476A4" w:rsidRDefault="00E3782C" w:rsidP="00E3782C">
      <w:pPr>
        <w:jc w:val="both"/>
        <w:rPr>
          <w:b/>
          <w:sz w:val="24"/>
          <w:szCs w:val="24"/>
        </w:rPr>
      </w:pPr>
    </w:p>
    <w:p w14:paraId="51304F11" w14:textId="1C37C1BE" w:rsidR="00EA0272" w:rsidRPr="007476A4" w:rsidRDefault="00E3782C" w:rsidP="009C4B75">
      <w:pPr>
        <w:jc w:val="both"/>
        <w:rPr>
          <w:sz w:val="24"/>
          <w:szCs w:val="24"/>
        </w:rPr>
      </w:pPr>
      <w:r w:rsidRPr="007476A4">
        <w:rPr>
          <w:b/>
          <w:sz w:val="24"/>
          <w:szCs w:val="24"/>
        </w:rPr>
        <w:t>Palavras-chave:</w:t>
      </w:r>
      <w:r w:rsidR="00EA0272" w:rsidRPr="007476A4">
        <w:rPr>
          <w:b/>
          <w:spacing w:val="-2"/>
          <w:sz w:val="24"/>
          <w:szCs w:val="24"/>
        </w:rPr>
        <w:t xml:space="preserve"> </w:t>
      </w:r>
      <w:r w:rsidR="00EA0272" w:rsidRPr="007476A4">
        <w:rPr>
          <w:sz w:val="24"/>
          <w:szCs w:val="24"/>
        </w:rPr>
        <w:t>Áreas legalmente protegidas</w:t>
      </w:r>
      <w:r w:rsidR="00096C6A">
        <w:rPr>
          <w:sz w:val="24"/>
          <w:szCs w:val="24"/>
        </w:rPr>
        <w:t>;</w:t>
      </w:r>
      <w:r w:rsidR="00EA0272" w:rsidRPr="007476A4">
        <w:rPr>
          <w:sz w:val="24"/>
          <w:szCs w:val="24"/>
        </w:rPr>
        <w:t xml:space="preserve"> Fragmentos florestais</w:t>
      </w:r>
      <w:r w:rsidR="00096C6A">
        <w:rPr>
          <w:sz w:val="24"/>
          <w:szCs w:val="24"/>
        </w:rPr>
        <w:t>;</w:t>
      </w:r>
      <w:r w:rsidR="00EA0272" w:rsidRPr="007476A4">
        <w:rPr>
          <w:sz w:val="24"/>
          <w:szCs w:val="24"/>
        </w:rPr>
        <w:t xml:space="preserve"> Serviços Ecossistêmicos</w:t>
      </w:r>
      <w:r w:rsidR="00096C6A">
        <w:rPr>
          <w:sz w:val="24"/>
          <w:szCs w:val="24"/>
        </w:rPr>
        <w:t>;</w:t>
      </w:r>
      <w:r w:rsidR="00EA0272" w:rsidRPr="007476A4">
        <w:rPr>
          <w:sz w:val="24"/>
          <w:szCs w:val="24"/>
        </w:rPr>
        <w:t xml:space="preserve"> Análise Multicritério.</w:t>
      </w:r>
    </w:p>
    <w:p w14:paraId="0F7CD38A" w14:textId="77777777" w:rsidR="009C4B75" w:rsidRPr="007476A4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E270B86" w14:textId="4D72C8EE" w:rsidR="009C4B75" w:rsidRDefault="00E3782C" w:rsidP="004C44B3">
      <w:pPr>
        <w:jc w:val="both"/>
        <w:rPr>
          <w:b/>
          <w:bCs/>
          <w:spacing w:val="-2"/>
          <w:sz w:val="28"/>
          <w:szCs w:val="28"/>
        </w:rPr>
      </w:pPr>
      <w:r w:rsidRPr="007476A4">
        <w:rPr>
          <w:b/>
          <w:bCs/>
          <w:spacing w:val="-2"/>
          <w:sz w:val="28"/>
          <w:szCs w:val="28"/>
        </w:rPr>
        <w:t>Introdução</w:t>
      </w:r>
    </w:p>
    <w:p w14:paraId="50024298" w14:textId="77777777" w:rsidR="004C44B3" w:rsidRPr="007476A4" w:rsidRDefault="004C44B3" w:rsidP="004C44B3">
      <w:pPr>
        <w:jc w:val="both"/>
        <w:rPr>
          <w:sz w:val="24"/>
          <w:szCs w:val="24"/>
        </w:rPr>
      </w:pPr>
    </w:p>
    <w:p w14:paraId="178FF936" w14:textId="3C973546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As Unidades de Conservação (UC) são instrumentos legais voltados à conservação e ao uso sustentável da biodiversidade. Além disso, a Lei nº 9.985, de 18 de julho de 2000, institui o Sistema Nacional de Unidades de Conservação da Natureza (SNUC), apresenta objetivos quanto à manutenção, preservação, conservação, a restauração da biodiversidade e dos ecossistemas naturais. No entanto, essas áreas frequentemente sofrem pressões decorrentes da dinâmica urbana e de atividades </w:t>
      </w:r>
      <w:r w:rsidR="003546B2" w:rsidRPr="007476A4">
        <w:rPr>
          <w:sz w:val="24"/>
          <w:szCs w:val="24"/>
        </w:rPr>
        <w:t>antropog</w:t>
      </w:r>
      <w:r w:rsidR="00B96B44">
        <w:rPr>
          <w:sz w:val="24"/>
          <w:szCs w:val="24"/>
        </w:rPr>
        <w:t>ê</w:t>
      </w:r>
      <w:r w:rsidR="003546B2" w:rsidRPr="007476A4">
        <w:rPr>
          <w:sz w:val="24"/>
          <w:szCs w:val="24"/>
        </w:rPr>
        <w:t>nicas</w:t>
      </w:r>
      <w:r w:rsidRPr="007476A4">
        <w:rPr>
          <w:sz w:val="24"/>
          <w:szCs w:val="24"/>
        </w:rPr>
        <w:t xml:space="preserve">, como ocupação irregular, desmatamento e uso inadequado dos recursos naturais, fatores que comprometem sua integridade ecológica e a efetividade das estratégias de conservação (Silva </w:t>
      </w:r>
      <w:r w:rsidRPr="003220B3">
        <w:rPr>
          <w:i/>
          <w:iCs/>
          <w:sz w:val="24"/>
          <w:szCs w:val="24"/>
        </w:rPr>
        <w:t>et al</w:t>
      </w:r>
      <w:r w:rsidRPr="007476A4">
        <w:rPr>
          <w:sz w:val="24"/>
          <w:szCs w:val="24"/>
        </w:rPr>
        <w:t xml:space="preserve">., 2025; Silva Júnior </w:t>
      </w:r>
      <w:r w:rsidRPr="003220B3">
        <w:rPr>
          <w:i/>
          <w:iCs/>
          <w:sz w:val="24"/>
          <w:szCs w:val="24"/>
        </w:rPr>
        <w:t>et al</w:t>
      </w:r>
      <w:r w:rsidRPr="007476A4">
        <w:rPr>
          <w:sz w:val="24"/>
          <w:szCs w:val="24"/>
        </w:rPr>
        <w:t>., 2025).</w:t>
      </w:r>
    </w:p>
    <w:p w14:paraId="0958512E" w14:textId="51D6FE13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No estado do Rio de Janeiro, identifica-se um arcabouço legal específico voltado à proteção de áreas destinadas à conservação. A Constituição Estadual, em seu Art. 268, </w:t>
      </w:r>
      <w:r w:rsidRPr="007476A4">
        <w:rPr>
          <w:sz w:val="24"/>
          <w:szCs w:val="24"/>
        </w:rPr>
        <w:lastRenderedPageBreak/>
        <w:t xml:space="preserve">discrimina os principais ecossistemas presentes no estado e estabelece diretrizes para a definição de áreas a serem protegidas, em consonância com a legislação ambiental vigente (Rio de Janeiro, 1989). Segundo o Cadastro Nacional de Unidades de Conservação (CNUC) 13,94% do território do Rio de Janeiro </w:t>
      </w:r>
      <w:r w:rsidR="00096C6A">
        <w:rPr>
          <w:sz w:val="24"/>
          <w:szCs w:val="24"/>
        </w:rPr>
        <w:t>é classificado como</w:t>
      </w:r>
      <w:r w:rsidRPr="007476A4">
        <w:rPr>
          <w:sz w:val="24"/>
          <w:szCs w:val="24"/>
        </w:rPr>
        <w:t xml:space="preserve"> UC (CNUC, 2025).</w:t>
      </w:r>
    </w:p>
    <w:p w14:paraId="1C2F0CE8" w14:textId="77777777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Nesse contexto, ressalta-se que tais áreas demandam ações contínuas de manutenção e monitoramento das condições ambientais, uma vez que, com o avanço das geotecnologias, Sistemas de Informações Geográficas (SIG), especialmente do sensoriamento remoto, tornou-se possível obter informações espaço-temporais de forma sistemática e em diferentes escalas (Carvalho; Silva; Souza, 2024). </w:t>
      </w:r>
    </w:p>
    <w:p w14:paraId="540EE6CA" w14:textId="77777777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No entanto, mesmo com sua ampla aplicação em estudos ambientais, ainda há lacunas quanto à integração desses indicadores em modelos decisórios estruturados, que considerem simultaneamente múltiplos critérios e suas inter-relações. Diante desse cenário, propõe-se uma abordagem metodológica baseada na integração entre SIG e as variáveis de entrada no método de Processo Analítico Hierárquico (AHP) amplamente utilizado em processos de tomada de decisão e reconhecido por sua capacidade de hierarquizar critérios de forma sistemática e consistente (Dias; Silva, 2014; Tolentino </w:t>
      </w:r>
      <w:r w:rsidRPr="003220B3">
        <w:rPr>
          <w:i/>
          <w:iCs/>
          <w:sz w:val="24"/>
          <w:szCs w:val="24"/>
        </w:rPr>
        <w:t>et al.</w:t>
      </w:r>
      <w:r w:rsidRPr="007476A4">
        <w:rPr>
          <w:sz w:val="24"/>
          <w:szCs w:val="24"/>
        </w:rPr>
        <w:t>, 2023).</w:t>
      </w:r>
    </w:p>
    <w:p w14:paraId="5AB8AA4C" w14:textId="6AD435ED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Diante do exposto, o presente trabalho </w:t>
      </w:r>
      <w:r w:rsidR="00096C6A">
        <w:rPr>
          <w:sz w:val="24"/>
          <w:szCs w:val="24"/>
        </w:rPr>
        <w:t>teve</w:t>
      </w:r>
      <w:r w:rsidRPr="007476A4">
        <w:rPr>
          <w:sz w:val="24"/>
          <w:szCs w:val="24"/>
        </w:rPr>
        <w:t xml:space="preserve"> o objetivo de apresentar uma metodologia para a identificação de áreas prioritárias para a conservação e paralelamente auxiliar o poder público e privado na criação de novas UC</w:t>
      </w:r>
      <w:r w:rsidR="00B96B44">
        <w:rPr>
          <w:sz w:val="24"/>
          <w:szCs w:val="24"/>
        </w:rPr>
        <w:t>s</w:t>
      </w:r>
      <w:r w:rsidRPr="007476A4">
        <w:rPr>
          <w:sz w:val="24"/>
          <w:szCs w:val="24"/>
        </w:rPr>
        <w:t xml:space="preserve"> no estado do Rio de Janeiro.</w:t>
      </w:r>
    </w:p>
    <w:p w14:paraId="16FDABA8" w14:textId="77777777" w:rsidR="009C4B75" w:rsidRPr="007476A4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6AB0933" w14:textId="4793421B" w:rsidR="007476A4" w:rsidRPr="007476A4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7476A4">
        <w:rPr>
          <w:b/>
          <w:bCs/>
          <w:sz w:val="28"/>
          <w:szCs w:val="28"/>
        </w:rPr>
        <w:t>Metodologia</w:t>
      </w:r>
    </w:p>
    <w:p w14:paraId="595C49BD" w14:textId="34135989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Para alcançar o objetivo proposto </w:t>
      </w:r>
      <w:r w:rsidR="00096C6A">
        <w:rPr>
          <w:sz w:val="24"/>
          <w:szCs w:val="24"/>
        </w:rPr>
        <w:t>fo</w:t>
      </w:r>
      <w:r w:rsidR="004C40B7">
        <w:rPr>
          <w:sz w:val="24"/>
          <w:szCs w:val="24"/>
        </w:rPr>
        <w:t>ram</w:t>
      </w:r>
      <w:r w:rsidRPr="007476A4">
        <w:rPr>
          <w:sz w:val="24"/>
          <w:szCs w:val="24"/>
        </w:rPr>
        <w:t xml:space="preserve"> necessária</w:t>
      </w:r>
      <w:r w:rsidR="004C40B7">
        <w:rPr>
          <w:sz w:val="24"/>
          <w:szCs w:val="24"/>
        </w:rPr>
        <w:t>s</w:t>
      </w:r>
      <w:r w:rsidRPr="007476A4">
        <w:rPr>
          <w:sz w:val="24"/>
          <w:szCs w:val="24"/>
        </w:rPr>
        <w:t xml:space="preserve"> consulta</w:t>
      </w:r>
      <w:r w:rsidR="00094D0B">
        <w:rPr>
          <w:sz w:val="24"/>
          <w:szCs w:val="24"/>
        </w:rPr>
        <w:t>m</w:t>
      </w:r>
      <w:r w:rsidRPr="007476A4">
        <w:rPr>
          <w:sz w:val="24"/>
          <w:szCs w:val="24"/>
        </w:rPr>
        <w:t xml:space="preserve"> </w:t>
      </w:r>
      <w:r w:rsidR="00094D0B">
        <w:rPr>
          <w:sz w:val="24"/>
          <w:szCs w:val="24"/>
        </w:rPr>
        <w:t>em</w:t>
      </w:r>
      <w:r w:rsidRPr="007476A4">
        <w:rPr>
          <w:sz w:val="24"/>
          <w:szCs w:val="24"/>
        </w:rPr>
        <w:t xml:space="preserve"> artigos científicos, teses, dissertações e trabalhos completos publicados. </w:t>
      </w:r>
      <w:r w:rsidR="00094D0B">
        <w:rPr>
          <w:sz w:val="24"/>
          <w:szCs w:val="24"/>
        </w:rPr>
        <w:t>Logo após</w:t>
      </w:r>
      <w:r w:rsidRPr="007476A4">
        <w:rPr>
          <w:sz w:val="24"/>
          <w:szCs w:val="24"/>
        </w:rPr>
        <w:t xml:space="preserve">, </w:t>
      </w:r>
      <w:r w:rsidR="00096C6A">
        <w:rPr>
          <w:sz w:val="24"/>
          <w:szCs w:val="24"/>
        </w:rPr>
        <w:t>fo</w:t>
      </w:r>
      <w:r w:rsidR="00094D0B">
        <w:rPr>
          <w:sz w:val="24"/>
          <w:szCs w:val="24"/>
        </w:rPr>
        <w:t>ram</w:t>
      </w:r>
      <w:r w:rsidRPr="007476A4">
        <w:rPr>
          <w:sz w:val="24"/>
          <w:szCs w:val="24"/>
        </w:rPr>
        <w:t xml:space="preserve"> selecionadas cinco variáveis que </w:t>
      </w:r>
      <w:r w:rsidR="00794E0A">
        <w:rPr>
          <w:sz w:val="24"/>
          <w:szCs w:val="24"/>
        </w:rPr>
        <w:t>passaram pelo processo de</w:t>
      </w:r>
      <w:r w:rsidRPr="007476A4">
        <w:rPr>
          <w:sz w:val="24"/>
          <w:szCs w:val="24"/>
        </w:rPr>
        <w:t xml:space="preserve"> reescalonamento, aplicação do método </w:t>
      </w:r>
      <w:r w:rsidR="00794E0A" w:rsidRPr="007476A4">
        <w:rPr>
          <w:sz w:val="24"/>
          <w:szCs w:val="24"/>
        </w:rPr>
        <w:t>AHP e</w:t>
      </w:r>
      <w:r w:rsidRPr="007476A4">
        <w:rPr>
          <w:sz w:val="24"/>
          <w:szCs w:val="24"/>
        </w:rPr>
        <w:t xml:space="preserve"> tratamento adequado em ambiente SIG, </w:t>
      </w:r>
      <w:r w:rsidR="00B96B44">
        <w:rPr>
          <w:sz w:val="24"/>
          <w:szCs w:val="24"/>
        </w:rPr>
        <w:t>que favorecem</w:t>
      </w:r>
      <w:r w:rsidRPr="007476A4">
        <w:rPr>
          <w:sz w:val="24"/>
          <w:szCs w:val="24"/>
        </w:rPr>
        <w:t xml:space="preserve"> a identificação de fragmentos florestais prioritários para a criação de UC.</w:t>
      </w:r>
    </w:p>
    <w:p w14:paraId="4485BA91" w14:textId="5C165148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As pesquisas selecionadas considera</w:t>
      </w:r>
      <w:r w:rsidR="00B96B44">
        <w:rPr>
          <w:sz w:val="24"/>
          <w:szCs w:val="24"/>
        </w:rPr>
        <w:t>ra</w:t>
      </w:r>
      <w:r w:rsidRPr="007476A4">
        <w:rPr>
          <w:sz w:val="24"/>
          <w:szCs w:val="24"/>
        </w:rPr>
        <w:t xml:space="preserve">m consulta aos órgãos ambientais e aos profissionais de meio ambiente para a escolha das variáveis (Lopes; Lourenço; Reuss-Strzelnik, 2016; Nogueira; Santos; Bertoncini, 2020; Silva; Santos; Vargas, 2019; Cavalcante; Souza; Costa, 2020; Coelho </w:t>
      </w:r>
      <w:r w:rsidRPr="003220B3">
        <w:rPr>
          <w:i/>
          <w:iCs/>
          <w:sz w:val="24"/>
          <w:szCs w:val="24"/>
        </w:rPr>
        <w:t>et al</w:t>
      </w:r>
      <w:r w:rsidRPr="007476A4">
        <w:rPr>
          <w:sz w:val="24"/>
          <w:szCs w:val="24"/>
        </w:rPr>
        <w:t>., 2024). A análise adequada contribui</w:t>
      </w:r>
      <w:r w:rsidR="00B96B44">
        <w:rPr>
          <w:sz w:val="24"/>
          <w:szCs w:val="24"/>
        </w:rPr>
        <w:t>u</w:t>
      </w:r>
      <w:r w:rsidRPr="007476A4">
        <w:rPr>
          <w:sz w:val="24"/>
          <w:szCs w:val="24"/>
        </w:rPr>
        <w:t xml:space="preserve"> para a seleção de variáveis relevantes no processo de escolha das áreas prioritárias para conservação no estado do Rio de Janeiro. </w:t>
      </w:r>
      <w:r w:rsidR="00096C6A">
        <w:rPr>
          <w:sz w:val="24"/>
          <w:szCs w:val="24"/>
        </w:rPr>
        <w:t>Foram</w:t>
      </w:r>
      <w:r w:rsidRPr="007476A4">
        <w:rPr>
          <w:sz w:val="24"/>
          <w:szCs w:val="24"/>
        </w:rPr>
        <w:t xml:space="preserve"> definidas como variáveis: tamanho do fragmento, declividade do terreno, distância das rodovias, densidade de nascentes e rede de drenagem, com base em revisão </w:t>
      </w:r>
      <w:r w:rsidRPr="007476A4">
        <w:rPr>
          <w:sz w:val="24"/>
          <w:szCs w:val="24"/>
        </w:rPr>
        <w:lastRenderedPageBreak/>
        <w:t>bibliográfica.</w:t>
      </w:r>
    </w:p>
    <w:p w14:paraId="59531D86" w14:textId="0E6D10ED" w:rsidR="00EA0272" w:rsidRPr="007476A4" w:rsidRDefault="00096C6A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96C6A">
        <w:rPr>
          <w:sz w:val="24"/>
          <w:szCs w:val="24"/>
        </w:rPr>
        <w:t>Para a aplicação do método, foram utilizados dados disponíveis no Banco de Dados e Informações Ambientais (BDiA)</w:t>
      </w:r>
      <w:r>
        <w:rPr>
          <w:sz w:val="24"/>
          <w:szCs w:val="24"/>
        </w:rPr>
        <w:t xml:space="preserve"> </w:t>
      </w:r>
      <w:r w:rsidR="00EA0272" w:rsidRPr="007476A4">
        <w:rPr>
          <w:sz w:val="24"/>
          <w:szCs w:val="24"/>
        </w:rPr>
        <w:t xml:space="preserve">do Instituto Brasileiro de Geografia e Estatística (IBGE). Em seguida, no </w:t>
      </w:r>
      <w:r w:rsidR="00EA0272" w:rsidRPr="00096C6A">
        <w:rPr>
          <w:i/>
          <w:iCs/>
          <w:sz w:val="24"/>
          <w:szCs w:val="24"/>
        </w:rPr>
        <w:t>software</w:t>
      </w:r>
      <w:r w:rsidR="00EA0272" w:rsidRPr="007476A4">
        <w:rPr>
          <w:sz w:val="24"/>
          <w:szCs w:val="24"/>
        </w:rPr>
        <w:t xml:space="preserve"> QGIS (versão 3.38), os dados vetoriais </w:t>
      </w:r>
      <w:r w:rsidR="00B96B44">
        <w:rPr>
          <w:sz w:val="24"/>
          <w:szCs w:val="24"/>
        </w:rPr>
        <w:t>foram</w:t>
      </w:r>
      <w:r w:rsidR="00EA0272" w:rsidRPr="007476A4">
        <w:rPr>
          <w:sz w:val="24"/>
          <w:szCs w:val="24"/>
        </w:rPr>
        <w:t xml:space="preserve"> categorizados nas seguintes classes: Floresta Estacional Semidecidual das Terras Baixas, Floresta Ombrófila Densa Alto-Montana, Floresta Ombrófila Densa Montana, Floresta Ombrófila Densa Submontana, Florestamento/Reflorestamento, Formação Pioneira com influência fluvial e/ou lacustre, Formação Pioneira com influência fluviomarinha e Formação Pioneira com influência marinha, totalizando 08 classes diferentes para a formação florestal.</w:t>
      </w:r>
    </w:p>
    <w:p w14:paraId="38741BD3" w14:textId="4F7C7845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Para a aplicação do AHP, utiliz</w:t>
      </w:r>
      <w:r w:rsidR="00B96B44">
        <w:rPr>
          <w:sz w:val="24"/>
          <w:szCs w:val="24"/>
        </w:rPr>
        <w:t>ou</w:t>
      </w:r>
      <w:r w:rsidRPr="007476A4">
        <w:rPr>
          <w:sz w:val="24"/>
          <w:szCs w:val="24"/>
        </w:rPr>
        <w:t>-se a ferramenta “Calculadora Raster” do QGIS, seguindo os procedimentos necessários para a comparação par a par das variáveis consideradas.</w:t>
      </w:r>
    </w:p>
    <w:p w14:paraId="6AB1C1F9" w14:textId="77777777" w:rsidR="00E3782C" w:rsidRPr="007476A4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3FC91D07" w14:textId="01C1AC12" w:rsidR="007476A4" w:rsidRPr="007476A4" w:rsidRDefault="00E3782C" w:rsidP="009C4B75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 w:rsidRPr="007476A4">
        <w:rPr>
          <w:b/>
          <w:bCs/>
          <w:sz w:val="28"/>
          <w:szCs w:val="28"/>
        </w:rPr>
        <w:t>Resultados e Discussão</w:t>
      </w:r>
    </w:p>
    <w:p w14:paraId="5555720E" w14:textId="498BD6BF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O estado do Rio de Janeiro abriga a floresta mais devastada do Brasil</w:t>
      </w:r>
      <w:r w:rsidR="004A5666">
        <w:rPr>
          <w:sz w:val="24"/>
          <w:szCs w:val="24"/>
        </w:rPr>
        <w:t>, a Mata Atlântica</w:t>
      </w:r>
      <w:r w:rsidRPr="007476A4">
        <w:rPr>
          <w:sz w:val="24"/>
          <w:szCs w:val="24"/>
        </w:rPr>
        <w:t xml:space="preserve"> (FUNDAÇÃO SOS MATA ATLÂNTICA, 2023). A criação de novas áreas para a conservação dos fragmentos florestais apresenta uma estratégia para minimizar a perda da biodiversidade e assegurar a proteção dos fragmentos florestais remanescentes.</w:t>
      </w:r>
    </w:p>
    <w:p w14:paraId="4A056937" w14:textId="3930BC67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 metodologia empregada permite a comparação das variáveis de maior relevância para a criação de novas UC</w:t>
      </w:r>
      <w:r w:rsidR="00B96B44">
        <w:rPr>
          <w:sz w:val="24"/>
          <w:szCs w:val="24"/>
        </w:rPr>
        <w:t>s</w:t>
      </w:r>
      <w:r w:rsidRPr="007476A4">
        <w:rPr>
          <w:sz w:val="24"/>
          <w:szCs w:val="24"/>
        </w:rPr>
        <w:t xml:space="preserve"> no estado do Rio de Janeiro. Fragmentos florestais de maior área contínua conservam aproximadamente 12% mais espécies animais do que aglomerados de fragmentos menores (</w:t>
      </w:r>
      <w:r w:rsidR="003220B3">
        <w:rPr>
          <w:sz w:val="24"/>
          <w:szCs w:val="24"/>
        </w:rPr>
        <w:t xml:space="preserve">Bianchini, </w:t>
      </w:r>
      <w:r w:rsidRPr="007476A4">
        <w:rPr>
          <w:sz w:val="24"/>
          <w:szCs w:val="24"/>
        </w:rPr>
        <w:t>2015).</w:t>
      </w:r>
    </w:p>
    <w:p w14:paraId="4CA22C8F" w14:textId="2F34FF7A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 declividade do terreno está relacionada às áreas de uso restrito e Áreas de Preservação Permanente (APP) de declividade, ambas descritas na Lei nº 12.651 de 25 de maio de 2012 (Novo Código Florestal). A combinação entre declividade do terreno e a incidência de solo argiloso e solo exposto intensifica a vulnerabilidade ambiental e aumenta o risco de processos erosivos (</w:t>
      </w:r>
      <w:r w:rsidR="003220B3">
        <w:rPr>
          <w:sz w:val="24"/>
          <w:szCs w:val="24"/>
        </w:rPr>
        <w:t>Silva</w:t>
      </w:r>
      <w:r w:rsidRPr="007476A4">
        <w:rPr>
          <w:sz w:val="24"/>
          <w:szCs w:val="24"/>
        </w:rPr>
        <w:t xml:space="preserve"> </w:t>
      </w:r>
      <w:r w:rsidRPr="003220B3">
        <w:rPr>
          <w:i/>
          <w:iCs/>
          <w:sz w:val="24"/>
          <w:szCs w:val="24"/>
        </w:rPr>
        <w:t>et al</w:t>
      </w:r>
      <w:r w:rsidRPr="007476A4">
        <w:rPr>
          <w:sz w:val="24"/>
          <w:szCs w:val="24"/>
        </w:rPr>
        <w:t>., 2023).</w:t>
      </w:r>
    </w:p>
    <w:p w14:paraId="04945207" w14:textId="77777777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A distância das rodovias aos fragmentos florestais está relacionada ao efeito de borda, que impacta substancialmente a estrutura e a composição da vegetação. A interferência limítrofe aos fragmentos florestais facilita a invasão de espécies exóticas e agrava a perda de biodiversidade nos remanescentes florestais (Laurance </w:t>
      </w:r>
      <w:r w:rsidRPr="003220B3">
        <w:rPr>
          <w:i/>
          <w:iCs/>
          <w:sz w:val="24"/>
          <w:szCs w:val="24"/>
        </w:rPr>
        <w:t>et al.,</w:t>
      </w:r>
      <w:r w:rsidRPr="007476A4">
        <w:rPr>
          <w:sz w:val="24"/>
          <w:szCs w:val="24"/>
        </w:rPr>
        <w:t xml:space="preserve"> 2002; Haddad </w:t>
      </w:r>
      <w:r w:rsidRPr="003220B3">
        <w:rPr>
          <w:i/>
          <w:iCs/>
          <w:sz w:val="24"/>
          <w:szCs w:val="24"/>
        </w:rPr>
        <w:t>et al</w:t>
      </w:r>
      <w:r w:rsidRPr="007476A4">
        <w:rPr>
          <w:sz w:val="24"/>
          <w:szCs w:val="24"/>
        </w:rPr>
        <w:t>., 2015).</w:t>
      </w:r>
    </w:p>
    <w:p w14:paraId="491B957C" w14:textId="477A1712" w:rsidR="00EA0272" w:rsidRPr="007476A4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O entorno das nascentes é protegido em um raio de 50 metros, conforme descrito no Novo Código Florestal. A variável densidade de nascentes </w:t>
      </w:r>
      <w:r w:rsidR="00B96B44">
        <w:rPr>
          <w:sz w:val="24"/>
          <w:szCs w:val="24"/>
        </w:rPr>
        <w:t>foi</w:t>
      </w:r>
      <w:r w:rsidRPr="007476A4">
        <w:rPr>
          <w:sz w:val="24"/>
          <w:szCs w:val="24"/>
        </w:rPr>
        <w:t xml:space="preserve"> considerada devido a relevância na manutenção da disponibilidade hídrica, conservação da biodiversidade e regulação dos </w:t>
      </w:r>
      <w:r w:rsidRPr="007476A4">
        <w:rPr>
          <w:sz w:val="24"/>
          <w:szCs w:val="24"/>
        </w:rPr>
        <w:lastRenderedPageBreak/>
        <w:t>processos ecológicos. Áreas com maior concentração de nascentes apresentam maior relevância para a criação e consolidação de UCs (MEA, 2005; Tundisi &amp; Tundisi, 2010).</w:t>
      </w:r>
    </w:p>
    <w:p w14:paraId="42427FB4" w14:textId="7B8F18DB" w:rsidR="00EA0272" w:rsidRDefault="00EA0272" w:rsidP="00EA027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 xml:space="preserve">A última variável selecionada </w:t>
      </w:r>
      <w:r w:rsidR="005C2294">
        <w:rPr>
          <w:sz w:val="24"/>
          <w:szCs w:val="24"/>
        </w:rPr>
        <w:t>foi</w:t>
      </w:r>
      <w:r w:rsidRPr="007476A4">
        <w:rPr>
          <w:sz w:val="24"/>
          <w:szCs w:val="24"/>
        </w:rPr>
        <w:t xml:space="preserve"> a rede de drenagem. Em consonância com a densidade de nascentes, a variável rede de drenagem </w:t>
      </w:r>
      <w:r w:rsidR="005C2294">
        <w:rPr>
          <w:sz w:val="24"/>
          <w:szCs w:val="24"/>
        </w:rPr>
        <w:t xml:space="preserve">relaciona-se </w:t>
      </w:r>
      <w:r w:rsidRPr="007476A4">
        <w:rPr>
          <w:sz w:val="24"/>
          <w:szCs w:val="24"/>
        </w:rPr>
        <w:t xml:space="preserve">diretamente </w:t>
      </w:r>
      <w:r w:rsidR="005C2294">
        <w:rPr>
          <w:sz w:val="24"/>
          <w:szCs w:val="24"/>
        </w:rPr>
        <w:t xml:space="preserve">com </w:t>
      </w:r>
      <w:r w:rsidRPr="007476A4">
        <w:rPr>
          <w:sz w:val="24"/>
          <w:szCs w:val="24"/>
        </w:rPr>
        <w:t>a disponibilidade hídrica. Áreas com maior densidade de drenagem apresentam maior resiliência ecológica e relevância para a conservação devido ao papel fundamental na manutenção dos ecossistemas terrestres e aquáticos (Tundisi &amp; Tundisi, 2010; MEA, 2005).</w:t>
      </w:r>
    </w:p>
    <w:p w14:paraId="797056C0" w14:textId="5F531524" w:rsidR="00DB2ABA" w:rsidRDefault="00B96B44" w:rsidP="006E064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96B44">
        <w:rPr>
          <w:sz w:val="24"/>
          <w:szCs w:val="24"/>
        </w:rPr>
        <w:t>Após o reescalonamento das variáveis, foram definidos os pesos correspondentes a cada variável, considerando sua importância relativa na análise</w:t>
      </w:r>
      <w:r w:rsidR="00DB2ABA">
        <w:rPr>
          <w:sz w:val="24"/>
          <w:szCs w:val="24"/>
        </w:rPr>
        <w:t xml:space="preserve">. O Índice de Consistência igual a 0,08 </w:t>
      </w:r>
      <w:r w:rsidR="00AC1480">
        <w:rPr>
          <w:sz w:val="24"/>
          <w:szCs w:val="24"/>
        </w:rPr>
        <w:t xml:space="preserve">(IC = 0,08) </w:t>
      </w:r>
      <w:r w:rsidR="00DB2ABA">
        <w:rPr>
          <w:sz w:val="24"/>
          <w:szCs w:val="24"/>
        </w:rPr>
        <w:t xml:space="preserve">assegurou que os pesos indicados </w:t>
      </w:r>
      <w:r>
        <w:rPr>
          <w:sz w:val="24"/>
          <w:szCs w:val="24"/>
        </w:rPr>
        <w:t>estivessem</w:t>
      </w:r>
      <w:r w:rsidR="00DB2ABA">
        <w:rPr>
          <w:sz w:val="24"/>
          <w:szCs w:val="24"/>
        </w:rPr>
        <w:t xml:space="preserve"> em acordo com a metodologia AHP (Tabela 1).</w:t>
      </w:r>
    </w:p>
    <w:p w14:paraId="57D4D760" w14:textId="0BEE2B6C" w:rsidR="00DB2ABA" w:rsidRPr="00343526" w:rsidRDefault="00DB2ABA" w:rsidP="00DB2ABA">
      <w:pPr>
        <w:pStyle w:val="Corpodetexto"/>
        <w:spacing w:before="1" w:line="360" w:lineRule="auto"/>
        <w:ind w:firstLine="720"/>
        <w:jc w:val="center"/>
        <w:rPr>
          <w:b/>
          <w:bCs/>
          <w:lang w:val="pt-BR"/>
        </w:rPr>
      </w:pPr>
      <w:r w:rsidRPr="00343526">
        <w:rPr>
          <w:b/>
          <w:bCs/>
          <w:lang w:val="pt-BR"/>
        </w:rPr>
        <w:t xml:space="preserve">Tabela </w:t>
      </w:r>
      <w:r w:rsidR="00343526">
        <w:rPr>
          <w:b/>
          <w:bCs/>
          <w:lang w:val="pt-BR"/>
        </w:rPr>
        <w:t>1</w:t>
      </w:r>
      <w:r w:rsidRPr="00343526">
        <w:rPr>
          <w:b/>
          <w:bCs/>
          <w:lang w:val="pt-BR"/>
        </w:rPr>
        <w:t xml:space="preserve"> – Pesos atribuídos a cada variável.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1386"/>
      </w:tblGrid>
      <w:tr w:rsidR="00DB2ABA" w:rsidRPr="00DB2ABA" w14:paraId="10CC16D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75206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b/>
                <w:bCs/>
                <w:lang w:val="pt-BR"/>
              </w:rPr>
              <w:t>Variável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62FA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b/>
                <w:bCs/>
                <w:lang w:val="pt-BR"/>
              </w:rPr>
              <w:t>Peso</w:t>
            </w:r>
          </w:p>
        </w:tc>
      </w:tr>
      <w:tr w:rsidR="00DB2ABA" w:rsidRPr="00DB2ABA" w14:paraId="56EF1A6D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1AD8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Tamanho do fragmento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07BEE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0,229</w:t>
            </w:r>
          </w:p>
        </w:tc>
      </w:tr>
      <w:tr w:rsidR="00DB2ABA" w:rsidRPr="00DB2ABA" w14:paraId="25A36F12" w14:textId="77777777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59915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Declividade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E95BD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0,115</w:t>
            </w:r>
          </w:p>
        </w:tc>
      </w:tr>
      <w:tr w:rsidR="00DB2ABA" w:rsidRPr="00DB2ABA" w14:paraId="3B3C83D5" w14:textId="77777777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BF50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Distância de rodovias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01543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0,040</w:t>
            </w:r>
          </w:p>
        </w:tc>
      </w:tr>
      <w:tr w:rsidR="00DB2ABA" w:rsidRPr="00DB2ABA" w14:paraId="77F421D8" w14:textId="77777777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A49B7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Densidade de nascentes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AA1F6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0,507</w:t>
            </w:r>
          </w:p>
        </w:tc>
      </w:tr>
      <w:tr w:rsidR="00DB2ABA" w:rsidRPr="00DB2ABA" w14:paraId="5264C6E7" w14:textId="77777777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3669C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Drenagem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545A" w14:textId="77777777" w:rsidR="00DB2ABA" w:rsidRPr="00DB2ABA" w:rsidRDefault="00DB2ABA" w:rsidP="000205E1">
            <w:pPr>
              <w:pStyle w:val="Corpodetexto"/>
              <w:spacing w:before="1" w:line="360" w:lineRule="auto"/>
              <w:ind w:firstLine="720"/>
              <w:jc w:val="center"/>
              <w:rPr>
                <w:lang w:val="pt-BR"/>
              </w:rPr>
            </w:pPr>
            <w:r w:rsidRPr="00DB2ABA">
              <w:rPr>
                <w:lang w:val="pt-BR"/>
              </w:rPr>
              <w:t>0,109</w:t>
            </w:r>
          </w:p>
        </w:tc>
      </w:tr>
    </w:tbl>
    <w:p w14:paraId="7F2F6D52" w14:textId="0E8ABFD3" w:rsidR="00DB2ABA" w:rsidRPr="00DB2ABA" w:rsidRDefault="00DB2ABA" w:rsidP="006E064D">
      <w:pPr>
        <w:pStyle w:val="Corpodetexto"/>
        <w:spacing w:before="1" w:line="360" w:lineRule="auto"/>
        <w:ind w:firstLine="720"/>
        <w:jc w:val="center"/>
        <w:rPr>
          <w:lang w:val="pt-BR"/>
        </w:rPr>
      </w:pPr>
      <w:r w:rsidRPr="00DB2ABA">
        <w:rPr>
          <w:b/>
          <w:bCs/>
          <w:lang w:val="pt-BR"/>
        </w:rPr>
        <w:t>Fonte:</w:t>
      </w:r>
      <w:r w:rsidRPr="00DB2ABA">
        <w:rPr>
          <w:lang w:val="pt-BR"/>
        </w:rPr>
        <w:t xml:space="preserve"> </w:t>
      </w:r>
      <w:r w:rsidR="000205E1">
        <w:rPr>
          <w:lang w:val="pt-BR"/>
        </w:rPr>
        <w:t>Santos</w:t>
      </w:r>
      <w:r w:rsidRPr="00DB2ABA">
        <w:rPr>
          <w:lang w:val="pt-BR"/>
        </w:rPr>
        <w:t xml:space="preserve"> </w:t>
      </w:r>
      <w:r w:rsidRPr="00DB2ABA">
        <w:rPr>
          <w:i/>
          <w:iCs/>
          <w:lang w:val="pt-BR"/>
        </w:rPr>
        <w:t>et al.,</w:t>
      </w:r>
      <w:r w:rsidRPr="00DB2ABA">
        <w:rPr>
          <w:lang w:val="pt-BR"/>
        </w:rPr>
        <w:t xml:space="preserve"> </w:t>
      </w:r>
      <w:r w:rsidR="00947445">
        <w:rPr>
          <w:lang w:val="pt-BR"/>
        </w:rPr>
        <w:t>(</w:t>
      </w:r>
      <w:r w:rsidRPr="00DB2ABA">
        <w:rPr>
          <w:lang w:val="pt-BR"/>
        </w:rPr>
        <w:t>2026</w:t>
      </w:r>
      <w:r w:rsidR="00947445">
        <w:rPr>
          <w:lang w:val="pt-BR"/>
        </w:rPr>
        <w:t>,</w:t>
      </w:r>
      <w:r w:rsidRPr="00DB2ABA">
        <w:rPr>
          <w:lang w:val="pt-BR"/>
        </w:rPr>
        <w:t xml:space="preserve"> no prelo</w:t>
      </w:r>
      <w:r w:rsidR="00947445">
        <w:rPr>
          <w:lang w:val="pt-BR"/>
        </w:rPr>
        <w:t>)</w:t>
      </w:r>
      <w:r w:rsidRPr="00DB2ABA">
        <w:rPr>
          <w:lang w:val="pt-BR"/>
        </w:rPr>
        <w:t>.</w:t>
      </w:r>
    </w:p>
    <w:p w14:paraId="021079D3" w14:textId="5B6819E3" w:rsidR="00243512" w:rsidRDefault="00387942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387942">
        <w:rPr>
          <w:sz w:val="24"/>
          <w:szCs w:val="24"/>
        </w:rPr>
        <w:t>A</w:t>
      </w:r>
      <w:r>
        <w:rPr>
          <w:sz w:val="24"/>
          <w:szCs w:val="24"/>
        </w:rPr>
        <w:t xml:space="preserve"> variável</w:t>
      </w:r>
      <w:r w:rsidRPr="00387942">
        <w:rPr>
          <w:sz w:val="24"/>
          <w:szCs w:val="24"/>
        </w:rPr>
        <w:t xml:space="preserve"> densidade de nascentes apresentou o maior peso na definição das áreas prioritárias para implantação de </w:t>
      </w:r>
      <w:r w:rsidR="00860644">
        <w:rPr>
          <w:sz w:val="24"/>
          <w:szCs w:val="24"/>
        </w:rPr>
        <w:t xml:space="preserve">novas </w:t>
      </w:r>
      <w:r w:rsidRPr="00387942">
        <w:rPr>
          <w:sz w:val="24"/>
          <w:szCs w:val="24"/>
        </w:rPr>
        <w:t xml:space="preserve">UC, indicando a importância desses ambientes para a conservação dos recursos hídricos e da biodiversidade. Por constituírem áreas especialmente protegidas pelo Código Florestal, as nascentes representam importantes indicadores na identificação de setores prioritários para conservação. Essa relevância </w:t>
      </w:r>
      <w:r w:rsidR="000205E1">
        <w:rPr>
          <w:sz w:val="24"/>
          <w:szCs w:val="24"/>
        </w:rPr>
        <w:t>é</w:t>
      </w:r>
      <w:r w:rsidRPr="00387942">
        <w:rPr>
          <w:sz w:val="24"/>
          <w:szCs w:val="24"/>
        </w:rPr>
        <w:t xml:space="preserve"> reforçada pela necessidade de manutenção da vegetação nas margens e áreas adjacentes aos cursos d’água, cuja conservação contribui para a estabilidade das margens, a redução da erosão e a manutenção da qualidade ambiental dos sistemas fluviais.</w:t>
      </w:r>
    </w:p>
    <w:p w14:paraId="76E0C4D9" w14:textId="77777777" w:rsidR="000205E1" w:rsidRPr="007476A4" w:rsidRDefault="000205E1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6B50C45C" w:rsidR="00243512" w:rsidRPr="007476A4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7476A4">
        <w:rPr>
          <w:b/>
          <w:bCs/>
          <w:sz w:val="28"/>
          <w:szCs w:val="28"/>
        </w:rPr>
        <w:t>Conclusão</w:t>
      </w:r>
    </w:p>
    <w:p w14:paraId="1498FE9B" w14:textId="3470EAEA" w:rsidR="00EA0272" w:rsidRPr="007476A4" w:rsidRDefault="00EA0272" w:rsidP="005B2543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 identificação das áreas para a implantação de UC no estado do Rio de Janeiro favorece a conservação do Bioma Mata Atlântica. A aplicação de técnicas como a AHP em ambiente SIG representa uma abordagem eficiente para apoiar o planejamento ambiental e a integração de variáveis ecológicas para a conservação das espécies.</w:t>
      </w:r>
    </w:p>
    <w:p w14:paraId="31284D6D" w14:textId="56E8B0D5" w:rsidR="00EA0272" w:rsidRPr="007476A4" w:rsidRDefault="00EA0272" w:rsidP="00EA0272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 metodologia proposta apresent</w:t>
      </w:r>
      <w:r w:rsidR="000205E1">
        <w:rPr>
          <w:sz w:val="24"/>
          <w:szCs w:val="24"/>
        </w:rPr>
        <w:t>ou</w:t>
      </w:r>
      <w:r w:rsidRPr="007476A4">
        <w:rPr>
          <w:sz w:val="24"/>
          <w:szCs w:val="24"/>
        </w:rPr>
        <w:t xml:space="preserve"> potencial para aplicação em diferentes regiões do </w:t>
      </w:r>
      <w:r w:rsidRPr="007476A4">
        <w:rPr>
          <w:sz w:val="24"/>
          <w:szCs w:val="24"/>
        </w:rPr>
        <w:lastRenderedPageBreak/>
        <w:t>país para auxiliar a tomada de decisão</w:t>
      </w:r>
      <w:r w:rsidR="00AC1480">
        <w:rPr>
          <w:sz w:val="24"/>
          <w:szCs w:val="24"/>
        </w:rPr>
        <w:t>, ao utilizar os pesos indicados para cada variável</w:t>
      </w:r>
      <w:r w:rsidRPr="007476A4">
        <w:rPr>
          <w:sz w:val="24"/>
          <w:szCs w:val="24"/>
        </w:rPr>
        <w:t>.</w:t>
      </w:r>
      <w:r w:rsidR="00AC1480">
        <w:rPr>
          <w:sz w:val="24"/>
          <w:szCs w:val="24"/>
        </w:rPr>
        <w:t xml:space="preserve"> A variável densidade de nascentes apresentou maior peso, se comparada as demais variáveis, o que demonstra a importância da presença de recursos hídricos na implantação de UC.</w:t>
      </w:r>
      <w:r w:rsidRPr="007476A4">
        <w:rPr>
          <w:sz w:val="24"/>
          <w:szCs w:val="24"/>
        </w:rPr>
        <w:t xml:space="preserve"> As áreas identificadas com o auxílio da metodologia AHP associada ao SIG, oferecem subsídios técnicos para o aprimoramento das políticas públicas de ordenamento territorial e conservação ambiental, contribuindo para o cumprimento das metas nacionais e globais de proteção da biodiversidade, em consonância com o Objetivo de Desenvolvimento Sustentável (ODS) 03 (Saúde e Bem-estar), ODS 11 (Cidades e comunidades sustentáveis), ODS 13 (Ação contra a mudança global do clima) e ODS 15 (Vida Terrestre).</w:t>
      </w:r>
    </w:p>
    <w:p w14:paraId="1459CD48" w14:textId="77777777" w:rsidR="009C4B75" w:rsidRPr="007476A4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7476A4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7476A4">
        <w:rPr>
          <w:b/>
          <w:bCs/>
          <w:sz w:val="28"/>
          <w:szCs w:val="28"/>
        </w:rPr>
        <w:t>Agradecimentos</w:t>
      </w:r>
    </w:p>
    <w:p w14:paraId="6010D63B" w14:textId="77777777" w:rsidR="00EA0272" w:rsidRPr="007476A4" w:rsidRDefault="00EA0272" w:rsidP="00EA0272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Ao Conselho Nacional de Desenvolvimento Científico e Tecnológico (CNPQ) pela concessão da bolsa de produtividade PQ, para o segundo autor, processo nº 310145/2025-2.</w:t>
      </w:r>
    </w:p>
    <w:p w14:paraId="2D3EF585" w14:textId="00F78D83" w:rsidR="00EA0272" w:rsidRPr="007476A4" w:rsidRDefault="00EA0272" w:rsidP="00EA0272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476A4">
        <w:rPr>
          <w:sz w:val="24"/>
          <w:szCs w:val="24"/>
        </w:rPr>
        <w:t>À Fundação de Amparo de Pesquisa da Bahia (FAPESB) pela concessão da bolsa de mestrado ao terceiro autor, pedido nº 886/2025.</w:t>
      </w:r>
    </w:p>
    <w:p w14:paraId="6E22778B" w14:textId="77777777" w:rsidR="00EA0272" w:rsidRPr="007476A4" w:rsidRDefault="00EA0272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222A443D" w14:textId="5A764FA7" w:rsidR="003220B3" w:rsidRPr="007476A4" w:rsidRDefault="00624629" w:rsidP="003220B3">
      <w:pPr>
        <w:pStyle w:val="Corpodetexto"/>
        <w:spacing w:line="360" w:lineRule="auto"/>
        <w:jc w:val="both"/>
        <w:rPr>
          <w:sz w:val="24"/>
          <w:szCs w:val="24"/>
        </w:rPr>
      </w:pPr>
      <w:r w:rsidRPr="007476A4">
        <w:rPr>
          <w:b/>
          <w:bCs/>
          <w:sz w:val="28"/>
          <w:szCs w:val="28"/>
        </w:rPr>
        <w:t>Referências</w:t>
      </w:r>
    </w:p>
    <w:p w14:paraId="25DE8802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 xml:space="preserve">BIANCHINI, </w:t>
      </w:r>
      <w:proofErr w:type="spellStart"/>
      <w:r w:rsidRPr="00AE7CFA">
        <w:rPr>
          <w:b/>
          <w:bCs/>
          <w:sz w:val="24"/>
          <w:szCs w:val="24"/>
          <w:lang w:val="pt-BR"/>
        </w:rPr>
        <w:t>Cleberton</w:t>
      </w:r>
      <w:proofErr w:type="spellEnd"/>
      <w:r w:rsidRPr="00AE7CFA">
        <w:rPr>
          <w:b/>
          <w:bCs/>
          <w:sz w:val="24"/>
          <w:szCs w:val="24"/>
          <w:lang w:val="pt-BR"/>
        </w:rPr>
        <w:t xml:space="preserve"> Diego.</w:t>
      </w:r>
      <w:r w:rsidRPr="00AE7CFA">
        <w:rPr>
          <w:sz w:val="24"/>
          <w:szCs w:val="24"/>
          <w:lang w:val="pt-BR"/>
        </w:rPr>
        <w:t xml:space="preserve"> Determinação de áreas mais indicadas para implantação de unidades de conservação no Vale do Taquari – RS. 2015. Trabalho de Conclusão de Curso (Engenharia Ambiental) – Centro Universitário </w:t>
      </w:r>
      <w:proofErr w:type="spellStart"/>
      <w:r w:rsidRPr="00AE7CFA">
        <w:rPr>
          <w:sz w:val="24"/>
          <w:szCs w:val="24"/>
          <w:lang w:val="pt-BR"/>
        </w:rPr>
        <w:t>Univates</w:t>
      </w:r>
      <w:proofErr w:type="spellEnd"/>
      <w:r w:rsidRPr="00AE7CFA">
        <w:rPr>
          <w:sz w:val="24"/>
          <w:szCs w:val="24"/>
          <w:lang w:val="pt-BR"/>
        </w:rPr>
        <w:t>, Lajeado, 2015.</w:t>
      </w:r>
    </w:p>
    <w:p w14:paraId="65147A2F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BRASIL.</w:t>
      </w:r>
      <w:r w:rsidRPr="00AE7CFA">
        <w:rPr>
          <w:sz w:val="24"/>
          <w:szCs w:val="24"/>
          <w:lang w:val="pt-BR"/>
        </w:rPr>
        <w:t xml:space="preserve"> Lei nº 9.985, de 18 de julho de 2000. Institui o Sistema Nacional de Unidades de Conservação da Natureza e dá outras providências. Brasília, DF: Presidência da República, 2000.</w:t>
      </w:r>
    </w:p>
    <w:p w14:paraId="5DA04586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BRASIL.</w:t>
      </w:r>
      <w:r w:rsidRPr="00AE7CFA">
        <w:rPr>
          <w:sz w:val="24"/>
          <w:szCs w:val="24"/>
          <w:lang w:val="pt-BR"/>
        </w:rPr>
        <w:t xml:space="preserve"> Lei nº 12.651, de 25 de maio de 2012. Institui o Código Florestal. Brasília, DF: Presidência da República, 2012.</w:t>
      </w:r>
    </w:p>
    <w:p w14:paraId="68980775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BRASIL.</w:t>
      </w:r>
      <w:r w:rsidRPr="00AE7CFA">
        <w:rPr>
          <w:sz w:val="24"/>
          <w:szCs w:val="24"/>
          <w:lang w:val="pt-BR"/>
        </w:rPr>
        <w:t xml:space="preserve"> Rio de Janeiro – RJ. G20 Brasil. Brasília, DF: Governo Federal, 2023. Disponível em: </w:t>
      </w:r>
      <w:hyperlink r:id="rId8" w:history="1">
        <w:r w:rsidRPr="00AE7CFA">
          <w:rPr>
            <w:rStyle w:val="Hyperlink"/>
            <w:sz w:val="24"/>
            <w:szCs w:val="24"/>
            <w:lang w:val="pt-BR"/>
          </w:rPr>
          <w:t>https://www.gov.br/g20/pt-br/sobre-o-g20/cidades-sede/rio-de-janeiro-rj</w:t>
        </w:r>
      </w:hyperlink>
      <w:r w:rsidRPr="00AE7CFA">
        <w:rPr>
          <w:sz w:val="24"/>
          <w:szCs w:val="24"/>
          <w:lang w:val="pt-BR"/>
        </w:rPr>
        <w:t>. Acesso em: 17 jul. 2026.</w:t>
      </w:r>
    </w:p>
    <w:p w14:paraId="2B631548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BRASIL. Ministério do Meio Ambiente e Mudança do Clima.</w:t>
      </w:r>
      <w:r w:rsidRPr="00AE7CFA">
        <w:rPr>
          <w:sz w:val="24"/>
          <w:szCs w:val="24"/>
          <w:lang w:val="pt-BR"/>
        </w:rPr>
        <w:t xml:space="preserve"> Cadastro Nacional de Unidades de Conservação (CNUC): relatório de UCs. Brasília, DF: MMA, 2025. Disponível em: </w:t>
      </w:r>
      <w:hyperlink r:id="rId9" w:history="1">
        <w:r w:rsidRPr="00AE7CFA">
          <w:rPr>
            <w:rStyle w:val="Hyperlink"/>
            <w:sz w:val="24"/>
            <w:szCs w:val="24"/>
            <w:lang w:val="pt-BR"/>
          </w:rPr>
          <w:t>https://cnuc.mma.gov.br/relatorio_ucs</w:t>
        </w:r>
      </w:hyperlink>
      <w:r w:rsidRPr="00AE7CFA">
        <w:rPr>
          <w:sz w:val="24"/>
          <w:szCs w:val="24"/>
          <w:lang w:val="pt-BR"/>
        </w:rPr>
        <w:t>. Acesso em: 17 jul. 2026.</w:t>
      </w:r>
    </w:p>
    <w:p w14:paraId="133435B7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CARVALHO, Hercules da Silva; SILVA, Vinícius de Amorim; SOUZA, Paulo Sérgio Vila Nova.</w:t>
      </w:r>
      <w:r w:rsidRPr="00AE7CFA">
        <w:rPr>
          <w:sz w:val="24"/>
          <w:szCs w:val="24"/>
          <w:lang w:val="pt-BR"/>
        </w:rPr>
        <w:t xml:space="preserve"> Geoprocessamento e redes neurais convolucionais: análise da cobertura e uso da terra na bacia hidrográfica do Rio Almada (Bahia – Brasil). </w:t>
      </w:r>
      <w:r w:rsidRPr="00AE7CFA">
        <w:rPr>
          <w:i/>
          <w:iCs/>
          <w:sz w:val="24"/>
          <w:szCs w:val="24"/>
          <w:lang w:val="pt-BR"/>
        </w:rPr>
        <w:t>Caminhos de Geografia</w:t>
      </w:r>
      <w:r w:rsidRPr="00AE7CFA">
        <w:rPr>
          <w:sz w:val="24"/>
          <w:szCs w:val="24"/>
          <w:lang w:val="pt-BR"/>
        </w:rPr>
        <w:t>, v. 25, n. 101, 2024.</w:t>
      </w:r>
    </w:p>
    <w:p w14:paraId="54FD56B1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 xml:space="preserve">CAVALCANTE, Juliane da Costa; SOUZA FILHO, </w:t>
      </w:r>
      <w:proofErr w:type="spellStart"/>
      <w:r w:rsidRPr="00AE7CFA">
        <w:rPr>
          <w:b/>
          <w:bCs/>
          <w:sz w:val="24"/>
          <w:szCs w:val="24"/>
          <w:lang w:val="pt-BR"/>
        </w:rPr>
        <w:t>Jailson</w:t>
      </w:r>
      <w:proofErr w:type="spellEnd"/>
      <w:r w:rsidRPr="00AE7CFA">
        <w:rPr>
          <w:b/>
          <w:bCs/>
          <w:sz w:val="24"/>
          <w:szCs w:val="24"/>
          <w:lang w:val="pt-BR"/>
        </w:rPr>
        <w:t xml:space="preserve"> Soares de; VALE, Raphael de Souza; COSTA, Denise Cristina Torres.</w:t>
      </w:r>
      <w:r w:rsidRPr="00AE7CFA">
        <w:rPr>
          <w:sz w:val="24"/>
          <w:szCs w:val="24"/>
          <w:lang w:val="pt-BR"/>
        </w:rPr>
        <w:t xml:space="preserve"> Análise </w:t>
      </w:r>
      <w:proofErr w:type="spellStart"/>
      <w:r w:rsidRPr="00AE7CFA">
        <w:rPr>
          <w:sz w:val="24"/>
          <w:szCs w:val="24"/>
          <w:lang w:val="pt-BR"/>
        </w:rPr>
        <w:t>multicriterial</w:t>
      </w:r>
      <w:proofErr w:type="spellEnd"/>
      <w:r w:rsidRPr="00AE7CFA">
        <w:rPr>
          <w:sz w:val="24"/>
          <w:szCs w:val="24"/>
          <w:lang w:val="pt-BR"/>
        </w:rPr>
        <w:t xml:space="preserve"> na definição de áreas prioritárias à conservação florestal em São Félix do Xingu – PA. </w:t>
      </w:r>
      <w:r w:rsidRPr="00AE7CFA">
        <w:rPr>
          <w:i/>
          <w:iCs/>
          <w:sz w:val="24"/>
          <w:szCs w:val="24"/>
          <w:lang w:val="pt-BR"/>
        </w:rPr>
        <w:t>Revista Brasileira de Geografia Física</w:t>
      </w:r>
      <w:r w:rsidRPr="00AE7CFA">
        <w:rPr>
          <w:sz w:val="24"/>
          <w:szCs w:val="24"/>
          <w:lang w:val="pt-BR"/>
        </w:rPr>
        <w:t>, v. 13, n. 1, p. 167–181, 2020. DOI: 10.26848/</w:t>
      </w:r>
      <w:proofErr w:type="gramStart"/>
      <w:r w:rsidRPr="00AE7CFA">
        <w:rPr>
          <w:sz w:val="24"/>
          <w:szCs w:val="24"/>
          <w:lang w:val="pt-BR"/>
        </w:rPr>
        <w:t>rbgf.v</w:t>
      </w:r>
      <w:proofErr w:type="gramEnd"/>
      <w:r w:rsidRPr="00AE7CFA">
        <w:rPr>
          <w:sz w:val="24"/>
          <w:szCs w:val="24"/>
          <w:lang w:val="pt-BR"/>
        </w:rPr>
        <w:t>13.</w:t>
      </w:r>
      <w:proofErr w:type="gramStart"/>
      <w:r w:rsidRPr="00AE7CFA">
        <w:rPr>
          <w:sz w:val="24"/>
          <w:szCs w:val="24"/>
          <w:lang w:val="pt-BR"/>
        </w:rPr>
        <w:t>1.p</w:t>
      </w:r>
      <w:proofErr w:type="gramEnd"/>
      <w:r w:rsidRPr="00AE7CFA">
        <w:rPr>
          <w:sz w:val="24"/>
          <w:szCs w:val="24"/>
          <w:lang w:val="pt-BR"/>
        </w:rPr>
        <w:t>167-181.</w:t>
      </w:r>
    </w:p>
    <w:p w14:paraId="15F39A65" w14:textId="77777777" w:rsidR="00AE7CFA" w:rsidRPr="00893AFF" w:rsidRDefault="00AE7CFA" w:rsidP="00AE7CFA">
      <w:pPr>
        <w:pStyle w:val="Corpodetexto"/>
        <w:rPr>
          <w:sz w:val="24"/>
          <w:szCs w:val="24"/>
          <w:lang w:val="en-US"/>
        </w:rPr>
      </w:pPr>
      <w:r w:rsidRPr="00AE7CFA">
        <w:rPr>
          <w:b/>
          <w:bCs/>
          <w:sz w:val="24"/>
          <w:szCs w:val="24"/>
          <w:lang w:val="pt-BR"/>
        </w:rPr>
        <w:t>FUNDAÇÃO SOS MATA ATLÂNTICA.</w:t>
      </w:r>
      <w:r w:rsidRPr="00AE7CFA">
        <w:rPr>
          <w:sz w:val="24"/>
          <w:szCs w:val="24"/>
          <w:lang w:val="pt-BR"/>
        </w:rPr>
        <w:t xml:space="preserve"> Mata Atlântica. São Paulo: Fundação SOS Mata </w:t>
      </w:r>
      <w:r w:rsidRPr="00AE7CFA">
        <w:rPr>
          <w:sz w:val="24"/>
          <w:szCs w:val="24"/>
          <w:lang w:val="pt-BR"/>
        </w:rPr>
        <w:lastRenderedPageBreak/>
        <w:t xml:space="preserve">Atlântica, 2026. Disponível em: </w:t>
      </w:r>
      <w:hyperlink r:id="rId10" w:history="1">
        <w:r w:rsidRPr="00AE7CFA">
          <w:rPr>
            <w:rStyle w:val="Hyperlink"/>
            <w:sz w:val="24"/>
            <w:szCs w:val="24"/>
            <w:lang w:val="pt-BR"/>
          </w:rPr>
          <w:t>https://www.sosma.org.br/causas/mata-atlantica</w:t>
        </w:r>
      </w:hyperlink>
      <w:r w:rsidRPr="00AE7CFA">
        <w:rPr>
          <w:sz w:val="24"/>
          <w:szCs w:val="24"/>
          <w:lang w:val="pt-BR"/>
        </w:rPr>
        <w:t xml:space="preserve">. </w:t>
      </w:r>
      <w:proofErr w:type="spellStart"/>
      <w:r w:rsidRPr="00893AFF">
        <w:rPr>
          <w:sz w:val="24"/>
          <w:szCs w:val="24"/>
          <w:lang w:val="en-US"/>
        </w:rPr>
        <w:t>Acesso</w:t>
      </w:r>
      <w:proofErr w:type="spellEnd"/>
      <w:r w:rsidRPr="00893AFF">
        <w:rPr>
          <w:sz w:val="24"/>
          <w:szCs w:val="24"/>
          <w:lang w:val="en-US"/>
        </w:rPr>
        <w:t xml:space="preserve"> </w:t>
      </w:r>
      <w:proofErr w:type="spellStart"/>
      <w:r w:rsidRPr="00893AFF">
        <w:rPr>
          <w:sz w:val="24"/>
          <w:szCs w:val="24"/>
          <w:lang w:val="en-US"/>
        </w:rPr>
        <w:t>em</w:t>
      </w:r>
      <w:proofErr w:type="spellEnd"/>
      <w:r w:rsidRPr="00893AFF">
        <w:rPr>
          <w:sz w:val="24"/>
          <w:szCs w:val="24"/>
          <w:lang w:val="en-US"/>
        </w:rPr>
        <w:t xml:space="preserve">: 17 </w:t>
      </w:r>
      <w:proofErr w:type="spellStart"/>
      <w:r w:rsidRPr="00893AFF">
        <w:rPr>
          <w:sz w:val="24"/>
          <w:szCs w:val="24"/>
          <w:lang w:val="en-US"/>
        </w:rPr>
        <w:t>jul.</w:t>
      </w:r>
      <w:proofErr w:type="spellEnd"/>
      <w:r w:rsidRPr="00893AFF">
        <w:rPr>
          <w:sz w:val="24"/>
          <w:szCs w:val="24"/>
          <w:lang w:val="en-US"/>
        </w:rPr>
        <w:t xml:space="preserve"> 2026.</w:t>
      </w:r>
    </w:p>
    <w:p w14:paraId="3D76E337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893AFF">
        <w:rPr>
          <w:b/>
          <w:bCs/>
          <w:sz w:val="24"/>
          <w:szCs w:val="24"/>
          <w:lang w:val="en-US"/>
        </w:rPr>
        <w:t>HADDAD, Nick M. et al.</w:t>
      </w:r>
      <w:r w:rsidRPr="00893AFF">
        <w:rPr>
          <w:sz w:val="24"/>
          <w:szCs w:val="24"/>
          <w:lang w:val="en-US"/>
        </w:rPr>
        <w:t xml:space="preserve"> Habitat fragmentation and its lasting impact on Earth's ecosystems. </w:t>
      </w:r>
      <w:r w:rsidRPr="00AE7CFA">
        <w:rPr>
          <w:i/>
          <w:iCs/>
          <w:sz w:val="24"/>
          <w:szCs w:val="24"/>
          <w:lang w:val="pt-BR"/>
        </w:rPr>
        <w:t xml:space="preserve">Science </w:t>
      </w:r>
      <w:proofErr w:type="spellStart"/>
      <w:r w:rsidRPr="00AE7CFA">
        <w:rPr>
          <w:i/>
          <w:iCs/>
          <w:sz w:val="24"/>
          <w:szCs w:val="24"/>
          <w:lang w:val="pt-BR"/>
        </w:rPr>
        <w:t>Advances</w:t>
      </w:r>
      <w:proofErr w:type="spellEnd"/>
      <w:r w:rsidRPr="00AE7CFA">
        <w:rPr>
          <w:sz w:val="24"/>
          <w:szCs w:val="24"/>
          <w:lang w:val="pt-BR"/>
        </w:rPr>
        <w:t>, v. 1, n. 2, e1500052, 2015. DOI: 10.1126/sciadv.1500052.</w:t>
      </w:r>
    </w:p>
    <w:p w14:paraId="14F79C9C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IBGE – INSTITUTO BRASILEIRO DE GEOGRAFIA E ESTATÍSTICA.</w:t>
      </w:r>
      <w:r w:rsidRPr="00AE7CFA">
        <w:rPr>
          <w:sz w:val="24"/>
          <w:szCs w:val="24"/>
          <w:lang w:val="pt-BR"/>
        </w:rPr>
        <w:t xml:space="preserve"> Banco de Dados e Informações Ambientais – </w:t>
      </w:r>
      <w:proofErr w:type="spellStart"/>
      <w:r w:rsidRPr="00AE7CFA">
        <w:rPr>
          <w:sz w:val="24"/>
          <w:szCs w:val="24"/>
          <w:lang w:val="pt-BR"/>
        </w:rPr>
        <w:t>BDiA</w:t>
      </w:r>
      <w:proofErr w:type="spellEnd"/>
      <w:r w:rsidRPr="00AE7CFA">
        <w:rPr>
          <w:sz w:val="24"/>
          <w:szCs w:val="24"/>
          <w:lang w:val="pt-BR"/>
        </w:rPr>
        <w:t xml:space="preserve">. Rio de Janeiro: IBGE, 2023. Disponível em: </w:t>
      </w:r>
      <w:hyperlink r:id="rId11" w:history="1">
        <w:r w:rsidRPr="00AE7CFA">
          <w:rPr>
            <w:rStyle w:val="Hyperlink"/>
            <w:sz w:val="24"/>
            <w:szCs w:val="24"/>
            <w:lang w:val="pt-BR"/>
          </w:rPr>
          <w:t>https://bdiaweb.ibge.gov.br</w:t>
        </w:r>
      </w:hyperlink>
      <w:r w:rsidRPr="00AE7CFA">
        <w:rPr>
          <w:sz w:val="24"/>
          <w:szCs w:val="24"/>
          <w:lang w:val="pt-BR"/>
        </w:rPr>
        <w:t>. Acesso em: 17 jul. 2026.</w:t>
      </w:r>
    </w:p>
    <w:p w14:paraId="7A3FC829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KULKAMP, Josimar; LINO, Vanessa; MARQUETE, Ronaldo; IGANCI, João R. V.</w:t>
      </w:r>
      <w:r w:rsidRPr="00AE7CFA">
        <w:rPr>
          <w:sz w:val="24"/>
          <w:szCs w:val="24"/>
          <w:lang w:val="pt-BR"/>
        </w:rPr>
        <w:t xml:space="preserve"> A importância do Parque Nacional da Tijuca, Rio de Janeiro, para a conservação de Euphorbiaceae no Brasil. </w:t>
      </w:r>
      <w:r w:rsidRPr="00AE7CFA">
        <w:rPr>
          <w:i/>
          <w:iCs/>
          <w:sz w:val="24"/>
          <w:szCs w:val="24"/>
          <w:lang w:val="pt-BR"/>
        </w:rPr>
        <w:t>Boletim do Museu Paraense Emílio Goeldi. Ciências Naturais</w:t>
      </w:r>
      <w:r w:rsidRPr="00AE7CFA">
        <w:rPr>
          <w:sz w:val="24"/>
          <w:szCs w:val="24"/>
          <w:lang w:val="pt-BR"/>
        </w:rPr>
        <w:t>, v. 19, n. 2, 2024. DOI: 10.46357/</w:t>
      </w:r>
      <w:proofErr w:type="gramStart"/>
      <w:r w:rsidRPr="00AE7CFA">
        <w:rPr>
          <w:sz w:val="24"/>
          <w:szCs w:val="24"/>
          <w:lang w:val="pt-BR"/>
        </w:rPr>
        <w:t>bcnaturais.v</w:t>
      </w:r>
      <w:proofErr w:type="gramEnd"/>
      <w:r w:rsidRPr="00AE7CFA">
        <w:rPr>
          <w:sz w:val="24"/>
          <w:szCs w:val="24"/>
          <w:lang w:val="pt-BR"/>
        </w:rPr>
        <w:t>19i2.906.</w:t>
      </w:r>
    </w:p>
    <w:p w14:paraId="7BEED5A3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LAURANCE, William F. et al.</w:t>
      </w:r>
      <w:r w:rsidRPr="00AE7CFA">
        <w:rPr>
          <w:sz w:val="24"/>
          <w:szCs w:val="24"/>
          <w:lang w:val="pt-BR"/>
        </w:rPr>
        <w:t xml:space="preserve"> </w:t>
      </w:r>
      <w:r w:rsidRPr="00893AFF">
        <w:rPr>
          <w:sz w:val="24"/>
          <w:szCs w:val="24"/>
          <w:lang w:val="en-US"/>
        </w:rPr>
        <w:t xml:space="preserve">Ecosystem decay of Amazonian forest fragments: a 22-year investigation. </w:t>
      </w:r>
      <w:proofErr w:type="spellStart"/>
      <w:r w:rsidRPr="00AE7CFA">
        <w:rPr>
          <w:i/>
          <w:iCs/>
          <w:sz w:val="24"/>
          <w:szCs w:val="24"/>
          <w:lang w:val="pt-BR"/>
        </w:rPr>
        <w:t>Conservation</w:t>
      </w:r>
      <w:proofErr w:type="spellEnd"/>
      <w:r w:rsidRPr="00AE7CFA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AE7CFA">
        <w:rPr>
          <w:i/>
          <w:iCs/>
          <w:sz w:val="24"/>
          <w:szCs w:val="24"/>
          <w:lang w:val="pt-BR"/>
        </w:rPr>
        <w:t>Biology</w:t>
      </w:r>
      <w:proofErr w:type="spellEnd"/>
      <w:r w:rsidRPr="00AE7CFA">
        <w:rPr>
          <w:sz w:val="24"/>
          <w:szCs w:val="24"/>
          <w:lang w:val="pt-BR"/>
        </w:rPr>
        <w:t>, v. 16, n. 3, p. 605–618, 2002. DOI: 10.1046/j.1523-1739.2002.</w:t>
      </w:r>
      <w:proofErr w:type="gramStart"/>
      <w:r w:rsidRPr="00AE7CFA">
        <w:rPr>
          <w:sz w:val="24"/>
          <w:szCs w:val="24"/>
          <w:lang w:val="pt-BR"/>
        </w:rPr>
        <w:t>01025.x.</w:t>
      </w:r>
      <w:proofErr w:type="gramEnd"/>
    </w:p>
    <w:p w14:paraId="1486BB17" w14:textId="77777777" w:rsidR="00AE7CFA" w:rsidRPr="00893AFF" w:rsidRDefault="00AE7CFA" w:rsidP="00AE7CFA">
      <w:pPr>
        <w:pStyle w:val="Corpodetexto"/>
        <w:rPr>
          <w:sz w:val="24"/>
          <w:szCs w:val="24"/>
          <w:lang w:val="en-US"/>
        </w:rPr>
      </w:pPr>
      <w:r w:rsidRPr="00AE7CFA">
        <w:rPr>
          <w:b/>
          <w:bCs/>
          <w:sz w:val="24"/>
          <w:szCs w:val="24"/>
          <w:lang w:val="pt-BR"/>
        </w:rPr>
        <w:t xml:space="preserve">LOPES, </w:t>
      </w:r>
      <w:proofErr w:type="spellStart"/>
      <w:r w:rsidRPr="00AE7CFA">
        <w:rPr>
          <w:b/>
          <w:bCs/>
          <w:sz w:val="24"/>
          <w:szCs w:val="24"/>
          <w:lang w:val="pt-BR"/>
        </w:rPr>
        <w:t>Elfany</w:t>
      </w:r>
      <w:proofErr w:type="spellEnd"/>
      <w:r w:rsidRPr="00AE7CFA">
        <w:rPr>
          <w:b/>
          <w:bCs/>
          <w:sz w:val="24"/>
          <w:szCs w:val="24"/>
          <w:lang w:val="pt-BR"/>
        </w:rPr>
        <w:t xml:space="preserve"> Reis do Nascimento; LOURENÇO, Roberto Wagner; REUSS-STRENZEL, Gil Marcelo.</w:t>
      </w:r>
      <w:r w:rsidRPr="00AE7CFA">
        <w:rPr>
          <w:sz w:val="24"/>
          <w:szCs w:val="24"/>
          <w:lang w:val="pt-BR"/>
        </w:rPr>
        <w:t xml:space="preserve"> Análise </w:t>
      </w:r>
      <w:proofErr w:type="spellStart"/>
      <w:r w:rsidRPr="00AE7CFA">
        <w:rPr>
          <w:sz w:val="24"/>
          <w:szCs w:val="24"/>
          <w:lang w:val="pt-BR"/>
        </w:rPr>
        <w:t>multicriterial</w:t>
      </w:r>
      <w:proofErr w:type="spellEnd"/>
      <w:r w:rsidRPr="00AE7CFA">
        <w:rPr>
          <w:sz w:val="24"/>
          <w:szCs w:val="24"/>
          <w:lang w:val="pt-BR"/>
        </w:rPr>
        <w:t xml:space="preserve"> aplicada a elaboração de zoneamento de unidade de conservação na zona costeira da Bahia, Brasil. </w:t>
      </w:r>
      <w:proofErr w:type="spellStart"/>
      <w:r w:rsidRPr="00AE7CFA">
        <w:rPr>
          <w:i/>
          <w:iCs/>
          <w:sz w:val="24"/>
          <w:szCs w:val="24"/>
          <w:lang w:val="pt-BR"/>
        </w:rPr>
        <w:t>Ra’e</w:t>
      </w:r>
      <w:proofErr w:type="spellEnd"/>
      <w:r w:rsidRPr="00AE7CFA">
        <w:rPr>
          <w:i/>
          <w:iCs/>
          <w:sz w:val="24"/>
          <w:szCs w:val="24"/>
          <w:lang w:val="pt-BR"/>
        </w:rPr>
        <w:t xml:space="preserve"> Ga: O Espaço Geográfico em Análise</w:t>
      </w:r>
      <w:r w:rsidRPr="00AE7CFA">
        <w:rPr>
          <w:sz w:val="24"/>
          <w:szCs w:val="24"/>
          <w:lang w:val="pt-BR"/>
        </w:rPr>
        <w:t xml:space="preserve">, v. 37, p. 65–90, 2016. </w:t>
      </w:r>
      <w:r w:rsidRPr="00893AFF">
        <w:rPr>
          <w:sz w:val="24"/>
          <w:szCs w:val="24"/>
          <w:lang w:val="en-US"/>
        </w:rPr>
        <w:t>DOI: 10.5380/</w:t>
      </w:r>
      <w:proofErr w:type="gramStart"/>
      <w:r w:rsidRPr="00893AFF">
        <w:rPr>
          <w:sz w:val="24"/>
          <w:szCs w:val="24"/>
          <w:lang w:val="en-US"/>
        </w:rPr>
        <w:t>raega.v</w:t>
      </w:r>
      <w:proofErr w:type="gramEnd"/>
      <w:r w:rsidRPr="00893AFF">
        <w:rPr>
          <w:sz w:val="24"/>
          <w:szCs w:val="24"/>
          <w:lang w:val="en-US"/>
        </w:rPr>
        <w:t>37i0.40662.</w:t>
      </w:r>
    </w:p>
    <w:p w14:paraId="0FC411FD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893AFF">
        <w:rPr>
          <w:b/>
          <w:bCs/>
          <w:sz w:val="24"/>
          <w:szCs w:val="24"/>
          <w:lang w:val="en-US"/>
        </w:rPr>
        <w:t>MILLENNIUM ECOSYSTEM ASSESSMENT (MEA).</w:t>
      </w:r>
      <w:r w:rsidRPr="00893AFF">
        <w:rPr>
          <w:sz w:val="24"/>
          <w:szCs w:val="24"/>
          <w:lang w:val="en-US"/>
        </w:rPr>
        <w:t xml:space="preserve"> </w:t>
      </w:r>
      <w:r w:rsidRPr="00893AFF">
        <w:rPr>
          <w:i/>
          <w:iCs/>
          <w:sz w:val="24"/>
          <w:szCs w:val="24"/>
          <w:lang w:val="en-US"/>
        </w:rPr>
        <w:t>Ecosystems and human well-being: synthesis</w:t>
      </w:r>
      <w:r w:rsidRPr="00893AFF">
        <w:rPr>
          <w:sz w:val="24"/>
          <w:szCs w:val="24"/>
          <w:lang w:val="en-US"/>
        </w:rPr>
        <w:t xml:space="preserve">. </w:t>
      </w:r>
      <w:r w:rsidRPr="00AE7CFA">
        <w:rPr>
          <w:sz w:val="24"/>
          <w:szCs w:val="24"/>
          <w:lang w:val="pt-BR"/>
        </w:rPr>
        <w:t xml:space="preserve">Washington, DC: </w:t>
      </w:r>
      <w:proofErr w:type="spellStart"/>
      <w:r w:rsidRPr="00AE7CFA">
        <w:rPr>
          <w:sz w:val="24"/>
          <w:szCs w:val="24"/>
          <w:lang w:val="pt-BR"/>
        </w:rPr>
        <w:t>Island</w:t>
      </w:r>
      <w:proofErr w:type="spellEnd"/>
      <w:r w:rsidRPr="00AE7CFA">
        <w:rPr>
          <w:sz w:val="24"/>
          <w:szCs w:val="24"/>
          <w:lang w:val="pt-BR"/>
        </w:rPr>
        <w:t xml:space="preserve"> Press, 2005.</w:t>
      </w:r>
    </w:p>
    <w:p w14:paraId="6FF2C5F6" w14:textId="77777777" w:rsid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NOGUEIRA, D. M.; SANTOS, R. A.; BERTONCINI, A. P.</w:t>
      </w:r>
      <w:r w:rsidRPr="00AE7CFA">
        <w:rPr>
          <w:sz w:val="24"/>
          <w:szCs w:val="24"/>
          <w:lang w:val="pt-BR"/>
        </w:rPr>
        <w:t xml:space="preserve"> Análise multicritério na definição de áreas prioritárias para conservação ambiental no município de São Félix do Xingu – PA. </w:t>
      </w:r>
      <w:r w:rsidRPr="00AE7CFA">
        <w:rPr>
          <w:i/>
          <w:iCs/>
          <w:sz w:val="24"/>
          <w:szCs w:val="24"/>
          <w:lang w:val="pt-BR"/>
        </w:rPr>
        <w:t>Nativa</w:t>
      </w:r>
      <w:r w:rsidRPr="00AE7CFA">
        <w:rPr>
          <w:sz w:val="24"/>
          <w:szCs w:val="24"/>
          <w:lang w:val="pt-BR"/>
        </w:rPr>
        <w:t>, v. 8, n. 3, p. 371–378, 2020.</w:t>
      </w:r>
    </w:p>
    <w:p w14:paraId="4FA17144" w14:textId="77777777" w:rsidR="00AE7CFA" w:rsidRPr="00893AFF" w:rsidRDefault="00AE7CFA" w:rsidP="00AE7CFA">
      <w:pPr>
        <w:pStyle w:val="Corpodetexto"/>
        <w:rPr>
          <w:sz w:val="24"/>
          <w:szCs w:val="24"/>
          <w:lang w:val="en-US"/>
        </w:rPr>
      </w:pPr>
      <w:r w:rsidRPr="00893AFF">
        <w:rPr>
          <w:b/>
          <w:bCs/>
          <w:sz w:val="24"/>
          <w:szCs w:val="24"/>
          <w:lang w:val="en-US"/>
        </w:rPr>
        <w:t>OKAFOR, G. U.; ORIAKHI, O.</w:t>
      </w:r>
      <w:r w:rsidRPr="00893AFF">
        <w:rPr>
          <w:sz w:val="24"/>
          <w:szCs w:val="24"/>
          <w:lang w:val="en-US"/>
        </w:rPr>
        <w:t xml:space="preserve"> Flood susceptibility modelling using GIS-based analytical hierarchy process (AHP) in Benin City, Nigeria. </w:t>
      </w:r>
      <w:r w:rsidRPr="00893AFF">
        <w:rPr>
          <w:i/>
          <w:iCs/>
          <w:sz w:val="24"/>
          <w:szCs w:val="24"/>
          <w:lang w:val="en-US"/>
        </w:rPr>
        <w:t>NIPES Journal of Science and Technology Research</w:t>
      </w:r>
      <w:r w:rsidRPr="00893AFF">
        <w:rPr>
          <w:sz w:val="24"/>
          <w:szCs w:val="24"/>
          <w:lang w:val="en-US"/>
        </w:rPr>
        <w:t>, v. 6, n. 3, p. 229–242, 2024.</w:t>
      </w:r>
    </w:p>
    <w:p w14:paraId="7F832420" w14:textId="77777777" w:rsidR="00AE7CFA" w:rsidRDefault="00AE7CFA" w:rsidP="00AE7CFA">
      <w:pPr>
        <w:pStyle w:val="Corpodetexto"/>
        <w:rPr>
          <w:sz w:val="24"/>
          <w:szCs w:val="24"/>
          <w:lang w:val="en-US"/>
        </w:rPr>
      </w:pPr>
      <w:r w:rsidRPr="00893AFF">
        <w:rPr>
          <w:b/>
          <w:bCs/>
          <w:sz w:val="24"/>
          <w:szCs w:val="24"/>
          <w:lang w:val="en-US"/>
        </w:rPr>
        <w:t>SAATY, Thomas L.</w:t>
      </w:r>
      <w:r w:rsidRPr="00893AFF">
        <w:rPr>
          <w:sz w:val="24"/>
          <w:szCs w:val="24"/>
          <w:lang w:val="en-US"/>
        </w:rPr>
        <w:t xml:space="preserve"> How to </w:t>
      </w:r>
      <w:proofErr w:type="gramStart"/>
      <w:r w:rsidRPr="00893AFF">
        <w:rPr>
          <w:sz w:val="24"/>
          <w:szCs w:val="24"/>
          <w:lang w:val="en-US"/>
        </w:rPr>
        <w:t>make a decision</w:t>
      </w:r>
      <w:proofErr w:type="gramEnd"/>
      <w:r w:rsidRPr="00893AFF">
        <w:rPr>
          <w:sz w:val="24"/>
          <w:szCs w:val="24"/>
          <w:lang w:val="en-US"/>
        </w:rPr>
        <w:t xml:space="preserve">: the analytic hierarchy process. </w:t>
      </w:r>
      <w:r w:rsidRPr="00893AFF">
        <w:rPr>
          <w:i/>
          <w:iCs/>
          <w:sz w:val="24"/>
          <w:szCs w:val="24"/>
          <w:lang w:val="en-US"/>
        </w:rPr>
        <w:t>European Journal of Operational Research</w:t>
      </w:r>
      <w:r w:rsidRPr="00893AFF">
        <w:rPr>
          <w:sz w:val="24"/>
          <w:szCs w:val="24"/>
          <w:lang w:val="en-US"/>
        </w:rPr>
        <w:t>, v. 48, n. 1, p. 9–26, 1990. DOI: 10.1016/0377-2217(90)90057-I.</w:t>
      </w:r>
    </w:p>
    <w:p w14:paraId="7E91CD10" w14:textId="4B0DCBC4" w:rsidR="006E064D" w:rsidRDefault="006E064D" w:rsidP="00AE7CFA">
      <w:pPr>
        <w:pStyle w:val="Corpodetexto"/>
        <w:rPr>
          <w:sz w:val="24"/>
          <w:szCs w:val="24"/>
        </w:rPr>
      </w:pPr>
      <w:r w:rsidRPr="006E064D">
        <w:rPr>
          <w:b/>
          <w:bCs/>
          <w:sz w:val="24"/>
          <w:szCs w:val="24"/>
        </w:rPr>
        <w:t xml:space="preserve">SANTOS, Laís Nogueira </w:t>
      </w:r>
      <w:r w:rsidRPr="006E064D">
        <w:rPr>
          <w:b/>
          <w:bCs/>
          <w:i/>
          <w:iCs/>
          <w:sz w:val="24"/>
          <w:szCs w:val="24"/>
        </w:rPr>
        <w:t>et al</w:t>
      </w:r>
      <w:r w:rsidRPr="006E064D">
        <w:rPr>
          <w:i/>
          <w:iCs/>
          <w:sz w:val="24"/>
          <w:szCs w:val="24"/>
        </w:rPr>
        <w:t>.</w:t>
      </w:r>
      <w:r w:rsidRPr="006E064D">
        <w:rPr>
          <w:sz w:val="24"/>
          <w:szCs w:val="24"/>
        </w:rPr>
        <w:t xml:space="preserve"> Avaliação do potencial para a criação de unidades de conservação da natureza na Região Norte e Noroeste do Estado do Rio de Janeiro, Brasil. [No prelo], 2026.</w:t>
      </w:r>
    </w:p>
    <w:p w14:paraId="650DEB70" w14:textId="182FD883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SILVA, B. E. C. et al.</w:t>
      </w:r>
      <w:r w:rsidRPr="00AE7CFA">
        <w:rPr>
          <w:sz w:val="24"/>
          <w:szCs w:val="24"/>
          <w:lang w:val="pt-BR"/>
        </w:rPr>
        <w:t xml:space="preserve"> Dinâmicas do desmatamento na Mata Atlântica baiana: correlações socioeconômicas e ambientais. </w:t>
      </w:r>
      <w:r w:rsidRPr="00AE7CFA">
        <w:rPr>
          <w:i/>
          <w:iCs/>
          <w:sz w:val="24"/>
          <w:szCs w:val="24"/>
          <w:lang w:val="pt-BR"/>
        </w:rPr>
        <w:t xml:space="preserve">Observatório de </w:t>
      </w:r>
      <w:proofErr w:type="spellStart"/>
      <w:r w:rsidRPr="00AE7CFA">
        <w:rPr>
          <w:i/>
          <w:iCs/>
          <w:sz w:val="24"/>
          <w:szCs w:val="24"/>
          <w:lang w:val="pt-BR"/>
        </w:rPr>
        <w:t>la</w:t>
      </w:r>
      <w:proofErr w:type="spellEnd"/>
      <w:r w:rsidRPr="00AE7CFA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AE7CFA">
        <w:rPr>
          <w:i/>
          <w:iCs/>
          <w:sz w:val="24"/>
          <w:szCs w:val="24"/>
          <w:lang w:val="pt-BR"/>
        </w:rPr>
        <w:t>Economía</w:t>
      </w:r>
      <w:proofErr w:type="spellEnd"/>
      <w:r w:rsidRPr="00AE7CFA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AE7CFA">
        <w:rPr>
          <w:i/>
          <w:iCs/>
          <w:sz w:val="24"/>
          <w:szCs w:val="24"/>
          <w:lang w:val="pt-BR"/>
        </w:rPr>
        <w:t>Latinoamericana</w:t>
      </w:r>
      <w:proofErr w:type="spellEnd"/>
      <w:r w:rsidRPr="00AE7CFA">
        <w:rPr>
          <w:sz w:val="24"/>
          <w:szCs w:val="24"/>
          <w:lang w:val="pt-BR"/>
        </w:rPr>
        <w:t>, v. 23, n. 4, e9698, 2025. DOI: 10.55905/oelv23n4-153.</w:t>
      </w:r>
    </w:p>
    <w:p w14:paraId="620E25CA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 xml:space="preserve">SILVA JÚNIOR, J. G. </w:t>
      </w:r>
      <w:r w:rsidRPr="006E064D">
        <w:rPr>
          <w:b/>
          <w:bCs/>
          <w:i/>
          <w:iCs/>
          <w:sz w:val="24"/>
          <w:szCs w:val="24"/>
          <w:lang w:val="pt-BR"/>
        </w:rPr>
        <w:t>et al.</w:t>
      </w:r>
      <w:r w:rsidRPr="00AE7CFA">
        <w:rPr>
          <w:sz w:val="24"/>
          <w:szCs w:val="24"/>
          <w:lang w:val="pt-BR"/>
        </w:rPr>
        <w:t xml:space="preserve"> Análise dos aspectos jurídicos e ambientais das áreas legalmente protegidas do município de Ilhéus, Bahia, Brasil. </w:t>
      </w:r>
      <w:r w:rsidRPr="00AE7CFA">
        <w:rPr>
          <w:i/>
          <w:iCs/>
          <w:sz w:val="24"/>
          <w:szCs w:val="24"/>
          <w:lang w:val="pt-BR"/>
        </w:rPr>
        <w:t>Caminhos de Geografia</w:t>
      </w:r>
      <w:r w:rsidRPr="00AE7CFA">
        <w:rPr>
          <w:sz w:val="24"/>
          <w:szCs w:val="24"/>
          <w:lang w:val="pt-BR"/>
        </w:rPr>
        <w:t>, v. 26, n. 107, p. 76–91, 2025.</w:t>
      </w:r>
    </w:p>
    <w:p w14:paraId="53CCAB1F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SILVA, G. F.; SANTOS, F. C.; VARGAS, T. R.</w:t>
      </w:r>
      <w:r w:rsidRPr="00AE7CFA">
        <w:rPr>
          <w:sz w:val="24"/>
          <w:szCs w:val="24"/>
          <w:lang w:val="pt-BR"/>
        </w:rPr>
        <w:t xml:space="preserve"> Determinação de áreas indicadas para implantação de unidades de conservação no Vale do Taquari (RS) utilizando análise multicritério. </w:t>
      </w:r>
      <w:r w:rsidRPr="00AE7CFA">
        <w:rPr>
          <w:i/>
          <w:iCs/>
          <w:sz w:val="24"/>
          <w:szCs w:val="24"/>
          <w:lang w:val="pt-BR"/>
        </w:rPr>
        <w:t>Revista Brasileira de Cartografia</w:t>
      </w:r>
      <w:r w:rsidRPr="00AE7CFA">
        <w:rPr>
          <w:sz w:val="24"/>
          <w:szCs w:val="24"/>
          <w:lang w:val="pt-BR"/>
        </w:rPr>
        <w:t>, v. 71, n. 4, p. 1002–1020, 2019.</w:t>
      </w:r>
    </w:p>
    <w:p w14:paraId="6DCD9DF3" w14:textId="77777777" w:rsidR="00AE7CFA" w:rsidRPr="00AE7CFA" w:rsidRDefault="00AE7CFA" w:rsidP="00AE7CFA">
      <w:pPr>
        <w:pStyle w:val="Corpodetexto"/>
        <w:rPr>
          <w:sz w:val="24"/>
          <w:szCs w:val="24"/>
          <w:lang w:val="pt-BR"/>
        </w:rPr>
      </w:pPr>
      <w:r w:rsidRPr="00AE7CFA">
        <w:rPr>
          <w:b/>
          <w:bCs/>
          <w:sz w:val="24"/>
          <w:szCs w:val="24"/>
          <w:lang w:val="pt-BR"/>
        </w:rPr>
        <w:t>TOLENTINO, Gabriel Martinez et al.</w:t>
      </w:r>
      <w:r w:rsidRPr="00AE7CFA">
        <w:rPr>
          <w:sz w:val="24"/>
          <w:szCs w:val="24"/>
          <w:lang w:val="pt-BR"/>
        </w:rPr>
        <w:t xml:space="preserve"> Áreas de risco a alagamento e inundação na foz do Rio Cachoeira, em Ilhéus (Bahia – Brasil). </w:t>
      </w:r>
      <w:r w:rsidRPr="00AE7CFA">
        <w:rPr>
          <w:i/>
          <w:iCs/>
          <w:sz w:val="24"/>
          <w:szCs w:val="24"/>
          <w:lang w:val="pt-BR"/>
        </w:rPr>
        <w:t>Revista de Geociências do Nordeste</w:t>
      </w:r>
      <w:r w:rsidRPr="00AE7CFA">
        <w:rPr>
          <w:sz w:val="24"/>
          <w:szCs w:val="24"/>
          <w:lang w:val="pt-BR"/>
        </w:rPr>
        <w:t>, v. 9, n. 2, p. 83–95, 2023. DOI: 10.21680/2447-3359.2023v9n2ID32143.</w:t>
      </w:r>
    </w:p>
    <w:p w14:paraId="04315D61" w14:textId="77777777" w:rsidR="00AE7CFA" w:rsidRPr="00893AFF" w:rsidRDefault="00AE7CFA" w:rsidP="00AE7CFA">
      <w:pPr>
        <w:pStyle w:val="Corpodetexto"/>
        <w:rPr>
          <w:sz w:val="24"/>
          <w:szCs w:val="24"/>
          <w:lang w:val="en-US"/>
        </w:rPr>
      </w:pPr>
      <w:r w:rsidRPr="00AE7CFA">
        <w:rPr>
          <w:b/>
          <w:bCs/>
          <w:sz w:val="24"/>
          <w:szCs w:val="24"/>
          <w:lang w:val="pt-BR"/>
        </w:rPr>
        <w:t xml:space="preserve">TUNDISI, José Galizia; TUNDISI, </w:t>
      </w:r>
      <w:proofErr w:type="spellStart"/>
      <w:r w:rsidRPr="00AE7CFA">
        <w:rPr>
          <w:b/>
          <w:bCs/>
          <w:sz w:val="24"/>
          <w:szCs w:val="24"/>
          <w:lang w:val="pt-BR"/>
        </w:rPr>
        <w:t>Takako</w:t>
      </w:r>
      <w:proofErr w:type="spellEnd"/>
      <w:r w:rsidRPr="00AE7CFA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AE7CFA">
        <w:rPr>
          <w:b/>
          <w:bCs/>
          <w:sz w:val="24"/>
          <w:szCs w:val="24"/>
          <w:lang w:val="pt-BR"/>
        </w:rPr>
        <w:t>Matsumura</w:t>
      </w:r>
      <w:proofErr w:type="spellEnd"/>
      <w:r w:rsidRPr="00AE7CFA">
        <w:rPr>
          <w:b/>
          <w:bCs/>
          <w:sz w:val="24"/>
          <w:szCs w:val="24"/>
          <w:lang w:val="pt-BR"/>
        </w:rPr>
        <w:t>.</w:t>
      </w:r>
      <w:r w:rsidRPr="00AE7CFA">
        <w:rPr>
          <w:sz w:val="24"/>
          <w:szCs w:val="24"/>
          <w:lang w:val="pt-BR"/>
        </w:rPr>
        <w:t xml:space="preserve"> Impactos potenciais das alterações do Código Florestal nos recursos hídricos. </w:t>
      </w:r>
      <w:r w:rsidRPr="00893AFF">
        <w:rPr>
          <w:i/>
          <w:iCs/>
          <w:sz w:val="24"/>
          <w:szCs w:val="24"/>
          <w:lang w:val="en-US"/>
        </w:rPr>
        <w:t xml:space="preserve">Biota </w:t>
      </w:r>
      <w:proofErr w:type="spellStart"/>
      <w:r w:rsidRPr="00893AFF">
        <w:rPr>
          <w:i/>
          <w:iCs/>
          <w:sz w:val="24"/>
          <w:szCs w:val="24"/>
          <w:lang w:val="en-US"/>
        </w:rPr>
        <w:t>Neotropica</w:t>
      </w:r>
      <w:proofErr w:type="spellEnd"/>
      <w:r w:rsidRPr="00893AFF">
        <w:rPr>
          <w:sz w:val="24"/>
          <w:szCs w:val="24"/>
          <w:lang w:val="en-US"/>
        </w:rPr>
        <w:t>, v. 10, n. 4, p. 67–75, 2010.</w:t>
      </w:r>
    </w:p>
    <w:p w14:paraId="0BA8C96F" w14:textId="68F932A9" w:rsidR="001C5BCC" w:rsidRPr="00893AFF" w:rsidRDefault="00AE7CFA" w:rsidP="004C44B3">
      <w:pPr>
        <w:pStyle w:val="Corpodetexto"/>
        <w:rPr>
          <w:sz w:val="24"/>
          <w:szCs w:val="24"/>
          <w:lang w:val="en-US"/>
        </w:rPr>
      </w:pPr>
      <w:r w:rsidRPr="00893AFF">
        <w:rPr>
          <w:b/>
          <w:bCs/>
          <w:sz w:val="24"/>
          <w:szCs w:val="24"/>
          <w:lang w:val="en-US"/>
        </w:rPr>
        <w:t>YUEN, K. K. F.</w:t>
      </w:r>
      <w:r w:rsidRPr="00893AFF">
        <w:rPr>
          <w:sz w:val="24"/>
          <w:szCs w:val="24"/>
          <w:lang w:val="en-US"/>
        </w:rPr>
        <w:t xml:space="preserve"> Inverse Gram matrix methods for prioritization in analytic hierarchy process: explainability of weighted least squares optimization method. </w:t>
      </w:r>
      <w:proofErr w:type="spellStart"/>
      <w:r w:rsidRPr="00893AFF">
        <w:rPr>
          <w:i/>
          <w:iCs/>
          <w:sz w:val="24"/>
          <w:szCs w:val="24"/>
          <w:lang w:val="en-US"/>
        </w:rPr>
        <w:t>arXiv</w:t>
      </w:r>
      <w:proofErr w:type="spellEnd"/>
      <w:r w:rsidRPr="00893AFF">
        <w:rPr>
          <w:sz w:val="24"/>
          <w:szCs w:val="24"/>
          <w:lang w:val="en-US"/>
        </w:rPr>
        <w:t>, 2024.</w:t>
      </w:r>
    </w:p>
    <w:sectPr w:rsidR="001C5BCC" w:rsidRPr="00893AFF" w:rsidSect="008913F4">
      <w:headerReference w:type="default" r:id="rId12"/>
      <w:footerReference w:type="default" r:id="rId13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FC486" w14:textId="77777777" w:rsidR="00E1737E" w:rsidRDefault="00E1737E">
      <w:r>
        <w:separator/>
      </w:r>
    </w:p>
  </w:endnote>
  <w:endnote w:type="continuationSeparator" w:id="0">
    <w:p w14:paraId="0D8C7120" w14:textId="77777777" w:rsidR="00E1737E" w:rsidRDefault="00E1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AEE4" w14:textId="77777777" w:rsidR="00E1737E" w:rsidRDefault="00E1737E">
      <w:r>
        <w:separator/>
      </w:r>
    </w:p>
  </w:footnote>
  <w:footnote w:type="continuationSeparator" w:id="0">
    <w:p w14:paraId="0E83AB6A" w14:textId="77777777" w:rsidR="00E1737E" w:rsidRDefault="00E17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05E1"/>
    <w:rsid w:val="000214F1"/>
    <w:rsid w:val="00040615"/>
    <w:rsid w:val="000449F4"/>
    <w:rsid w:val="000707E7"/>
    <w:rsid w:val="000765AE"/>
    <w:rsid w:val="000815CB"/>
    <w:rsid w:val="00091B1E"/>
    <w:rsid w:val="00094D0B"/>
    <w:rsid w:val="00096C6A"/>
    <w:rsid w:val="00130441"/>
    <w:rsid w:val="00157AC0"/>
    <w:rsid w:val="00191D6D"/>
    <w:rsid w:val="001C5BCC"/>
    <w:rsid w:val="002255F6"/>
    <w:rsid w:val="00230F53"/>
    <w:rsid w:val="00243512"/>
    <w:rsid w:val="0026138E"/>
    <w:rsid w:val="003220B3"/>
    <w:rsid w:val="00343526"/>
    <w:rsid w:val="003546B2"/>
    <w:rsid w:val="0036697E"/>
    <w:rsid w:val="003821F1"/>
    <w:rsid w:val="00387942"/>
    <w:rsid w:val="004A5666"/>
    <w:rsid w:val="004C40B7"/>
    <w:rsid w:val="004C44B3"/>
    <w:rsid w:val="004C74D4"/>
    <w:rsid w:val="005259CE"/>
    <w:rsid w:val="00555FF6"/>
    <w:rsid w:val="005B2543"/>
    <w:rsid w:val="005C2294"/>
    <w:rsid w:val="005F70B0"/>
    <w:rsid w:val="00624629"/>
    <w:rsid w:val="00694319"/>
    <w:rsid w:val="006D26E9"/>
    <w:rsid w:val="006E064D"/>
    <w:rsid w:val="007476A4"/>
    <w:rsid w:val="007561D8"/>
    <w:rsid w:val="00794E0A"/>
    <w:rsid w:val="007E753A"/>
    <w:rsid w:val="008048B7"/>
    <w:rsid w:val="00860644"/>
    <w:rsid w:val="008858BD"/>
    <w:rsid w:val="008913F4"/>
    <w:rsid w:val="00893AFF"/>
    <w:rsid w:val="008C1DDB"/>
    <w:rsid w:val="00947445"/>
    <w:rsid w:val="009C4B75"/>
    <w:rsid w:val="00A33E6F"/>
    <w:rsid w:val="00AC1480"/>
    <w:rsid w:val="00AD09AA"/>
    <w:rsid w:val="00AD22F1"/>
    <w:rsid w:val="00AE7CFA"/>
    <w:rsid w:val="00AF5124"/>
    <w:rsid w:val="00B00DD2"/>
    <w:rsid w:val="00B445C2"/>
    <w:rsid w:val="00B5090E"/>
    <w:rsid w:val="00B93E9B"/>
    <w:rsid w:val="00B96B44"/>
    <w:rsid w:val="00C12CFA"/>
    <w:rsid w:val="00C44CDC"/>
    <w:rsid w:val="00C538C1"/>
    <w:rsid w:val="00C60F3C"/>
    <w:rsid w:val="00C6615A"/>
    <w:rsid w:val="00CB7608"/>
    <w:rsid w:val="00D4643E"/>
    <w:rsid w:val="00D708DB"/>
    <w:rsid w:val="00DB2ABA"/>
    <w:rsid w:val="00E1737E"/>
    <w:rsid w:val="00E3782C"/>
    <w:rsid w:val="00E65AF1"/>
    <w:rsid w:val="00EA0272"/>
    <w:rsid w:val="00EA25BE"/>
    <w:rsid w:val="00F135CC"/>
    <w:rsid w:val="00F976FB"/>
    <w:rsid w:val="00FD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EA027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E7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g20/pt-br/sobre-o-g20/cidades-sede/rio-de-janeiro-rj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ercules.carvalho@cja.ufsb.edu.b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diaweb.ibge.gov.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osma.org.br/causas/mata-atlant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nuc.mma.gov.br/relatorio_uc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6</Pages>
  <Words>2536</Words>
  <Characters>13695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Lais Nogueira Santos</cp:lastModifiedBy>
  <cp:revision>24</cp:revision>
  <dcterms:created xsi:type="dcterms:W3CDTF">2026-07-20T16:16:00Z</dcterms:created>
  <dcterms:modified xsi:type="dcterms:W3CDTF">2026-08-14T17:33:00Z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