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F0CEE" w14:textId="42539187" w:rsidR="007A7E3F" w:rsidRDefault="000052B0" w:rsidP="007A7E3F">
      <w:pPr>
        <w:pStyle w:val="Ttulo"/>
        <w:ind w:left="0"/>
        <w:rPr>
          <w:spacing w:val="-2"/>
        </w:rPr>
      </w:pPr>
      <w:r w:rsidRPr="000052B0">
        <w:rPr>
          <w:spacing w:val="-2"/>
        </w:rPr>
        <w:t>EDUCAÇÃO STEM COMO ESTRATÉGIA PARA O DESENVOLVIMENTO DE</w:t>
      </w:r>
      <w:r w:rsidR="00836CFE">
        <w:rPr>
          <w:spacing w:val="-2"/>
        </w:rPr>
        <w:t xml:space="preserve"> AH/SD</w:t>
      </w:r>
      <w:r w:rsidRPr="000052B0">
        <w:rPr>
          <w:spacing w:val="-2"/>
        </w:rPr>
        <w:t xml:space="preserve">: CONCEPÇÕES </w:t>
      </w:r>
      <w:r w:rsidR="006E5B1B">
        <w:rPr>
          <w:spacing w:val="-2"/>
        </w:rPr>
        <w:t>ACERCA</w:t>
      </w:r>
      <w:r w:rsidR="00AA2AF2">
        <w:rPr>
          <w:spacing w:val="-2"/>
        </w:rPr>
        <w:t xml:space="preserve"> DAS</w:t>
      </w:r>
      <w:r w:rsidRPr="000052B0">
        <w:rPr>
          <w:spacing w:val="-2"/>
        </w:rPr>
        <w:t xml:space="preserve"> MUDANÇAS CLIMÁTICAS E </w:t>
      </w:r>
      <w:r w:rsidR="00AA2AF2">
        <w:rPr>
          <w:spacing w:val="-2"/>
        </w:rPr>
        <w:t xml:space="preserve">DA </w:t>
      </w:r>
      <w:r w:rsidRPr="000052B0">
        <w:rPr>
          <w:spacing w:val="-2"/>
        </w:rPr>
        <w:t>TRANSIÇÃO ENERGÉTICA</w:t>
      </w:r>
      <w:bookmarkStart w:id="0" w:name="1Primeiro_Autor_com_nome_completo,_2Segu"/>
      <w:bookmarkEnd w:id="0"/>
    </w:p>
    <w:p w14:paraId="58281A71" w14:textId="1B02CBB3" w:rsidR="00E3782C" w:rsidRPr="007A7E3F" w:rsidRDefault="00E3782C" w:rsidP="007A7E3F">
      <w:pPr>
        <w:pStyle w:val="Ttulo"/>
        <w:ind w:left="0"/>
      </w:pPr>
      <w:r w:rsidRPr="005F70B0">
        <w:rPr>
          <w:sz w:val="24"/>
          <w:szCs w:val="24"/>
          <w:vertAlign w:val="superscript"/>
        </w:rPr>
        <w:t>1</w:t>
      </w:r>
      <w:r w:rsidR="00722272">
        <w:rPr>
          <w:sz w:val="24"/>
          <w:szCs w:val="24"/>
        </w:rPr>
        <w:t>Lacy Antonia do Santos</w:t>
      </w:r>
      <w:r w:rsidRPr="005F70B0">
        <w:rPr>
          <w:sz w:val="24"/>
          <w:szCs w:val="24"/>
        </w:rPr>
        <w:t>,</w:t>
      </w:r>
      <w:r w:rsidRPr="005F70B0">
        <w:rPr>
          <w:spacing w:val="-2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2</w:t>
      </w:r>
      <w:r w:rsidR="00722272">
        <w:rPr>
          <w:sz w:val="24"/>
          <w:szCs w:val="24"/>
        </w:rPr>
        <w:t>Gustavo do Amaral Valdiviesso</w:t>
      </w:r>
      <w:r w:rsidR="007A7E3F">
        <w:rPr>
          <w:sz w:val="24"/>
          <w:szCs w:val="24"/>
        </w:rPr>
        <w:t xml:space="preserve">, </w:t>
      </w:r>
      <w:r w:rsidR="007A7E3F" w:rsidRPr="007A7E3F">
        <w:rPr>
          <w:sz w:val="24"/>
          <w:szCs w:val="24"/>
          <w:vertAlign w:val="superscript"/>
        </w:rPr>
        <w:t>3</w:t>
      </w:r>
      <w:r w:rsidR="007A7E3F">
        <w:rPr>
          <w:sz w:val="24"/>
          <w:szCs w:val="24"/>
        </w:rPr>
        <w:t>Renata Piacentini Rodriguez</w:t>
      </w:r>
      <w:r w:rsidR="00AA2AF2">
        <w:rPr>
          <w:sz w:val="24"/>
          <w:szCs w:val="24"/>
        </w:rPr>
        <w:t>.</w:t>
      </w:r>
    </w:p>
    <w:p w14:paraId="0D0140A9" w14:textId="1680A137" w:rsidR="00BA347D" w:rsidRDefault="00E3782C" w:rsidP="00BA347D">
      <w:pPr>
        <w:spacing w:line="228" w:lineRule="exact"/>
        <w:ind w:left="77" w:right="209"/>
        <w:jc w:val="center"/>
        <w:rPr>
          <w:i/>
          <w:sz w:val="24"/>
          <w:szCs w:val="24"/>
        </w:rPr>
      </w:pPr>
      <w:r w:rsidRPr="005F70B0">
        <w:rPr>
          <w:i/>
          <w:sz w:val="24"/>
          <w:szCs w:val="24"/>
          <w:vertAlign w:val="superscript"/>
        </w:rPr>
        <w:t>1</w:t>
      </w:r>
      <w:r w:rsidR="00722272">
        <w:rPr>
          <w:i/>
          <w:sz w:val="24"/>
          <w:szCs w:val="24"/>
        </w:rPr>
        <w:t>Universidade</w:t>
      </w:r>
      <w:r w:rsidR="00F4322A">
        <w:rPr>
          <w:i/>
          <w:sz w:val="24"/>
          <w:szCs w:val="24"/>
        </w:rPr>
        <w:t xml:space="preserve"> </w:t>
      </w:r>
      <w:r w:rsidR="00722272">
        <w:rPr>
          <w:i/>
          <w:sz w:val="24"/>
          <w:szCs w:val="24"/>
        </w:rPr>
        <w:t>Federal de Alfenas -MG</w:t>
      </w:r>
      <w:r w:rsidRPr="005F70B0">
        <w:rPr>
          <w:i/>
          <w:sz w:val="24"/>
          <w:szCs w:val="24"/>
        </w:rPr>
        <w:t>, e-mail:</w:t>
      </w:r>
      <w:r w:rsidRPr="005F70B0">
        <w:rPr>
          <w:i/>
          <w:spacing w:val="-4"/>
          <w:sz w:val="24"/>
          <w:szCs w:val="24"/>
        </w:rPr>
        <w:t xml:space="preserve"> </w:t>
      </w:r>
      <w:hyperlink r:id="rId7" w:history="1">
        <w:r w:rsidR="00BA347D" w:rsidRPr="008F7250">
          <w:rPr>
            <w:rStyle w:val="Hyperlink"/>
            <w:i/>
            <w:sz w:val="24"/>
            <w:szCs w:val="24"/>
          </w:rPr>
          <w:t>lacy.santos@sou.unifal-mg.edu.br</w:t>
        </w:r>
      </w:hyperlink>
      <w:r w:rsidRPr="005F70B0">
        <w:rPr>
          <w:i/>
          <w:sz w:val="24"/>
          <w:szCs w:val="24"/>
        </w:rPr>
        <w:t>;</w:t>
      </w:r>
      <w:r w:rsidR="00BA347D">
        <w:rPr>
          <w:i/>
          <w:sz w:val="24"/>
          <w:szCs w:val="24"/>
        </w:rPr>
        <w:t xml:space="preserve"> </w:t>
      </w:r>
      <w:r w:rsidRPr="005F70B0">
        <w:rPr>
          <w:i/>
          <w:spacing w:val="-3"/>
          <w:sz w:val="24"/>
          <w:szCs w:val="24"/>
        </w:rPr>
        <w:t xml:space="preserve"> </w:t>
      </w:r>
      <w:r w:rsidRPr="005F70B0">
        <w:rPr>
          <w:i/>
          <w:sz w:val="24"/>
          <w:szCs w:val="24"/>
          <w:vertAlign w:val="superscript"/>
        </w:rPr>
        <w:t>2</w:t>
      </w:r>
      <w:r w:rsidR="00722272">
        <w:rPr>
          <w:i/>
          <w:sz w:val="24"/>
          <w:szCs w:val="24"/>
        </w:rPr>
        <w:t>Universidade Federal de Alfenas-MG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Pr="005F70B0">
        <w:rPr>
          <w:i/>
          <w:sz w:val="24"/>
          <w:szCs w:val="24"/>
        </w:rPr>
        <w:t>e-mail:</w:t>
      </w:r>
      <w:r w:rsidRPr="005F70B0">
        <w:rPr>
          <w:i/>
          <w:spacing w:val="-3"/>
          <w:sz w:val="24"/>
          <w:szCs w:val="24"/>
        </w:rPr>
        <w:t xml:space="preserve"> </w:t>
      </w:r>
      <w:hyperlink r:id="rId8" w:history="1">
        <w:r w:rsidR="00BA347D" w:rsidRPr="008F7250">
          <w:rPr>
            <w:rStyle w:val="Hyperlink"/>
            <w:i/>
            <w:sz w:val="24"/>
            <w:szCs w:val="24"/>
          </w:rPr>
          <w:t>gustavo.valdiviesso@unifal-mg.edu.br</w:t>
        </w:r>
      </w:hyperlink>
      <w:r w:rsidRPr="005F70B0">
        <w:rPr>
          <w:i/>
          <w:sz w:val="24"/>
          <w:szCs w:val="24"/>
        </w:rPr>
        <w:t>;</w:t>
      </w:r>
      <w:r w:rsidR="00BA347D">
        <w:rPr>
          <w:i/>
          <w:sz w:val="24"/>
          <w:szCs w:val="24"/>
        </w:rPr>
        <w:t xml:space="preserve"> </w:t>
      </w:r>
    </w:p>
    <w:p w14:paraId="158B3CEA" w14:textId="7FE49A95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 w:rsidRPr="005F70B0">
        <w:rPr>
          <w:i/>
          <w:spacing w:val="-3"/>
          <w:sz w:val="24"/>
          <w:szCs w:val="24"/>
        </w:rPr>
        <w:t xml:space="preserve"> </w:t>
      </w:r>
      <w:r w:rsidRPr="005F70B0">
        <w:rPr>
          <w:i/>
          <w:sz w:val="24"/>
          <w:szCs w:val="24"/>
          <w:vertAlign w:val="superscript"/>
        </w:rPr>
        <w:t>3</w:t>
      </w:r>
      <w:r w:rsidR="00722272" w:rsidRPr="00722272">
        <w:rPr>
          <w:i/>
          <w:sz w:val="24"/>
          <w:szCs w:val="24"/>
        </w:rPr>
        <w:t xml:space="preserve"> </w:t>
      </w:r>
      <w:r w:rsidR="00722272">
        <w:rPr>
          <w:i/>
          <w:sz w:val="24"/>
          <w:szCs w:val="24"/>
        </w:rPr>
        <w:t>Universidade Federal de Alfenas-MG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Pr="005F70B0">
        <w:rPr>
          <w:i/>
          <w:sz w:val="24"/>
          <w:szCs w:val="24"/>
        </w:rPr>
        <w:t>e-mail</w:t>
      </w:r>
      <w:r w:rsidR="00BA347D">
        <w:rPr>
          <w:i/>
          <w:sz w:val="24"/>
          <w:szCs w:val="24"/>
        </w:rPr>
        <w:t xml:space="preserve"> </w:t>
      </w:r>
      <w:hyperlink r:id="rId9" w:history="1">
        <w:r w:rsidR="00BA347D" w:rsidRPr="006F3AD9">
          <w:rPr>
            <w:rStyle w:val="Hyperlink"/>
            <w:i/>
            <w:sz w:val="24"/>
            <w:szCs w:val="24"/>
          </w:rPr>
          <w:t>renata.rodriguez@unifal-mg.edu.br</w:t>
        </w:r>
      </w:hyperlink>
      <w:r w:rsidRPr="005F70B0">
        <w:rPr>
          <w:i/>
          <w:sz w:val="24"/>
          <w:szCs w:val="24"/>
        </w:rPr>
        <w:t>:</w:t>
      </w:r>
      <w:r w:rsidR="00722272">
        <w:t xml:space="preserve"> </w:t>
      </w:r>
    </w:p>
    <w:p w14:paraId="19ACAB03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02948F1" w14:textId="1E11986F" w:rsidR="00E3782C" w:rsidRDefault="00081CD4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081CD4">
        <w:rPr>
          <w:b/>
          <w:bCs/>
          <w:i/>
          <w:spacing w:val="-2"/>
          <w:sz w:val="24"/>
          <w:szCs w:val="24"/>
        </w:rPr>
        <w:t>Educação Ambiental e Saúde</w:t>
      </w:r>
    </w:p>
    <w:p w14:paraId="1ADFF788" w14:textId="28A05A11" w:rsidR="00E3782C" w:rsidRDefault="00081CD4" w:rsidP="00081CD4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081CD4">
        <w:rPr>
          <w:b/>
          <w:bCs/>
          <w:i/>
          <w:spacing w:val="-2"/>
          <w:sz w:val="24"/>
          <w:szCs w:val="24"/>
        </w:rPr>
        <w:t>Inclusão, racismo ambiental e justiça socioambiental</w:t>
      </w:r>
    </w:p>
    <w:p w14:paraId="4F9C199B" w14:textId="77777777" w:rsidR="00081CD4" w:rsidRPr="005F70B0" w:rsidRDefault="00081CD4" w:rsidP="00081CD4">
      <w:pPr>
        <w:spacing w:line="228" w:lineRule="exact"/>
        <w:ind w:left="77" w:right="209"/>
        <w:jc w:val="right"/>
        <w:rPr>
          <w:i/>
          <w:spacing w:val="-2"/>
          <w:sz w:val="24"/>
          <w:szCs w:val="24"/>
        </w:rPr>
      </w:pPr>
    </w:p>
    <w:p w14:paraId="1D27D5CE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5F70B0">
        <w:rPr>
          <w:b/>
          <w:bCs/>
          <w:iCs/>
          <w:sz w:val="28"/>
          <w:szCs w:val="28"/>
        </w:rPr>
        <w:t>Resumo</w:t>
      </w:r>
    </w:p>
    <w:p w14:paraId="1C41F88F" w14:textId="77777777" w:rsidR="00E3782C" w:rsidRPr="005F70B0" w:rsidRDefault="00E3782C" w:rsidP="00E3782C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1EE43C93" w14:textId="6158C084" w:rsidR="00D13F03" w:rsidRDefault="008429E9" w:rsidP="00D13F03">
      <w:pPr>
        <w:ind w:right="209"/>
        <w:jc w:val="both"/>
        <w:rPr>
          <w:iCs/>
          <w:sz w:val="24"/>
          <w:szCs w:val="24"/>
        </w:rPr>
      </w:pPr>
      <w:r w:rsidRPr="008429E9">
        <w:rPr>
          <w:iCs/>
          <w:sz w:val="24"/>
          <w:szCs w:val="24"/>
        </w:rPr>
        <w:t>Este estudo analisa as concepções de 25 estudantes com Altas Habilidades/Superdotação (AH/SD) sobre mudanças climáticas e transição energética, visando fundamentar estratégias de Educação STEM. A metodologia consistiu em um diagnóstico quanti-qualitativo, utilizando questionários estruturados processados via estatística descritiva e análise de distratores. Os resultados revelam um nível intermediário de compreensão no Eixo I (Mudanças Climáticas), com 56% de acertos, contrastando com o desempenho restrito no Eixo II (Biogás), que registrou apenas 36% de aproveitamento. Essa disparidade evidencia que, embora os discentes reconheçam problemas ambientais globais amplamente difundidos, persistem lacunas significativas sobre soluções tecnológicas de energia renovável e economia circular. Conclui-se que a consolidação da literacia científica nesse público exige a superação do ensino meramente descritivo em favor de abordagens investigativas. A pesquisa reforça a necessidade de integrar temas de descarbonização da matriz energética ao currículo STEM, promovendo o desenvolvimento de talentos e a formação de cidadãos aptos a propor soluções para os desafios socioambientais contemporâneos.</w:t>
      </w:r>
    </w:p>
    <w:p w14:paraId="00973DB2" w14:textId="77777777" w:rsidR="008429E9" w:rsidRDefault="008429E9" w:rsidP="00D13F03">
      <w:pPr>
        <w:ind w:right="209"/>
        <w:jc w:val="both"/>
        <w:rPr>
          <w:iCs/>
          <w:sz w:val="24"/>
          <w:szCs w:val="24"/>
          <w:lang w:val="pt-BR"/>
        </w:rPr>
      </w:pPr>
    </w:p>
    <w:p w14:paraId="29C81907" w14:textId="42E31D7E" w:rsidR="00D13F03" w:rsidRPr="00D13F03" w:rsidRDefault="00D13F03" w:rsidP="00D13F03">
      <w:pPr>
        <w:ind w:right="209"/>
        <w:jc w:val="both"/>
        <w:rPr>
          <w:iCs/>
          <w:sz w:val="24"/>
          <w:szCs w:val="24"/>
          <w:lang w:val="pt-BR"/>
        </w:rPr>
      </w:pPr>
      <w:r w:rsidRPr="00D13F03">
        <w:rPr>
          <w:b/>
          <w:bCs/>
          <w:iCs/>
          <w:sz w:val="24"/>
          <w:szCs w:val="24"/>
          <w:lang w:val="pt-BR"/>
        </w:rPr>
        <w:t>Palavras-chave:</w:t>
      </w:r>
      <w:r w:rsidRPr="00D13F03">
        <w:rPr>
          <w:iCs/>
          <w:sz w:val="24"/>
          <w:szCs w:val="24"/>
          <w:lang w:val="pt-BR"/>
        </w:rPr>
        <w:t xml:space="preserve"> </w:t>
      </w:r>
      <w:r w:rsidR="00DB019C" w:rsidRPr="00DB019C">
        <w:rPr>
          <w:iCs/>
          <w:sz w:val="24"/>
          <w:szCs w:val="24"/>
        </w:rPr>
        <w:t>Descarbonização. Economia circular. Biogás. Aprendizagem investigativa. Letramento científico.</w:t>
      </w:r>
      <w:r w:rsidR="0001144B" w:rsidRPr="0001144B">
        <w:rPr>
          <w:iCs/>
          <w:sz w:val="24"/>
          <w:szCs w:val="24"/>
        </w:rPr>
        <w:t>.</w:t>
      </w:r>
    </w:p>
    <w:p w14:paraId="4623B6CE" w14:textId="6893AEA7" w:rsidR="00D13F03" w:rsidRPr="00D13F03" w:rsidRDefault="00725D67" w:rsidP="00E3782C">
      <w:pPr>
        <w:ind w:right="209"/>
        <w:jc w:val="both"/>
        <w:rPr>
          <w:iCs/>
          <w:sz w:val="24"/>
          <w:szCs w:val="24"/>
          <w:lang w:val="pt-BR"/>
        </w:rPr>
      </w:pPr>
      <w:r>
        <w:rPr>
          <w:iCs/>
          <w:sz w:val="24"/>
          <w:szCs w:val="24"/>
          <w:lang w:val="pt-BR"/>
        </w:rPr>
        <w:t xml:space="preserve">  </w:t>
      </w:r>
    </w:p>
    <w:p w14:paraId="0F7CD38A" w14:textId="77777777" w:rsidR="009C4B75" w:rsidRDefault="009C4B75" w:rsidP="009C4B75">
      <w:pPr>
        <w:jc w:val="both"/>
        <w:rPr>
          <w:b/>
          <w:bCs/>
          <w:spacing w:val="-2"/>
          <w:sz w:val="28"/>
          <w:szCs w:val="28"/>
        </w:rPr>
      </w:pPr>
    </w:p>
    <w:p w14:paraId="5E270B86" w14:textId="4E787057" w:rsidR="009C4B75" w:rsidRDefault="00E3782C" w:rsidP="002A5EA8">
      <w:pPr>
        <w:jc w:val="both"/>
        <w:rPr>
          <w:b/>
          <w:bCs/>
          <w:spacing w:val="-2"/>
          <w:sz w:val="28"/>
          <w:szCs w:val="28"/>
        </w:rPr>
      </w:pPr>
      <w:r w:rsidRPr="005F70B0">
        <w:rPr>
          <w:b/>
          <w:bCs/>
          <w:spacing w:val="-2"/>
          <w:sz w:val="28"/>
          <w:szCs w:val="28"/>
        </w:rPr>
        <w:t>Introdução</w:t>
      </w:r>
    </w:p>
    <w:p w14:paraId="2F492155" w14:textId="77777777" w:rsidR="00C060AF" w:rsidRPr="002A5EA8" w:rsidRDefault="00C060AF" w:rsidP="002A5EA8">
      <w:pPr>
        <w:jc w:val="both"/>
        <w:rPr>
          <w:b/>
          <w:bCs/>
          <w:spacing w:val="-2"/>
          <w:sz w:val="28"/>
          <w:szCs w:val="28"/>
        </w:rPr>
      </w:pPr>
    </w:p>
    <w:p w14:paraId="42C558B3" w14:textId="77777777" w:rsidR="00C060AF" w:rsidRPr="00340F77" w:rsidRDefault="00C060AF" w:rsidP="00C060AF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C060AF">
        <w:rPr>
          <w:sz w:val="24"/>
          <w:szCs w:val="24"/>
          <w:lang w:val="pt-BR"/>
        </w:rPr>
        <w:t>A educação científica contemporânea enfrenta o desafio de preparar estudantes não apenas para compreender fenômenos naturais, mas para atuar criticamente diante de questões complexas que definem o futuro da humanidade. Neste contexto, a educação STEM (</w:t>
      </w:r>
      <w:r w:rsidRPr="00C060AF">
        <w:rPr>
          <w:i/>
          <w:iCs/>
          <w:sz w:val="24"/>
          <w:szCs w:val="24"/>
          <w:lang w:val="pt-BR"/>
        </w:rPr>
        <w:t>Science, Technology, Engineering and Mathematics</w:t>
      </w:r>
      <w:r w:rsidRPr="00C060AF">
        <w:rPr>
          <w:sz w:val="24"/>
          <w:szCs w:val="24"/>
          <w:lang w:val="pt-BR"/>
        </w:rPr>
        <w:t xml:space="preserve">) emerge como estratégia pedagógica fundamental para o desenvolvimento de talentos, particularmente entre estudantes com altas habilidades e superdotação (AH/SD). Conforme Renzulli (2014), a superdotação não deve ser compreendida como um atributo fixo, mas como a interação dinâmica entre capacidade acima da média, </w:t>
      </w:r>
      <w:r w:rsidRPr="00C060AF">
        <w:rPr>
          <w:sz w:val="24"/>
          <w:szCs w:val="24"/>
          <w:lang w:val="pt-BR"/>
        </w:rPr>
        <w:lastRenderedPageBreak/>
        <w:t xml:space="preserve">comprometimento com a tarefa </w:t>
      </w:r>
      <w:r w:rsidRPr="00340F77">
        <w:rPr>
          <w:sz w:val="24"/>
          <w:szCs w:val="24"/>
          <w:lang w:val="pt-BR"/>
        </w:rPr>
        <w:t xml:space="preserve">e criatividade. </w:t>
      </w:r>
    </w:p>
    <w:p w14:paraId="7D7C5C39" w14:textId="44DBC131" w:rsidR="00A01607" w:rsidRDefault="00A01607" w:rsidP="00C060AF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340F77">
        <w:rPr>
          <w:sz w:val="24"/>
          <w:szCs w:val="24"/>
        </w:rPr>
        <w:t>Estima-se que entre 3% e 5% da população escolar apresente Altas Habilidades/Superdotação (AH/SD) quando a identificação</w:t>
      </w:r>
      <w:r w:rsidRPr="00A01607">
        <w:rPr>
          <w:sz w:val="24"/>
          <w:szCs w:val="24"/>
        </w:rPr>
        <w:t xml:space="preserve"> é baseada predominantemente em habilidades intelectuais. Entretanto, ao adotar uma concepção mais abrangente, que contempla também criatividade, liderança, habilidades artísticas e psicomotoras, esse percentual pode variar entre 15% e 30% dos estudantes (RENZULLI, 2004; VIRGOLIM, 2007). Essa amplitude evidencia que os índices de identificação dependem dos critérios utilizados, reforçando a necessidade de práticas pedagógicas capazes de reconhecer e desenvolver diferentes manifestações do potencial humano. Nesse contexto, esses estudantes demandam estratégias que transcendam o ensino tradicional, proporcionando </w:t>
      </w:r>
      <w:r w:rsidR="0001144B">
        <w:rPr>
          <w:sz w:val="24"/>
          <w:szCs w:val="24"/>
        </w:rPr>
        <w:t>apresndizagem</w:t>
      </w:r>
      <w:r w:rsidRPr="00A01607">
        <w:rPr>
          <w:sz w:val="24"/>
          <w:szCs w:val="24"/>
        </w:rPr>
        <w:t xml:space="preserve"> investigativa e desafios intelectuais (GUENTHER, 2011).</w:t>
      </w:r>
    </w:p>
    <w:p w14:paraId="29EAD0FF" w14:textId="23256481" w:rsidR="00C060AF" w:rsidRDefault="00C060AF" w:rsidP="00C060AF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C060AF">
        <w:rPr>
          <w:sz w:val="24"/>
          <w:szCs w:val="24"/>
          <w:lang w:val="pt-BR"/>
        </w:rPr>
        <w:t xml:space="preserve">Diante dessas demandas, torna-se fundamental envolver esses estudantes em temáticas contemporâneas. Conforme a UNESCO (2021), o mundo enfrenta uma "corrida contra o tempo" para promover um desenvolvimento pautado pela dupla transição verde e digital. Nesse cenário, as mudanças climáticas e a transição energética constituem temas privilegiados, pois exigem pensamento crítico e compreensão de sistemas complexos. Para que essa perspectiva transformadora </w:t>
      </w:r>
      <w:r w:rsidR="008429E9">
        <w:rPr>
          <w:sz w:val="24"/>
          <w:szCs w:val="24"/>
          <w:lang w:val="pt-BR"/>
        </w:rPr>
        <w:t xml:space="preserve">e a descarbonização da matriz energética </w:t>
      </w:r>
      <w:r w:rsidRPr="00C060AF">
        <w:rPr>
          <w:sz w:val="24"/>
          <w:szCs w:val="24"/>
          <w:lang w:val="pt-BR"/>
        </w:rPr>
        <w:t>se concretize</w:t>
      </w:r>
      <w:r w:rsidR="00F4322A">
        <w:rPr>
          <w:sz w:val="24"/>
          <w:szCs w:val="24"/>
          <w:lang w:val="pt-BR"/>
        </w:rPr>
        <w:t>m</w:t>
      </w:r>
      <w:r w:rsidRPr="00C060AF">
        <w:rPr>
          <w:sz w:val="24"/>
          <w:szCs w:val="24"/>
          <w:lang w:val="pt-BR"/>
        </w:rPr>
        <w:t>, este estudo direciona o olhar para setores de bioenergia que já demonstram viabilidade técnica no país. Exemplo disso é o biogás, que apresenta crescimento anual de 19%, com projeções de que a oferta de biometano</w:t>
      </w:r>
      <w:r w:rsidR="007A7E3F">
        <w:rPr>
          <w:sz w:val="24"/>
          <w:szCs w:val="24"/>
          <w:lang w:val="pt-BR"/>
        </w:rPr>
        <w:t xml:space="preserve"> (biogás com teor de metano acima de 90%),</w:t>
      </w:r>
      <w:r w:rsidRPr="00C060AF">
        <w:rPr>
          <w:sz w:val="24"/>
          <w:szCs w:val="24"/>
          <w:lang w:val="pt-BR"/>
        </w:rPr>
        <w:t xml:space="preserve"> poderá triplicar até 2026 (CIBiogás, 2025). Contudo, a consolidação do setor ainda depende da superação de desafios como limitações tecnológicas e escassez de mão de obra qualificada (XIMENES; YAMAJI, 2024), tornando estratégica a formação de recursos humanos via Educação STEM.</w:t>
      </w:r>
    </w:p>
    <w:p w14:paraId="2C4D73FB" w14:textId="18F96BD9" w:rsidR="00564FB1" w:rsidRDefault="00564FB1" w:rsidP="00AA7935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564FB1">
        <w:rPr>
          <w:sz w:val="24"/>
          <w:szCs w:val="24"/>
        </w:rPr>
        <w:t>A educação STEM para estudantes com AH/SD</w:t>
      </w:r>
      <w:r>
        <w:rPr>
          <w:sz w:val="24"/>
          <w:szCs w:val="24"/>
        </w:rPr>
        <w:t xml:space="preserve"> </w:t>
      </w:r>
      <w:r w:rsidRPr="00564FB1">
        <w:rPr>
          <w:sz w:val="24"/>
          <w:szCs w:val="24"/>
        </w:rPr>
        <w:t>justifica-se por oferecer o ambiente de complexidade cognitiva e investigação essencial a esse público. Ao integrar rigor técnico e flexibilidade, essa abordagem converte o alto potencial discente em competências resolutivas, preparando talentos para liderar soluções tecnológicas e socioambientais urgentes.</w:t>
      </w:r>
      <w:r>
        <w:rPr>
          <w:sz w:val="24"/>
          <w:szCs w:val="24"/>
        </w:rPr>
        <w:t xml:space="preserve"> Assim</w:t>
      </w:r>
      <w:r w:rsidR="00F4322A">
        <w:rPr>
          <w:sz w:val="24"/>
          <w:szCs w:val="24"/>
        </w:rPr>
        <w:t>, e</w:t>
      </w:r>
      <w:r w:rsidR="00C060AF" w:rsidRPr="00C060AF">
        <w:rPr>
          <w:sz w:val="24"/>
          <w:szCs w:val="24"/>
          <w:lang w:val="pt-BR"/>
        </w:rPr>
        <w:t>ste estudo tem como objetivo analisar as concepções de estudantes com AH/SD sobre mudanças climáticas e transição energética, identificando padrões de compreensão e lacunas de aprendizagem, com vistas a fundamentar propostas de educação STEM que promovam o desenvolvimento integral de talentos e a formação de cidadãos cientificamente letrados e comprometidos com a sustentabilidade.</w:t>
      </w:r>
    </w:p>
    <w:p w14:paraId="001B2AF6" w14:textId="77777777" w:rsidR="00AA7935" w:rsidRDefault="00AA7935" w:rsidP="00AA7935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</w:p>
    <w:p w14:paraId="5300E1D4" w14:textId="77777777" w:rsidR="00AA7935" w:rsidRPr="00AA7935" w:rsidRDefault="00AA7935" w:rsidP="00AA7935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</w:p>
    <w:p w14:paraId="208760B7" w14:textId="653A6907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Metodologia</w:t>
      </w:r>
    </w:p>
    <w:p w14:paraId="040E93BA" w14:textId="5E310044" w:rsidR="00E352EE" w:rsidRPr="00E352EE" w:rsidRDefault="00E352EE" w:rsidP="00564FB1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E352EE">
        <w:rPr>
          <w:sz w:val="24"/>
          <w:szCs w:val="24"/>
          <w:lang w:val="pt-BR"/>
        </w:rPr>
        <w:t>Esta pesquisa caracteriza-se como um estudo diagnóstico de natureza quanti-qualitativa, conduzido com 25</w:t>
      </w:r>
      <w:r w:rsidR="00E84425">
        <w:rPr>
          <w:sz w:val="24"/>
          <w:szCs w:val="24"/>
          <w:lang w:val="pt-BR"/>
        </w:rPr>
        <w:t xml:space="preserve"> estudantes</w:t>
      </w:r>
      <w:r w:rsidRPr="00E352EE">
        <w:rPr>
          <w:sz w:val="24"/>
          <w:szCs w:val="24"/>
          <w:lang w:val="pt-BR"/>
        </w:rPr>
        <w:t xml:space="preserve"> formalmente identificados com Altas Habilidades/Superdotação (AH/SD)</w:t>
      </w:r>
      <w:r w:rsidR="00E84425">
        <w:rPr>
          <w:sz w:val="24"/>
          <w:szCs w:val="24"/>
          <w:lang w:val="pt-BR"/>
        </w:rPr>
        <w:t xml:space="preserve">, </w:t>
      </w:r>
      <w:r w:rsidR="00E84425" w:rsidRPr="00E84425">
        <w:rPr>
          <w:sz w:val="24"/>
          <w:szCs w:val="24"/>
        </w:rPr>
        <w:t xml:space="preserve">amostra condizente </w:t>
      </w:r>
      <w:r w:rsidR="00E84425">
        <w:rPr>
          <w:sz w:val="24"/>
          <w:szCs w:val="24"/>
        </w:rPr>
        <w:t>c</w:t>
      </w:r>
      <w:r w:rsidR="00E84425" w:rsidRPr="00E84425">
        <w:rPr>
          <w:sz w:val="24"/>
          <w:szCs w:val="24"/>
        </w:rPr>
        <w:t>o</w:t>
      </w:r>
      <w:r w:rsidR="00E84425">
        <w:rPr>
          <w:sz w:val="24"/>
          <w:szCs w:val="24"/>
        </w:rPr>
        <w:t>m</w:t>
      </w:r>
      <w:r w:rsidR="00F4322A">
        <w:rPr>
          <w:sz w:val="24"/>
          <w:szCs w:val="24"/>
        </w:rPr>
        <w:t xml:space="preserve"> o</w:t>
      </w:r>
      <w:r w:rsidR="00E84425" w:rsidRPr="00E84425">
        <w:rPr>
          <w:sz w:val="24"/>
          <w:szCs w:val="24"/>
        </w:rPr>
        <w:t xml:space="preserve"> caráter </w:t>
      </w:r>
      <w:r w:rsidR="00E84425">
        <w:rPr>
          <w:sz w:val="24"/>
          <w:szCs w:val="24"/>
        </w:rPr>
        <w:t xml:space="preserve">de pesquisas </w:t>
      </w:r>
      <w:r w:rsidR="00E84425" w:rsidRPr="00E84425">
        <w:rPr>
          <w:sz w:val="24"/>
          <w:szCs w:val="24"/>
        </w:rPr>
        <w:t>de grupo específic</w:t>
      </w:r>
      <w:r w:rsidR="00E84425">
        <w:rPr>
          <w:sz w:val="24"/>
          <w:szCs w:val="24"/>
        </w:rPr>
        <w:t>o</w:t>
      </w:r>
      <w:r w:rsidR="00E84425">
        <w:rPr>
          <w:sz w:val="24"/>
          <w:szCs w:val="24"/>
          <w:lang w:val="pt-BR"/>
        </w:rPr>
        <w:t xml:space="preserve">, </w:t>
      </w:r>
      <w:r w:rsidRPr="00E352EE">
        <w:rPr>
          <w:sz w:val="24"/>
          <w:szCs w:val="24"/>
          <w:lang w:val="pt-BR"/>
        </w:rPr>
        <w:t>atendidos pelo Centro para Desenvolvimento do Potencial e Talento (CEDET) de Poços de Caldas (MG)</w:t>
      </w:r>
      <w:r w:rsidR="00E84425">
        <w:rPr>
          <w:sz w:val="24"/>
          <w:szCs w:val="24"/>
          <w:lang w:val="pt-BR"/>
        </w:rPr>
        <w:t xml:space="preserve">. </w:t>
      </w:r>
      <w:r w:rsidR="007A7E3F" w:rsidRPr="007A7E3F">
        <w:rPr>
          <w:sz w:val="24"/>
          <w:szCs w:val="24"/>
        </w:rPr>
        <w:t>A pesquisa foi aprovada pelo Comitê de Ética em Pesquisa da UNIFAL-MG (Parecer nº 7.955.318; CAAE 90878125.5.0000.5142).</w:t>
      </w:r>
      <w:r w:rsidRPr="00E352EE">
        <w:rPr>
          <w:sz w:val="24"/>
          <w:szCs w:val="24"/>
          <w:lang w:val="pt-BR"/>
        </w:rPr>
        <w:t xml:space="preserve"> O instrumento de coleta consistiu em um questionário estruturado, do qual se extraiu um recorte analítico focado em dois pilares da agenda científica global: o Eixo I (Mudanças Climáticas e Ações Antrópicas) e o Eixo II (Biogás como Fonte de Energia Sustentável). </w:t>
      </w:r>
      <w:r w:rsidR="00564FB1">
        <w:rPr>
          <w:sz w:val="24"/>
          <w:szCs w:val="24"/>
          <w:lang w:val="pt-BR"/>
        </w:rPr>
        <w:t xml:space="preserve"> </w:t>
      </w:r>
      <w:r w:rsidRPr="00E352EE">
        <w:rPr>
          <w:sz w:val="24"/>
          <w:szCs w:val="24"/>
          <w:lang w:val="pt-BR"/>
        </w:rPr>
        <w:t>Os critérios de análise adotaram uma abordagem mista: a vertente quantitativa mensurou o nível de domínio conceitual via frequências absolutas (</w:t>
      </w:r>
      <m:oMath>
        <m:r>
          <w:rPr>
            <w:rFonts w:ascii="Cambria Math" w:hAnsi="Cambria Math"/>
            <w:sz w:val="24"/>
            <w:szCs w:val="24"/>
            <w:lang w:val="pt-BR"/>
          </w:rPr>
          <m:t>n</m:t>
        </m:r>
      </m:oMath>
      <w:r w:rsidRPr="00E352EE">
        <w:rPr>
          <w:sz w:val="24"/>
          <w:szCs w:val="24"/>
          <w:lang w:val="pt-BR"/>
        </w:rPr>
        <w:t>) e relativas (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pt-BR"/>
          </w:rPr>
          <m:t>%</m:t>
        </m:r>
      </m:oMath>
      <w:r w:rsidRPr="00E352EE">
        <w:rPr>
          <w:sz w:val="24"/>
          <w:szCs w:val="24"/>
          <w:lang w:val="pt-BR"/>
        </w:rPr>
        <w:t>), enquanto a qualitativa examinou as alternativas distratoras para identificar lacunas de raciocínio ou</w:t>
      </w:r>
      <w:r w:rsidR="00F4322A">
        <w:rPr>
          <w:sz w:val="24"/>
          <w:szCs w:val="24"/>
          <w:lang w:val="pt-BR"/>
        </w:rPr>
        <w:t xml:space="preserve"> </w:t>
      </w:r>
      <w:r w:rsidR="00F4322A" w:rsidRPr="00F4322A">
        <w:rPr>
          <w:sz w:val="24"/>
          <w:szCs w:val="24"/>
        </w:rPr>
        <w:t>equívocos conceituais</w:t>
      </w:r>
      <w:r w:rsidRPr="00E352EE">
        <w:rPr>
          <w:sz w:val="24"/>
          <w:szCs w:val="24"/>
          <w:lang w:val="pt-BR"/>
        </w:rPr>
        <w:t xml:space="preserve"> científic</w:t>
      </w:r>
      <w:r w:rsidR="00F4322A">
        <w:rPr>
          <w:sz w:val="24"/>
          <w:szCs w:val="24"/>
          <w:lang w:val="pt-BR"/>
        </w:rPr>
        <w:t>o</w:t>
      </w:r>
      <w:r w:rsidRPr="00E352EE">
        <w:rPr>
          <w:sz w:val="24"/>
          <w:szCs w:val="24"/>
          <w:lang w:val="pt-BR"/>
        </w:rPr>
        <w:t>s. O processamento estatístico foi realizado no software Microsoft Excel 365, utilizando estatística descritiva para caracterizar o desempenho nos eixos temáticos. A visualização dos resultados foi consolidada por meio de Figuras (gráficos de colunas agrupadas), integrando barras de erro e linhas de tendência linear para evidenciar padrões de acertos e variabilidade dos dados. Este delineamento permitiu fundamentar intervenções pedagógicas investigativas alinhadas aos princípios da educação STEM e às necessidades educacionais específicas do público AH/SD.</w:t>
      </w:r>
    </w:p>
    <w:p w14:paraId="6AB1C1F9" w14:textId="77777777" w:rsidR="00E3782C" w:rsidRPr="00E352EE" w:rsidRDefault="00E3782C" w:rsidP="00E3782C">
      <w:pPr>
        <w:pStyle w:val="Corpodetexto"/>
        <w:spacing w:before="1" w:line="360" w:lineRule="auto"/>
        <w:rPr>
          <w:sz w:val="24"/>
          <w:szCs w:val="24"/>
          <w:lang w:val="pt-BR"/>
        </w:rPr>
      </w:pPr>
    </w:p>
    <w:p w14:paraId="120FBDA2" w14:textId="1BD71F93" w:rsidR="00CA4B8A" w:rsidRPr="00CA4B8A" w:rsidRDefault="00E3782C" w:rsidP="00CA4B8A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Resultados e Discussão</w:t>
      </w:r>
    </w:p>
    <w:p w14:paraId="343ABBD9" w14:textId="36154983" w:rsidR="00685AE1" w:rsidRDefault="008324A0" w:rsidP="009933D6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8324A0">
        <w:rPr>
          <w:sz w:val="24"/>
          <w:szCs w:val="24"/>
        </w:rPr>
        <w:t>Os dados obtidos no Eixo Temático I</w:t>
      </w:r>
      <w:r>
        <w:rPr>
          <w:sz w:val="24"/>
          <w:szCs w:val="24"/>
        </w:rPr>
        <w:t xml:space="preserve"> (Figura 1)</w:t>
      </w:r>
      <w:r w:rsidRPr="008324A0">
        <w:rPr>
          <w:sz w:val="24"/>
          <w:szCs w:val="24"/>
        </w:rPr>
        <w:t xml:space="preserve"> revelam um nível intermediário de percepção discente acerca das dinâmicas antrópicas nas mudanças climáticas. Embora 56,0% dos estudantes tenham identificado as ações preponderantes na intensificação do efeito estufa</w:t>
      </w:r>
      <w:r>
        <w:rPr>
          <w:sz w:val="24"/>
          <w:szCs w:val="24"/>
        </w:rPr>
        <w:t xml:space="preserve">, </w:t>
      </w:r>
      <w:r w:rsidRPr="008324A0">
        <w:rPr>
          <w:sz w:val="24"/>
          <w:szCs w:val="24"/>
        </w:rPr>
        <w:t>desempenho condizente com o perfil cognitivo da amostra</w:t>
      </w:r>
      <w:r>
        <w:rPr>
          <w:sz w:val="24"/>
          <w:szCs w:val="24"/>
        </w:rPr>
        <w:t xml:space="preserve">, </w:t>
      </w:r>
      <w:r w:rsidRPr="008324A0">
        <w:rPr>
          <w:sz w:val="24"/>
          <w:szCs w:val="24"/>
        </w:rPr>
        <w:t xml:space="preserve">a expressiva margem de 44,0% de respostas incorretas sinaliza lacunas conceituais sobre a complexidade climática. </w:t>
      </w:r>
      <w:r w:rsidR="009933D6" w:rsidRPr="009933D6">
        <w:rPr>
          <w:sz w:val="24"/>
          <w:szCs w:val="24"/>
        </w:rPr>
        <w:t>Esse resultado sugere compreensão ainda parcial da relação entre ações antrópicas e mudanças climáticas, indicando que o reconhecimento do fenômeno não implica, necessariamente, domínio sobre seus fatores determinantes.</w:t>
      </w:r>
      <w:r w:rsidR="009933D6">
        <w:rPr>
          <w:sz w:val="24"/>
          <w:szCs w:val="24"/>
        </w:rPr>
        <w:t xml:space="preserve"> A</w:t>
      </w:r>
      <w:r w:rsidR="009D7237" w:rsidRPr="009D7237">
        <w:rPr>
          <w:sz w:val="24"/>
          <w:szCs w:val="24"/>
        </w:rPr>
        <w:t xml:space="preserve"> integração da </w:t>
      </w:r>
      <w:r w:rsidR="009D7237">
        <w:rPr>
          <w:sz w:val="24"/>
          <w:szCs w:val="24"/>
        </w:rPr>
        <w:t>e</w:t>
      </w:r>
      <w:r w:rsidR="009D7237" w:rsidRPr="009D7237">
        <w:rPr>
          <w:sz w:val="24"/>
          <w:szCs w:val="24"/>
        </w:rPr>
        <w:t xml:space="preserve">ducação para a </w:t>
      </w:r>
      <w:r w:rsidR="009D7237">
        <w:rPr>
          <w:sz w:val="24"/>
          <w:szCs w:val="24"/>
        </w:rPr>
        <w:t>s</w:t>
      </w:r>
      <w:r w:rsidR="009D7237" w:rsidRPr="009D7237">
        <w:rPr>
          <w:sz w:val="24"/>
          <w:szCs w:val="24"/>
        </w:rPr>
        <w:t>ustentabilidade na abordagem STEM favorece o desenvolvimento de uma visão analítica ao relacionar conteúdos científicos a desafios contemporâneos, promovendo uma compreensão integrada entre progresso humano e preservação ambiental (CORDARO; MURPHY; REDMAN, 202</w:t>
      </w:r>
      <w:r w:rsidR="00685AE1">
        <w:rPr>
          <w:sz w:val="24"/>
          <w:szCs w:val="24"/>
        </w:rPr>
        <w:t>5</w:t>
      </w:r>
      <w:r w:rsidR="009D7237" w:rsidRPr="009D7237">
        <w:rPr>
          <w:sz w:val="24"/>
          <w:szCs w:val="24"/>
        </w:rPr>
        <w:t>).</w:t>
      </w:r>
    </w:p>
    <w:p w14:paraId="2C23F587" w14:textId="453AE25A" w:rsidR="002C0DB8" w:rsidRPr="00F877E8" w:rsidRDefault="00F877E8" w:rsidP="002C0DB8">
      <w:pPr>
        <w:pStyle w:val="Corpodetexto"/>
        <w:spacing w:before="1" w:line="360" w:lineRule="auto"/>
        <w:ind w:firstLine="720"/>
        <w:jc w:val="both"/>
      </w:pPr>
      <w:r w:rsidRPr="00F877E8">
        <w:lastRenderedPageBreak/>
        <w:t xml:space="preserve">Figura </w:t>
      </w:r>
      <w:r w:rsidR="009F16DE" w:rsidRPr="00F877E8">
        <w:t>1: Frequência absoluta e percentual das respostas dos estudantes referentes ao eixo temático "Mudanças Climáticas e Ações Antrópica</w:t>
      </w:r>
      <w:r w:rsidR="00F4322A">
        <w:t>s</w:t>
      </w:r>
      <w:r w:rsidR="00A55B39" w:rsidRPr="00F877E8">
        <w:t>.</w:t>
      </w:r>
    </w:p>
    <w:p w14:paraId="5B4AB32C" w14:textId="46656958" w:rsidR="002C0DB8" w:rsidRDefault="002C0DB8" w:rsidP="002C0DB8">
      <w:pPr>
        <w:pStyle w:val="Corpodetexto"/>
        <w:spacing w:before="1" w:line="360" w:lineRule="auto"/>
        <w:jc w:val="center"/>
        <w:rPr>
          <w:sz w:val="24"/>
          <w:szCs w:val="24"/>
        </w:rPr>
      </w:pPr>
      <w:r w:rsidRPr="002C0DB8">
        <w:rPr>
          <w:noProof/>
        </w:rPr>
        <w:drawing>
          <wp:inline distT="0" distB="0" distL="0" distR="0" wp14:anchorId="3B8729B7" wp14:editId="4D80D117">
            <wp:extent cx="3392464" cy="1774225"/>
            <wp:effectExtent l="0" t="0" r="0" b="0"/>
            <wp:docPr id="22548631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48631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36636" cy="1797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F4CFA" w14:textId="32672C44" w:rsidR="008324A0" w:rsidRDefault="00CA4B8A" w:rsidP="00564FB1">
      <w:pPr>
        <w:pStyle w:val="Corpodetexto"/>
        <w:spacing w:before="1" w:line="360" w:lineRule="auto"/>
        <w:jc w:val="center"/>
      </w:pPr>
      <w:r w:rsidRPr="00CA4B8A">
        <w:t>Fonte: Os autores (2026)</w:t>
      </w:r>
    </w:p>
    <w:p w14:paraId="282BCC43" w14:textId="1B312CA3" w:rsidR="008324A0" w:rsidRPr="008324A0" w:rsidRDefault="008324A0" w:rsidP="009933D6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8324A0">
        <w:rPr>
          <w:sz w:val="24"/>
          <w:szCs w:val="24"/>
        </w:rPr>
        <w:t xml:space="preserve">No que tange ao Eixo Temático II (Figura 2), observa-se um domínio conceitual restrito sobre os fundamentos do biogás: apenas 36,0% dos participantes reconheceram o processo de decomposição anaeróbia da matéria orgânica, enquanto a maioria (64,0%) demonstrou desconhecimento técnico. </w:t>
      </w:r>
      <w:r w:rsidR="009933D6">
        <w:rPr>
          <w:sz w:val="24"/>
          <w:szCs w:val="24"/>
        </w:rPr>
        <w:t xml:space="preserve"> </w:t>
      </w:r>
      <w:r w:rsidR="009933D6" w:rsidRPr="009933D6">
        <w:rPr>
          <w:sz w:val="24"/>
          <w:szCs w:val="24"/>
        </w:rPr>
        <w:t>O resultado evidencia uma lacuna na compreensão da relação entre resíduos orgânicos, processos biológicos e geração de energia, aspecto que limita a percepção do potencial do biogás como alternativa energética.</w:t>
      </w:r>
      <w:r w:rsidR="009933D6">
        <w:rPr>
          <w:sz w:val="24"/>
          <w:szCs w:val="24"/>
        </w:rPr>
        <w:t xml:space="preserve"> </w:t>
      </w:r>
      <w:r w:rsidRPr="008324A0">
        <w:rPr>
          <w:sz w:val="24"/>
          <w:szCs w:val="24"/>
        </w:rPr>
        <w:t xml:space="preserve">Esse déficit pode ser creditado às barreiras informacionais que ainda marginalizam essa tecnologia no ambiente escolar. </w:t>
      </w:r>
      <w:r w:rsidR="009933D6" w:rsidRPr="009933D6">
        <w:rPr>
          <w:sz w:val="24"/>
          <w:szCs w:val="24"/>
        </w:rPr>
        <w:t>Segundo Ximenes e Yamaji (2024), a escassez de dados qualificados limita o reconhecimento do biogás como matriz renovável para o tratamento de resíduos e a mitigação de gases de efeito estufa, reforçando a necessidade de ações de sensibilização para a adoção de tecnologias ecoeficientes.</w:t>
      </w:r>
      <w:r w:rsidR="009933D6">
        <w:rPr>
          <w:sz w:val="24"/>
          <w:szCs w:val="24"/>
        </w:rPr>
        <w:t xml:space="preserve"> </w:t>
      </w:r>
      <w:r w:rsidR="009933D6" w:rsidRPr="009933D6">
        <w:rPr>
          <w:sz w:val="24"/>
          <w:szCs w:val="24"/>
        </w:rPr>
        <w:t>Nesse contexto, a valorização de resíduos para fins energéticos concretiza os princípios da economia circular. Assim, inserir essa temática no ensino de Ciências, articulada à resolução de problemas autênticos, contribui para uma formação sustentável, estimulando o pensamento crítico e a capacidade de síntese dos estudantes (CORDARO; MURPHY; REDMAN, 2025).</w:t>
      </w:r>
    </w:p>
    <w:p w14:paraId="672C742E" w14:textId="7C88D3A1" w:rsidR="009F16DE" w:rsidRDefault="00F877E8" w:rsidP="00CA4B8A">
      <w:pPr>
        <w:pStyle w:val="Corpodetexto"/>
        <w:spacing w:before="1" w:line="360" w:lineRule="auto"/>
        <w:ind w:firstLine="720"/>
        <w:jc w:val="both"/>
      </w:pPr>
      <w:r>
        <w:t xml:space="preserve">Figura </w:t>
      </w:r>
      <w:r w:rsidR="009F16DE" w:rsidRPr="009F16DE">
        <w:t>2: Frequência absoluta e percentual das respostas dos estudantes referentes ao eixo temático "Biogás como Fonte de Energia Sustentável"</w:t>
      </w:r>
    </w:p>
    <w:p w14:paraId="28D4C8BE" w14:textId="0A0EF7BD" w:rsidR="00BF7603" w:rsidRDefault="00BF7603" w:rsidP="00F877E8">
      <w:pPr>
        <w:pStyle w:val="Corpodetexto"/>
        <w:spacing w:before="1" w:line="360" w:lineRule="auto"/>
        <w:jc w:val="center"/>
      </w:pPr>
      <w:r w:rsidRPr="00BF7603">
        <w:rPr>
          <w:noProof/>
        </w:rPr>
        <w:drawing>
          <wp:inline distT="0" distB="0" distL="0" distR="0" wp14:anchorId="7B42B5F8" wp14:editId="53B0B405">
            <wp:extent cx="3324225" cy="1799696"/>
            <wp:effectExtent l="0" t="0" r="0" b="0"/>
            <wp:docPr id="58043956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43956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90467" cy="1889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4307A" w14:textId="67E27C59" w:rsidR="001E1E7F" w:rsidRPr="00CA4B8A" w:rsidRDefault="009F16DE" w:rsidP="00F877E8">
      <w:pPr>
        <w:pStyle w:val="Corpodetexto"/>
        <w:spacing w:before="1" w:line="360" w:lineRule="auto"/>
        <w:jc w:val="center"/>
      </w:pPr>
      <w:r w:rsidRPr="00CA4B8A">
        <w:t>Fonte: Os autores (2026)</w:t>
      </w:r>
    </w:p>
    <w:p w14:paraId="196855C6" w14:textId="27345E38" w:rsidR="008324A0" w:rsidRDefault="008324A0" w:rsidP="008324A0">
      <w:pPr>
        <w:pStyle w:val="Corpodetexto"/>
        <w:spacing w:line="360" w:lineRule="auto"/>
        <w:ind w:firstLine="709"/>
        <w:jc w:val="both"/>
        <w:rPr>
          <w:sz w:val="24"/>
          <w:szCs w:val="24"/>
        </w:rPr>
      </w:pPr>
      <w:r w:rsidRPr="008324A0">
        <w:rPr>
          <w:sz w:val="24"/>
          <w:szCs w:val="24"/>
        </w:rPr>
        <w:lastRenderedPageBreak/>
        <w:t>A análise comparativa exposta na Figura 3 destaca disparidades significativas na apropriação conceitual entre os eixos. Enquanto o tema "Mudanças Climáticas" obteve uma frequência relativa de acertos de 56%, o tópico "Biogás"</w:t>
      </w:r>
      <w:r w:rsidR="00D15793">
        <w:rPr>
          <w:sz w:val="24"/>
          <w:szCs w:val="24"/>
        </w:rPr>
        <w:t xml:space="preserve"> apresentou </w:t>
      </w:r>
      <w:r w:rsidRPr="008324A0">
        <w:rPr>
          <w:sz w:val="24"/>
          <w:szCs w:val="24"/>
        </w:rPr>
        <w:t>36%, evidenciando que os estudantes possuem maior familiaridade com fenômenos climáticos globais do que com alternativas de energias renováveis e reaproveitamento de biomassa. Esse cenário reflete o paradoxo brasileiro: apesar do vasto potencial produtivo, a subutilização do biogás resulta em sua baixa visibilidade social e educacional (LEMOS; CARDOSO; COSTA, 2024). Diante desse panorama, é fundamental robustecer a Educação para a Sustentabilidade por meio de metodologias que conectem a ciência teórica a contextos práticos. Nesse sentido, o ensino STEM facilita a decodificação de temas atrelados aos Objetivos de Desenvolvimento Sustentável (ODS), ampliando a competência dos estudantes em diagnosticar e propor soluções para dilemas socioambientais complexos (CORDARO; MURPHY; REDMAN, 2025).</w:t>
      </w:r>
    </w:p>
    <w:p w14:paraId="065AD51F" w14:textId="3AD3768A" w:rsidR="008324A0" w:rsidRPr="008324A0" w:rsidRDefault="008324A0" w:rsidP="008324A0">
      <w:pPr>
        <w:pStyle w:val="Corpodetexto"/>
        <w:spacing w:line="360" w:lineRule="auto"/>
        <w:ind w:firstLine="709"/>
        <w:jc w:val="both"/>
      </w:pPr>
      <w:r w:rsidRPr="008324A0">
        <w:t>Figura 3: Comparativo da frequência de respostas corretas entre os eixos temáticos "Mudanças Climáticas e Ações Antrópicas" e "Biogás como Fonte de Energia Sustentável".</w:t>
      </w:r>
    </w:p>
    <w:p w14:paraId="243C34C9" w14:textId="0A6C0CD0" w:rsidR="009F16DE" w:rsidRPr="00FF7AB3" w:rsidRDefault="00F877E8" w:rsidP="00FF7AB3">
      <w:pPr>
        <w:pStyle w:val="Corpodetexto"/>
        <w:spacing w:line="360" w:lineRule="auto"/>
        <w:jc w:val="center"/>
        <w:rPr>
          <w:sz w:val="24"/>
          <w:szCs w:val="24"/>
        </w:rPr>
      </w:pPr>
      <w:r w:rsidRPr="00FF7AB3">
        <w:rPr>
          <w:noProof/>
        </w:rPr>
        <w:drawing>
          <wp:inline distT="0" distB="0" distL="0" distR="0" wp14:anchorId="4D7967DB" wp14:editId="1647EB33">
            <wp:extent cx="3480179" cy="1915160"/>
            <wp:effectExtent l="0" t="0" r="6350" b="8890"/>
            <wp:docPr id="138188089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88089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58678" cy="1958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44BCA" w14:textId="5D9DF3B7" w:rsidR="00986E9F" w:rsidRDefault="00F877E8" w:rsidP="003E7523">
      <w:pPr>
        <w:pStyle w:val="Corpodetexto"/>
        <w:spacing w:before="1" w:line="360" w:lineRule="auto"/>
        <w:jc w:val="center"/>
      </w:pPr>
      <w:r w:rsidRPr="00CA4B8A">
        <w:t>Fonte: Os autores (2026)</w:t>
      </w:r>
    </w:p>
    <w:p w14:paraId="63FC7252" w14:textId="3B411478" w:rsidR="00575D00" w:rsidRDefault="00575D00" w:rsidP="00575D00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575D00">
        <w:rPr>
          <w:sz w:val="24"/>
          <w:szCs w:val="24"/>
        </w:rPr>
        <w:t>A comparação entre os eixos evidencia maior familiaridade dos estudantes com problemas ambientais amplamente difundidos do que com os processos científicos e tecnológicos relacionados às suas possíveis soluções. Essa diferença reforça a necessidade de abordagens investigativas que articulem conceitos científicos, experimentação e situações-problema, favorecendo a compreensão de tecnologias de aproveitamento energético de resíduos e a formação de estudantes capazes de propor soluções para desafios socioambientais.</w:t>
      </w:r>
    </w:p>
    <w:p w14:paraId="678C1BE6" w14:textId="77777777" w:rsidR="00575D00" w:rsidRPr="00575D00" w:rsidRDefault="00575D00" w:rsidP="00575D00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</w:p>
    <w:p w14:paraId="1C25DF7A" w14:textId="0F9B974A" w:rsidR="00243512" w:rsidRPr="005F70B0" w:rsidRDefault="00243512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Considerações Finais</w:t>
      </w:r>
    </w:p>
    <w:p w14:paraId="22A5E40C" w14:textId="010E6E2A" w:rsidR="00196F48" w:rsidRDefault="00575D00" w:rsidP="009C4B75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575D00">
        <w:rPr>
          <w:sz w:val="24"/>
          <w:szCs w:val="24"/>
        </w:rPr>
        <w:t xml:space="preserve">Os resultados revelam dificuldades conceituais assimétricas entre os eixos temáticos. No Eixo I, o índice intermediário de 56,0% de acertos evidencia a dissociação entre o reconhecimento das mudanças climáticas e a compreensão de seus mecanismos causais, </w:t>
      </w:r>
      <w:r w:rsidRPr="00575D00">
        <w:rPr>
          <w:sz w:val="24"/>
          <w:szCs w:val="24"/>
        </w:rPr>
        <w:lastRenderedPageBreak/>
        <w:t>indicando conhecimento ancorado em representações sociais amplamente difundidas, em detrimento de uma visão sistêmica das dinâmicas antrópicas. No Eixo II, o desempenho restrito de 36,0% expõe equívoco conceitual de base: a não articulação entre decomposição anaeróbia da matéria orgânica e geração de energia, lacuna agravada pela invisibilidade dessa matriz no contexto educacional brasileiro. Essa disparidade revela maior familiaridade dos estudantes com problemas ambientais difundidos do que com os processos científicos e tecnológicos subjacentes às suas soluções. Conclui-se que a superação dessas lacunas demanda atividades experimentais e investigativas, articulando a ciência teórica a contextos práticos, de modo a alinhar o potencial cognitivo dos estudantes com AH/SD ao compromisso com a inovação e o desenvolvimento sustentável.</w:t>
      </w:r>
    </w:p>
    <w:p w14:paraId="74800EF5" w14:textId="77777777" w:rsidR="00575D00" w:rsidRPr="00D13F03" w:rsidRDefault="00575D00" w:rsidP="009C4B75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</w:p>
    <w:p w14:paraId="58B32154" w14:textId="3AF5B758" w:rsidR="00624629" w:rsidRPr="005F70B0" w:rsidRDefault="00624629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Agradecimentos</w:t>
      </w:r>
    </w:p>
    <w:p w14:paraId="05C26692" w14:textId="1F378FA9" w:rsidR="007A7E3F" w:rsidRDefault="00624629" w:rsidP="00624629">
      <w:pPr>
        <w:pStyle w:val="Corpodetexto"/>
        <w:spacing w:line="360" w:lineRule="auto"/>
        <w:jc w:val="both"/>
        <w:rPr>
          <w:sz w:val="24"/>
          <w:szCs w:val="24"/>
        </w:rPr>
      </w:pPr>
      <w:r w:rsidRPr="005F70B0">
        <w:rPr>
          <w:sz w:val="24"/>
          <w:szCs w:val="24"/>
        </w:rPr>
        <w:tab/>
      </w:r>
      <w:r w:rsidR="007A7E3F" w:rsidRPr="007A7E3F">
        <w:rPr>
          <w:sz w:val="24"/>
          <w:szCs w:val="24"/>
        </w:rPr>
        <w:t>Os autores agradecem à CAPES (001) e ao CNPq (440542/2022-6) pelo apoio.</w:t>
      </w:r>
    </w:p>
    <w:p w14:paraId="407B3263" w14:textId="77777777" w:rsidR="007A7E3F" w:rsidRDefault="007A7E3F" w:rsidP="00624629">
      <w:pPr>
        <w:pStyle w:val="Corpodetexto"/>
        <w:spacing w:line="360" w:lineRule="auto"/>
        <w:jc w:val="both"/>
        <w:rPr>
          <w:sz w:val="24"/>
          <w:szCs w:val="24"/>
        </w:rPr>
      </w:pPr>
    </w:p>
    <w:p w14:paraId="46C53EB6" w14:textId="0DE5B5C6" w:rsidR="00624629" w:rsidRDefault="00624629" w:rsidP="00624629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Referências</w:t>
      </w:r>
    </w:p>
    <w:p w14:paraId="799C9FBB" w14:textId="77777777" w:rsidR="003E7523" w:rsidRPr="00196F48" w:rsidRDefault="003E7523" w:rsidP="003E7523">
      <w:pPr>
        <w:spacing w:before="60"/>
        <w:rPr>
          <w:sz w:val="24"/>
          <w:szCs w:val="24"/>
          <w:lang w:val="pt-BR"/>
        </w:rPr>
      </w:pPr>
      <w:r w:rsidRPr="003E7523">
        <w:rPr>
          <w:sz w:val="24"/>
          <w:szCs w:val="24"/>
          <w:lang w:val="pt-BR"/>
        </w:rPr>
        <w:t xml:space="preserve">BRASIL. Ministério da Educação. Secretaria de Educação Especial. Altas habilidades/superdotação: encorajando potenciais. Organização de Angela M. R. Virgolim. </w:t>
      </w:r>
      <w:r w:rsidRPr="00196F48">
        <w:rPr>
          <w:sz w:val="24"/>
          <w:szCs w:val="24"/>
          <w:lang w:val="pt-BR"/>
        </w:rPr>
        <w:t>Brasília: MEC/SEESP, 2007.</w:t>
      </w:r>
    </w:p>
    <w:p w14:paraId="4E8991D7" w14:textId="77777777" w:rsidR="003E7523" w:rsidRPr="003E7523" w:rsidRDefault="003E7523" w:rsidP="003E7523">
      <w:pPr>
        <w:spacing w:before="60"/>
        <w:rPr>
          <w:sz w:val="24"/>
          <w:szCs w:val="24"/>
          <w:lang w:val="pt-BR"/>
        </w:rPr>
      </w:pPr>
      <w:r w:rsidRPr="003E7523">
        <w:rPr>
          <w:sz w:val="24"/>
          <w:szCs w:val="24"/>
          <w:lang w:val="pt-BR"/>
        </w:rPr>
        <w:t>CENTRO INTERNACIONAL DE ENERGIAS RENOVÁVEIS – BIOGÁS. Panorama do Biogás no Brasil 2024. Foz do Iguaçu: CIBiogás, 2025. (Relatório Técnico nº 001/2025).</w:t>
      </w:r>
    </w:p>
    <w:p w14:paraId="0EACC52B" w14:textId="5CC6296F" w:rsidR="003E7523" w:rsidRPr="00196F48" w:rsidRDefault="003E7523" w:rsidP="003E7523">
      <w:pPr>
        <w:spacing w:before="60"/>
        <w:rPr>
          <w:sz w:val="24"/>
          <w:szCs w:val="24"/>
          <w:lang w:val="pt-BR"/>
        </w:rPr>
      </w:pPr>
      <w:r w:rsidRPr="003E7523">
        <w:rPr>
          <w:sz w:val="24"/>
          <w:szCs w:val="24"/>
          <w:lang w:val="pt-BR"/>
        </w:rPr>
        <w:t xml:space="preserve">CORDARO, J. A.; MURPHY, C.; REDMAN, E. Bridging STEM Education and Sustainability: Insights from Pennsylvania Educators. </w:t>
      </w:r>
      <w:r w:rsidRPr="00196F48">
        <w:rPr>
          <w:sz w:val="24"/>
          <w:szCs w:val="24"/>
          <w:lang w:val="pt-BR"/>
        </w:rPr>
        <w:t xml:space="preserve">Education Sciences, [s. l.], v. 15, n. 3, p. 282, 2025. DOI: </w:t>
      </w:r>
      <w:r w:rsidR="000E34CD" w:rsidRPr="000E34CD">
        <w:rPr>
          <w:sz w:val="24"/>
          <w:szCs w:val="24"/>
        </w:rPr>
        <w:t>10.3390/educsci15030282</w:t>
      </w:r>
      <w:r w:rsidR="000E34CD">
        <w:rPr>
          <w:sz w:val="24"/>
          <w:szCs w:val="24"/>
        </w:rPr>
        <w:t xml:space="preserve">. </w:t>
      </w:r>
    </w:p>
    <w:p w14:paraId="5FEE0728" w14:textId="791846E9" w:rsidR="003E7523" w:rsidRPr="00685AE1" w:rsidRDefault="003E7523" w:rsidP="003E7523">
      <w:pPr>
        <w:spacing w:before="60"/>
        <w:rPr>
          <w:sz w:val="24"/>
          <w:szCs w:val="24"/>
          <w:lang w:val="pt-BR"/>
        </w:rPr>
      </w:pPr>
      <w:r w:rsidRPr="00685AE1">
        <w:rPr>
          <w:sz w:val="24"/>
          <w:szCs w:val="24"/>
          <w:lang w:val="pt-BR"/>
        </w:rPr>
        <w:t>GUENTHER, Z</w:t>
      </w:r>
      <w:r w:rsidR="00632514" w:rsidRPr="00685AE1">
        <w:rPr>
          <w:sz w:val="24"/>
          <w:szCs w:val="24"/>
          <w:lang w:val="pt-BR"/>
        </w:rPr>
        <w:t>.</w:t>
      </w:r>
      <w:r w:rsidRPr="00685AE1">
        <w:rPr>
          <w:sz w:val="24"/>
          <w:szCs w:val="24"/>
          <w:lang w:val="pt-BR"/>
        </w:rPr>
        <w:t xml:space="preserve"> C. Metodologia Cedet: caminhos para desenvolver potencial e talento. Polyphonía, [s. l.], v. 22, n. 1, p. 83-107, jan./jun. 2011.</w:t>
      </w:r>
    </w:p>
    <w:p w14:paraId="54E3D3E2" w14:textId="434457D3" w:rsidR="003D5C56" w:rsidRPr="003D5C56" w:rsidRDefault="00685AE1" w:rsidP="003E7523">
      <w:pPr>
        <w:spacing w:before="60"/>
        <w:rPr>
          <w:sz w:val="24"/>
          <w:szCs w:val="24"/>
          <w:lang w:val="pt-BR"/>
        </w:rPr>
      </w:pPr>
      <w:r w:rsidRPr="00685AE1">
        <w:rPr>
          <w:sz w:val="24"/>
          <w:szCs w:val="24"/>
        </w:rPr>
        <w:t xml:space="preserve">LEMOS, G. L. de; CARDOSO, M. F. O.; COSTA, H. K. de M.. Biogás e biometano no </w:t>
      </w:r>
      <w:r w:rsidRPr="003D5C56">
        <w:rPr>
          <w:sz w:val="24"/>
          <w:szCs w:val="24"/>
        </w:rPr>
        <w:t>Brasil: panorama e perspectivas. Desenvolvimento e Meio Ambiente, Curitiba, v. 63, p. 464–485, jan./jun. 2024. DOI:</w:t>
      </w:r>
      <w:hyperlink r:id="rId13" w:tgtFrame="_new" w:history="1">
        <w:r w:rsidRPr="003D5C56">
          <w:rPr>
            <w:rStyle w:val="Hyperlink"/>
            <w:color w:val="auto"/>
            <w:sz w:val="24"/>
            <w:szCs w:val="24"/>
            <w:u w:val="none"/>
          </w:rPr>
          <w:t>10.5380/dma.v63i0.88929</w:t>
        </w:r>
      </w:hyperlink>
      <w:r w:rsidRPr="003D5C56">
        <w:rPr>
          <w:sz w:val="24"/>
          <w:szCs w:val="24"/>
          <w:lang w:val="pt-BR"/>
        </w:rPr>
        <w:t xml:space="preserve">. </w:t>
      </w:r>
    </w:p>
    <w:p w14:paraId="499563E5" w14:textId="443CA3DD" w:rsidR="003E7523" w:rsidRPr="00081CD4" w:rsidRDefault="003E7523" w:rsidP="003E7523">
      <w:pPr>
        <w:spacing w:before="60"/>
        <w:rPr>
          <w:sz w:val="24"/>
          <w:szCs w:val="24"/>
          <w:lang w:val="pt-BR"/>
        </w:rPr>
      </w:pPr>
      <w:r w:rsidRPr="003D5C56">
        <w:rPr>
          <w:sz w:val="24"/>
          <w:szCs w:val="24"/>
          <w:lang w:val="pt-BR"/>
        </w:rPr>
        <w:t>RENZULLI, J</w:t>
      </w:r>
      <w:r w:rsidR="00632514" w:rsidRPr="003D5C56">
        <w:rPr>
          <w:sz w:val="24"/>
          <w:szCs w:val="24"/>
          <w:lang w:val="pt-BR"/>
        </w:rPr>
        <w:t>.</w:t>
      </w:r>
      <w:r w:rsidRPr="003D5C56">
        <w:rPr>
          <w:sz w:val="24"/>
          <w:szCs w:val="24"/>
          <w:lang w:val="pt-BR"/>
        </w:rPr>
        <w:t xml:space="preserve"> S. Modelo de enriquecimento para toda a escola: um plano abrangente para o desenvolvimento de talentos e superdotação. </w:t>
      </w:r>
      <w:r w:rsidRPr="00081CD4">
        <w:rPr>
          <w:sz w:val="24"/>
          <w:szCs w:val="24"/>
          <w:lang w:val="pt-BR"/>
        </w:rPr>
        <w:t>Revista Educação Especial, Santa Maria, v. 27, n. 50, p. 539-562, 2014.</w:t>
      </w:r>
    </w:p>
    <w:p w14:paraId="3F48B97C" w14:textId="3ECFAEB1" w:rsidR="003D5C56" w:rsidRPr="003D5C56" w:rsidRDefault="003D5C56" w:rsidP="003E7523">
      <w:pPr>
        <w:spacing w:before="60"/>
        <w:rPr>
          <w:sz w:val="24"/>
          <w:szCs w:val="24"/>
          <w:lang w:val="pt-BR"/>
        </w:rPr>
      </w:pPr>
      <w:r w:rsidRPr="003D5C56">
        <w:rPr>
          <w:sz w:val="24"/>
          <w:szCs w:val="24"/>
          <w:lang w:val="pt-BR"/>
        </w:rPr>
        <w:t>RENZULLI, J. S.</w:t>
      </w:r>
      <w:r w:rsidRPr="003D5C56">
        <w:rPr>
          <w:sz w:val="24"/>
          <w:szCs w:val="24"/>
        </w:rPr>
        <w:t xml:space="preserve"> O que é esta coisa chamada superdotação, e como a desenvolvemos? Uma retrospectiva de vinte e cinco anos. </w:t>
      </w:r>
      <w:r w:rsidRPr="003D5C56">
        <w:rPr>
          <w:i/>
          <w:iCs/>
          <w:sz w:val="24"/>
          <w:szCs w:val="24"/>
        </w:rPr>
        <w:t>Educação</w:t>
      </w:r>
      <w:r w:rsidRPr="003D5C56">
        <w:rPr>
          <w:sz w:val="24"/>
          <w:szCs w:val="24"/>
        </w:rPr>
        <w:t>, Porto Alegre, v. 27, n. 1 (52), p. 75–131, jan./abr. 2004.</w:t>
      </w:r>
    </w:p>
    <w:p w14:paraId="694A9AB2" w14:textId="77777777" w:rsidR="003E7523" w:rsidRPr="003E7523" w:rsidRDefault="003E7523" w:rsidP="003E7523">
      <w:pPr>
        <w:spacing w:before="60"/>
        <w:rPr>
          <w:sz w:val="24"/>
          <w:szCs w:val="24"/>
          <w:lang w:val="pt-BR"/>
        </w:rPr>
      </w:pPr>
      <w:r w:rsidRPr="003E7523">
        <w:rPr>
          <w:sz w:val="24"/>
          <w:szCs w:val="24"/>
          <w:lang w:val="pt-BR"/>
        </w:rPr>
        <w:t>UNESCO. Relatório de Ciências da UNESCO: a corrida contra o tempo por um desenvolvimento mais inteligente. Paris: UNESCO, 2021.</w:t>
      </w:r>
    </w:p>
    <w:p w14:paraId="0BA8C96F" w14:textId="223A3B31" w:rsidR="001C5BCC" w:rsidRPr="00D00EF0" w:rsidRDefault="003E7523" w:rsidP="00D00EF0">
      <w:pPr>
        <w:spacing w:before="60"/>
        <w:rPr>
          <w:sz w:val="24"/>
          <w:szCs w:val="24"/>
          <w:lang w:val="pt-BR"/>
        </w:rPr>
      </w:pPr>
      <w:r w:rsidRPr="003E7523">
        <w:rPr>
          <w:sz w:val="24"/>
          <w:szCs w:val="24"/>
          <w:lang w:val="pt-BR"/>
        </w:rPr>
        <w:t>XIMENES, R</w:t>
      </w:r>
      <w:r w:rsidR="00632514">
        <w:rPr>
          <w:sz w:val="24"/>
          <w:szCs w:val="24"/>
          <w:lang w:val="pt-BR"/>
        </w:rPr>
        <w:t xml:space="preserve">. </w:t>
      </w:r>
      <w:r w:rsidRPr="003E7523">
        <w:rPr>
          <w:sz w:val="24"/>
          <w:szCs w:val="24"/>
          <w:lang w:val="pt-BR"/>
        </w:rPr>
        <w:t>D</w:t>
      </w:r>
      <w:r w:rsidR="00632514">
        <w:rPr>
          <w:sz w:val="24"/>
          <w:szCs w:val="24"/>
          <w:lang w:val="pt-BR"/>
        </w:rPr>
        <w:t>.</w:t>
      </w:r>
      <w:r w:rsidRPr="003E7523">
        <w:rPr>
          <w:sz w:val="24"/>
          <w:szCs w:val="24"/>
          <w:lang w:val="pt-BR"/>
        </w:rPr>
        <w:t>; YAMAJI, F</w:t>
      </w:r>
      <w:r w:rsidR="00632514">
        <w:rPr>
          <w:sz w:val="24"/>
          <w:szCs w:val="24"/>
          <w:lang w:val="pt-BR"/>
        </w:rPr>
        <w:t>.</w:t>
      </w:r>
      <w:r w:rsidRPr="003E7523">
        <w:rPr>
          <w:sz w:val="24"/>
          <w:szCs w:val="24"/>
          <w:lang w:val="pt-BR"/>
        </w:rPr>
        <w:t xml:space="preserve"> M. Identificação das principais barreiras à difusão do sistema tecnológico de inovação do biogás. Revista Observatorio de la Economia Latinoamericana, Curitiba, v. 22, n. 3, p. 01-24, 2024. DOI: 10.55905/oelv22n3-184.</w:t>
      </w:r>
    </w:p>
    <w:sectPr w:rsidR="001C5BCC" w:rsidRPr="00D00EF0" w:rsidSect="008913F4">
      <w:headerReference w:type="default" r:id="rId14"/>
      <w:footerReference w:type="default" r:id="rId15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1CB8C" w14:textId="77777777" w:rsidR="00020B36" w:rsidRDefault="00020B36">
      <w:r>
        <w:separator/>
      </w:r>
    </w:p>
  </w:endnote>
  <w:endnote w:type="continuationSeparator" w:id="0">
    <w:p w14:paraId="6B699AC1" w14:textId="77777777" w:rsidR="00020B36" w:rsidRDefault="00020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458E0" w14:textId="77777777" w:rsidR="00020B36" w:rsidRDefault="00020B36">
      <w:r>
        <w:separator/>
      </w:r>
    </w:p>
  </w:footnote>
  <w:footnote w:type="continuationSeparator" w:id="0">
    <w:p w14:paraId="78455785" w14:textId="77777777" w:rsidR="00020B36" w:rsidRDefault="00020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35E2" w14:textId="6B9B4E0D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01FEADD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6500" cy="1060450"/>
          <wp:effectExtent l="0" t="0" r="6350" b="635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4CDC">
      <w:rPr>
        <w:noProof/>
        <w:sz w:val="24"/>
        <w:szCs w:val="24"/>
        <w:lang w:val="pt-BR" w:eastAsia="pt-BR"/>
      </w:rPr>
      <w:drawing>
        <wp:inline distT="0" distB="0" distL="0" distR="0" wp14:anchorId="35FB35BF" wp14:editId="5F2A0F56">
          <wp:extent cx="5753100" cy="996950"/>
          <wp:effectExtent l="0" t="0" r="0" b="0"/>
          <wp:docPr id="5869802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95727"/>
    <w:multiLevelType w:val="multilevel"/>
    <w:tmpl w:val="83889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D54802"/>
    <w:multiLevelType w:val="multilevel"/>
    <w:tmpl w:val="8AE62A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0453BED"/>
    <w:multiLevelType w:val="multilevel"/>
    <w:tmpl w:val="6C380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6B0B34"/>
    <w:multiLevelType w:val="multilevel"/>
    <w:tmpl w:val="DE6A3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9817059">
    <w:abstractNumId w:val="2"/>
  </w:num>
  <w:num w:numId="2" w16cid:durableId="949705031">
    <w:abstractNumId w:val="3"/>
  </w:num>
  <w:num w:numId="3" w16cid:durableId="1473399754">
    <w:abstractNumId w:val="0"/>
  </w:num>
  <w:num w:numId="4" w16cid:durableId="1492481544">
    <w:abstractNumId w:val="1"/>
  </w:num>
  <w:num w:numId="5" w16cid:durableId="1522276151">
    <w:abstractNumId w:val="5"/>
  </w:num>
  <w:num w:numId="6" w16cid:durableId="20532615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052B0"/>
    <w:rsid w:val="0001144B"/>
    <w:rsid w:val="00020B36"/>
    <w:rsid w:val="000449F4"/>
    <w:rsid w:val="000815CB"/>
    <w:rsid w:val="00081CD4"/>
    <w:rsid w:val="00095225"/>
    <w:rsid w:val="000E34CD"/>
    <w:rsid w:val="00126CC0"/>
    <w:rsid w:val="00157AC0"/>
    <w:rsid w:val="00196F48"/>
    <w:rsid w:val="001C4783"/>
    <w:rsid w:val="001C5BCC"/>
    <w:rsid w:val="001E1B9B"/>
    <w:rsid w:val="001E1E7F"/>
    <w:rsid w:val="001F7530"/>
    <w:rsid w:val="00204C39"/>
    <w:rsid w:val="0022279A"/>
    <w:rsid w:val="00243512"/>
    <w:rsid w:val="002A5EA8"/>
    <w:rsid w:val="002B4F01"/>
    <w:rsid w:val="002C0DB8"/>
    <w:rsid w:val="002C3327"/>
    <w:rsid w:val="003232D9"/>
    <w:rsid w:val="003277BD"/>
    <w:rsid w:val="00340F77"/>
    <w:rsid w:val="0036697E"/>
    <w:rsid w:val="00386AD9"/>
    <w:rsid w:val="00392201"/>
    <w:rsid w:val="003B368A"/>
    <w:rsid w:val="003C4322"/>
    <w:rsid w:val="003C5225"/>
    <w:rsid w:val="003D5C56"/>
    <w:rsid w:val="003E7523"/>
    <w:rsid w:val="004030D8"/>
    <w:rsid w:val="0044084D"/>
    <w:rsid w:val="004A121E"/>
    <w:rsid w:val="004D3836"/>
    <w:rsid w:val="004F5752"/>
    <w:rsid w:val="005259CE"/>
    <w:rsid w:val="00564FB1"/>
    <w:rsid w:val="00575D00"/>
    <w:rsid w:val="00593EE4"/>
    <w:rsid w:val="005F70B0"/>
    <w:rsid w:val="0060200B"/>
    <w:rsid w:val="00606834"/>
    <w:rsid w:val="00616004"/>
    <w:rsid w:val="00624629"/>
    <w:rsid w:val="00631290"/>
    <w:rsid w:val="00632514"/>
    <w:rsid w:val="00685AE1"/>
    <w:rsid w:val="00694319"/>
    <w:rsid w:val="006D7A16"/>
    <w:rsid w:val="006E5B1B"/>
    <w:rsid w:val="006F0CF9"/>
    <w:rsid w:val="00722272"/>
    <w:rsid w:val="00725D67"/>
    <w:rsid w:val="007561D8"/>
    <w:rsid w:val="007A7E3F"/>
    <w:rsid w:val="007D0B4F"/>
    <w:rsid w:val="007E1901"/>
    <w:rsid w:val="008324A0"/>
    <w:rsid w:val="00836CFE"/>
    <w:rsid w:val="008429E9"/>
    <w:rsid w:val="008858BD"/>
    <w:rsid w:val="008908CA"/>
    <w:rsid w:val="008913F4"/>
    <w:rsid w:val="0089444F"/>
    <w:rsid w:val="008D77B7"/>
    <w:rsid w:val="008F21B1"/>
    <w:rsid w:val="00962AFA"/>
    <w:rsid w:val="00986E9F"/>
    <w:rsid w:val="009912C5"/>
    <w:rsid w:val="009933D6"/>
    <w:rsid w:val="009B1817"/>
    <w:rsid w:val="009C468B"/>
    <w:rsid w:val="009C4B75"/>
    <w:rsid w:val="009D7237"/>
    <w:rsid w:val="009F16DE"/>
    <w:rsid w:val="00A01607"/>
    <w:rsid w:val="00A14629"/>
    <w:rsid w:val="00A33E6F"/>
    <w:rsid w:val="00A55B39"/>
    <w:rsid w:val="00A72F24"/>
    <w:rsid w:val="00AA2AF2"/>
    <w:rsid w:val="00AA7935"/>
    <w:rsid w:val="00AB5524"/>
    <w:rsid w:val="00AD22F1"/>
    <w:rsid w:val="00AF5124"/>
    <w:rsid w:val="00B40F6D"/>
    <w:rsid w:val="00B47E29"/>
    <w:rsid w:val="00B71FB0"/>
    <w:rsid w:val="00BA347D"/>
    <w:rsid w:val="00BE2203"/>
    <w:rsid w:val="00BF7603"/>
    <w:rsid w:val="00C060AF"/>
    <w:rsid w:val="00C346A2"/>
    <w:rsid w:val="00C44CDC"/>
    <w:rsid w:val="00C526A5"/>
    <w:rsid w:val="00C538C1"/>
    <w:rsid w:val="00C60F3C"/>
    <w:rsid w:val="00CA4B8A"/>
    <w:rsid w:val="00CB7608"/>
    <w:rsid w:val="00CC6FAE"/>
    <w:rsid w:val="00D00EF0"/>
    <w:rsid w:val="00D13C04"/>
    <w:rsid w:val="00D13F03"/>
    <w:rsid w:val="00D15793"/>
    <w:rsid w:val="00D95901"/>
    <w:rsid w:val="00DB019C"/>
    <w:rsid w:val="00DD42FC"/>
    <w:rsid w:val="00DE4410"/>
    <w:rsid w:val="00E352EE"/>
    <w:rsid w:val="00E3782C"/>
    <w:rsid w:val="00E44058"/>
    <w:rsid w:val="00E6509E"/>
    <w:rsid w:val="00E7394E"/>
    <w:rsid w:val="00E76F2A"/>
    <w:rsid w:val="00E84425"/>
    <w:rsid w:val="00EA25BE"/>
    <w:rsid w:val="00EB66F6"/>
    <w:rsid w:val="00F05829"/>
    <w:rsid w:val="00F135CC"/>
    <w:rsid w:val="00F40B26"/>
    <w:rsid w:val="00F4322A"/>
    <w:rsid w:val="00F82852"/>
    <w:rsid w:val="00F877E8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9444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table" w:styleId="TabeladeGradeClara">
    <w:name w:val="Grid Table Light"/>
    <w:basedOn w:val="Tabelanormal"/>
    <w:uiPriority w:val="40"/>
    <w:rsid w:val="00BE220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deGrade6Colorida">
    <w:name w:val="Grid Table 6 Colorful"/>
    <w:basedOn w:val="Tabelanormal"/>
    <w:uiPriority w:val="51"/>
    <w:rsid w:val="00BE220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5">
    <w:name w:val="Grid Table 4 Accent 5"/>
    <w:basedOn w:val="Tabelanormal"/>
    <w:uiPriority w:val="49"/>
    <w:rsid w:val="00BE2203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implesTabela1">
    <w:name w:val="Plain Table 1"/>
    <w:basedOn w:val="Tabelanormal"/>
    <w:uiPriority w:val="41"/>
    <w:rsid w:val="00BE220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TextodoEspaoReservado">
    <w:name w:val="Placeholder Text"/>
    <w:basedOn w:val="Fontepargpadro"/>
    <w:uiPriority w:val="99"/>
    <w:semiHidden/>
    <w:rsid w:val="007D0B4F"/>
    <w:rPr>
      <w:color w:val="66666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9444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styleId="Hyperlink">
    <w:name w:val="Hyperlink"/>
    <w:basedOn w:val="Fontepargpadro"/>
    <w:uiPriority w:val="99"/>
    <w:unhideWhenUsed/>
    <w:rsid w:val="00340F7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40F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stavo.valdiviesso@unifal-mg.edu.br" TargetMode="External"/><Relationship Id="rId13" Type="http://schemas.openxmlformats.org/officeDocument/2006/relationships/hyperlink" Target="https://doi.org/10.5380/dma.v63i0.88929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acy.santos@sou.unifal-mg.edu.br" TargetMode="Externa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renata.rodriguez@unifal-mg.edu.br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2222</Words>
  <Characters>12003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cristiano poleto</dc:creator>
  <cp:lastModifiedBy>Lacy Santos</cp:lastModifiedBy>
  <cp:revision>3</cp:revision>
  <dcterms:created xsi:type="dcterms:W3CDTF">2026-08-11T12:24:00Z</dcterms:created>
  <dcterms:modified xsi:type="dcterms:W3CDTF">2026-08-11T12:28:00Z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