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EEBEB" w14:textId="77777777" w:rsidR="00E3782C" w:rsidRPr="005F70B0" w:rsidRDefault="00E3782C" w:rsidP="00AD22F1">
      <w:pPr>
        <w:pStyle w:val="Ttulo1"/>
        <w:tabs>
          <w:tab w:val="left" w:pos="709"/>
        </w:tabs>
        <w:rPr>
          <w:color w:val="000000"/>
          <w:sz w:val="24"/>
          <w:szCs w:val="24"/>
        </w:rPr>
      </w:pPr>
    </w:p>
    <w:p w14:paraId="657BC457" w14:textId="3190F575" w:rsidR="00E3782C" w:rsidRPr="00AD22F1" w:rsidRDefault="000E0C05" w:rsidP="00E3782C">
      <w:pPr>
        <w:pStyle w:val="Ttulo"/>
      </w:pPr>
      <w:r>
        <w:t xml:space="preserve">EDUCAÇÃO AMBIENTAL E USO DE AGROTÓXICOS: DESENVOLVIMENTO DE UM JOGO DIDÁTICO E DE UMA CARTILHA PEDAGÓGICA PARA </w:t>
      </w:r>
      <w:r w:rsidR="00B233A6">
        <w:t>CONSCIENTIZAÇÃO NA</w:t>
      </w:r>
      <w:r>
        <w:t xml:space="preserve"> EDUCAÇÃO BÁSICA</w:t>
      </w:r>
    </w:p>
    <w:p w14:paraId="58281A71" w14:textId="38E61564" w:rsidR="00E3782C" w:rsidRPr="005F70B0" w:rsidRDefault="00E3782C" w:rsidP="00E3782C">
      <w:pPr>
        <w:pStyle w:val="Ttulo1"/>
        <w:spacing w:before="251" w:line="242" w:lineRule="auto"/>
        <w:ind w:left="75" w:right="214"/>
        <w:jc w:val="center"/>
        <w:rPr>
          <w:sz w:val="24"/>
          <w:szCs w:val="24"/>
        </w:rPr>
      </w:pPr>
      <w:r w:rsidRPr="005F70B0">
        <w:rPr>
          <w:sz w:val="24"/>
          <w:szCs w:val="24"/>
          <w:vertAlign w:val="superscript"/>
        </w:rPr>
        <w:t>1</w:t>
      </w:r>
      <w:r w:rsidR="000E0C05">
        <w:rPr>
          <w:sz w:val="24"/>
          <w:szCs w:val="24"/>
        </w:rPr>
        <w:t>Kariel Antonio Giarolo</w:t>
      </w:r>
      <w:r w:rsidRPr="005F70B0">
        <w:rPr>
          <w:sz w:val="24"/>
          <w:szCs w:val="24"/>
        </w:rPr>
        <w:t>,</w:t>
      </w:r>
      <w:r w:rsidRPr="005F70B0">
        <w:rPr>
          <w:spacing w:val="-2"/>
          <w:sz w:val="24"/>
          <w:szCs w:val="24"/>
        </w:rPr>
        <w:t xml:space="preserve"> </w:t>
      </w:r>
      <w:r w:rsidRPr="005F70B0">
        <w:rPr>
          <w:sz w:val="24"/>
          <w:szCs w:val="24"/>
          <w:vertAlign w:val="superscript"/>
        </w:rPr>
        <w:t>2</w:t>
      </w:r>
      <w:r w:rsidR="008A52BD">
        <w:rPr>
          <w:sz w:val="24"/>
          <w:szCs w:val="24"/>
        </w:rPr>
        <w:t xml:space="preserve">Thainara Melo da Cruz </w:t>
      </w:r>
    </w:p>
    <w:p w14:paraId="158B3CEA" w14:textId="4F637D0A"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Pr="005F70B0">
        <w:rPr>
          <w:i/>
          <w:sz w:val="24"/>
          <w:szCs w:val="24"/>
        </w:rPr>
        <w:t>In</w:t>
      </w:r>
      <w:r w:rsidR="000E0C05">
        <w:rPr>
          <w:i/>
          <w:sz w:val="24"/>
          <w:szCs w:val="24"/>
        </w:rPr>
        <w:t>stituto Federal do Rio Grande do Norte</w:t>
      </w:r>
      <w:r w:rsidRPr="005F70B0">
        <w:rPr>
          <w:i/>
          <w:sz w:val="24"/>
          <w:szCs w:val="24"/>
        </w:rPr>
        <w:t>, e-mail:</w:t>
      </w:r>
      <w:r w:rsidRPr="005F70B0">
        <w:rPr>
          <w:i/>
          <w:spacing w:val="-4"/>
          <w:sz w:val="24"/>
          <w:szCs w:val="24"/>
        </w:rPr>
        <w:t xml:space="preserve"> </w:t>
      </w:r>
      <w:r w:rsidR="000E0C05">
        <w:rPr>
          <w:i/>
          <w:sz w:val="24"/>
          <w:szCs w:val="24"/>
        </w:rPr>
        <w:t>karielgiarolo@gmmail.com</w:t>
      </w:r>
      <w:r w:rsidRPr="005F70B0">
        <w:rPr>
          <w:i/>
          <w:sz w:val="24"/>
          <w:szCs w:val="24"/>
        </w:rPr>
        <w:t>;</w:t>
      </w:r>
      <w:r w:rsidRPr="005F70B0">
        <w:rPr>
          <w:i/>
          <w:spacing w:val="-3"/>
          <w:sz w:val="24"/>
          <w:szCs w:val="24"/>
        </w:rPr>
        <w:t xml:space="preserve"> </w:t>
      </w:r>
      <w:r w:rsidRPr="005F70B0">
        <w:rPr>
          <w:i/>
          <w:sz w:val="24"/>
          <w:szCs w:val="24"/>
          <w:vertAlign w:val="superscript"/>
        </w:rPr>
        <w:t>2</w:t>
      </w:r>
      <w:r w:rsidR="008A52BD" w:rsidRPr="008A52BD">
        <w:rPr>
          <w:i/>
          <w:sz w:val="24"/>
          <w:szCs w:val="24"/>
        </w:rPr>
        <w:t xml:space="preserve"> </w:t>
      </w:r>
      <w:r w:rsidR="008A52BD" w:rsidRPr="005F70B0">
        <w:rPr>
          <w:i/>
          <w:sz w:val="24"/>
          <w:szCs w:val="24"/>
        </w:rPr>
        <w:t>In</w:t>
      </w:r>
      <w:r w:rsidR="008A52BD">
        <w:rPr>
          <w:i/>
          <w:sz w:val="24"/>
          <w:szCs w:val="24"/>
        </w:rPr>
        <w:t>stituto Federal do Rio Grande do Norte</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364AB9" w:rsidRPr="00364AB9">
        <w:rPr>
          <w:i/>
          <w:spacing w:val="-3"/>
          <w:sz w:val="24"/>
          <w:szCs w:val="24"/>
        </w:rPr>
        <w:t>thainnaramelo@gmail.com</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4854FDF6" w:rsidR="00E3782C" w:rsidRDefault="008A52BD" w:rsidP="00E3782C">
      <w:pPr>
        <w:spacing w:line="228" w:lineRule="exact"/>
        <w:ind w:left="77" w:right="209"/>
        <w:jc w:val="right"/>
        <w:rPr>
          <w:b/>
          <w:bCs/>
          <w:i/>
          <w:spacing w:val="-2"/>
          <w:sz w:val="24"/>
          <w:szCs w:val="24"/>
        </w:rPr>
      </w:pPr>
      <w:r>
        <w:rPr>
          <w:b/>
          <w:bCs/>
          <w:i/>
          <w:spacing w:val="-2"/>
          <w:sz w:val="24"/>
          <w:szCs w:val="24"/>
        </w:rPr>
        <w:t>Educação Ambiental e Saúde</w:t>
      </w:r>
    </w:p>
    <w:p w14:paraId="125F6DD1" w14:textId="2DB464AA" w:rsidR="009C4B75" w:rsidRDefault="008A52BD" w:rsidP="00E3782C">
      <w:pPr>
        <w:spacing w:line="228" w:lineRule="exact"/>
        <w:ind w:left="77" w:right="209"/>
        <w:jc w:val="right"/>
        <w:rPr>
          <w:b/>
          <w:bCs/>
          <w:i/>
          <w:spacing w:val="-2"/>
          <w:sz w:val="24"/>
          <w:szCs w:val="24"/>
        </w:rPr>
      </w:pPr>
      <w:r>
        <w:rPr>
          <w:b/>
          <w:bCs/>
          <w:i/>
          <w:spacing w:val="-2"/>
          <w:sz w:val="24"/>
          <w:szCs w:val="24"/>
        </w:rPr>
        <w:t>Cultura, Arte e Comunicação Ambiental</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1AC35CEC" w14:textId="239F239E" w:rsidR="00374D22" w:rsidRPr="005F70B0" w:rsidRDefault="00374D22" w:rsidP="00E3782C">
      <w:pPr>
        <w:ind w:right="209"/>
        <w:jc w:val="both"/>
        <w:rPr>
          <w:iCs/>
          <w:sz w:val="24"/>
          <w:szCs w:val="24"/>
        </w:rPr>
      </w:pPr>
      <w:r w:rsidRPr="00374D22">
        <w:rPr>
          <w:iCs/>
          <w:sz w:val="24"/>
          <w:szCs w:val="24"/>
        </w:rPr>
        <w:t>Este trabalho tem como objetivo discutir problemas relacionados ao uso de agrotóxicos, com destaque para a agricultura familiar, por meio do desenvolvimento de um jogo didático e de uma cartilha pedagógica destinados à Educação Básica e à Educação do Campo. As ferramentas foram elaboradas como estratégias educativas para promover a conscientização acerca dos riscos associados ao uso e manuseio dessas substâncias, contribuindo para a formação de sujeitos críticos e responsáveis. A proposta fundamenta-se na compreensão de que jogos de cartas e de tabuleiro constituem recursos pedagógicos, ao introduzirem dinâmicas lúdicas que complementam o ensino tradicional e favorecem a construção de aprendizagens significativas. A pesquisa articula os pressupostos da Educação Ambiental e do Ensino de Ciências à discussão sobre o papel do lúdico, a partir das contribuições de Johan Huizinga. A metodologia consistiu no desenvolvimento de um jogo de cartas e de uma cartilha pedagógica, produtos de um T</w:t>
      </w:r>
      <w:r w:rsidR="00F15FB8">
        <w:rPr>
          <w:iCs/>
          <w:sz w:val="24"/>
          <w:szCs w:val="24"/>
        </w:rPr>
        <w:t>CC</w:t>
      </w:r>
      <w:r w:rsidRPr="00374D22">
        <w:rPr>
          <w:iCs/>
          <w:sz w:val="24"/>
          <w:szCs w:val="24"/>
        </w:rPr>
        <w:t xml:space="preserve"> da Especialização em Educação Ambiental e Geografia do Semiárido. </w:t>
      </w:r>
      <w:r w:rsidR="00F15FB8" w:rsidRPr="00F15FB8">
        <w:rPr>
          <w:iCs/>
          <w:sz w:val="24"/>
          <w:szCs w:val="24"/>
        </w:rPr>
        <w:t xml:space="preserve">A aplicação do jogo foi realizada com grupos de estudantes </w:t>
      </w:r>
      <w:r w:rsidR="00DF5D20">
        <w:rPr>
          <w:iCs/>
          <w:sz w:val="24"/>
          <w:szCs w:val="24"/>
        </w:rPr>
        <w:t xml:space="preserve">do Ensino Médio, </w:t>
      </w:r>
      <w:r w:rsidR="00F15FB8" w:rsidRPr="00F15FB8">
        <w:rPr>
          <w:iCs/>
          <w:sz w:val="24"/>
          <w:szCs w:val="24"/>
        </w:rPr>
        <w:t>participantes de projetos de extensão e pesquisa, cujos resultados evidenciaram uma experiência de aprendizagem dinâmica e imersiva, contribuindo para o fortalecimento do debate sobre questões ambientais e de saúde coletiva.</w:t>
      </w:r>
    </w:p>
    <w:p w14:paraId="762F9B08" w14:textId="77777777" w:rsidR="00E3782C" w:rsidRPr="005F70B0" w:rsidRDefault="00E3782C" w:rsidP="00E3782C">
      <w:pPr>
        <w:jc w:val="both"/>
        <w:rPr>
          <w:b/>
          <w:sz w:val="24"/>
          <w:szCs w:val="24"/>
        </w:rPr>
      </w:pPr>
    </w:p>
    <w:p w14:paraId="006243D2" w14:textId="2F31D1C4"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C73334">
        <w:rPr>
          <w:sz w:val="24"/>
          <w:szCs w:val="24"/>
        </w:rPr>
        <w:t xml:space="preserve">Agricultura familiar; Ludicidade; </w:t>
      </w:r>
      <w:r w:rsidR="0008060D">
        <w:rPr>
          <w:sz w:val="24"/>
          <w:szCs w:val="24"/>
        </w:rPr>
        <w:t>Produto educacional</w:t>
      </w:r>
      <w:r w:rsidR="00C73334">
        <w:rPr>
          <w:sz w:val="24"/>
          <w:szCs w:val="24"/>
        </w:rPr>
        <w:t>; Saúde coletiva; Aprendizagem significativa</w:t>
      </w:r>
      <w:r w:rsidRPr="005F70B0">
        <w:rPr>
          <w:spacing w:val="-2"/>
          <w:sz w:val="24"/>
          <w:szCs w:val="24"/>
        </w:rPr>
        <w:t>.</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B277DA">
      <w:pPr>
        <w:spacing w:line="360" w:lineRule="auto"/>
        <w:jc w:val="both"/>
        <w:rPr>
          <w:b/>
          <w:bCs/>
          <w:spacing w:val="-2"/>
          <w:sz w:val="28"/>
          <w:szCs w:val="28"/>
        </w:rPr>
      </w:pPr>
      <w:r w:rsidRPr="005F70B0">
        <w:rPr>
          <w:b/>
          <w:bCs/>
          <w:spacing w:val="-2"/>
          <w:sz w:val="28"/>
          <w:szCs w:val="28"/>
        </w:rPr>
        <w:t>Introdução</w:t>
      </w:r>
    </w:p>
    <w:p w14:paraId="0CDC3173" w14:textId="05D8561B" w:rsidR="008913F4" w:rsidRDefault="00E45AD3" w:rsidP="00B277DA">
      <w:pPr>
        <w:pStyle w:val="Corpodetexto"/>
        <w:spacing w:before="1" w:line="360" w:lineRule="auto"/>
        <w:ind w:firstLine="720"/>
        <w:jc w:val="both"/>
        <w:rPr>
          <w:sz w:val="24"/>
          <w:szCs w:val="24"/>
        </w:rPr>
      </w:pPr>
      <w:r w:rsidRPr="00E45AD3">
        <w:rPr>
          <w:sz w:val="24"/>
          <w:szCs w:val="24"/>
        </w:rPr>
        <w:t>O uso de agrotóxicos na agricultura familiar tem se mostrado um tema de crescente importância, especialmente diante dos desafios relacionados à sustentabilidade e à saúde pública. Discutir formas de ampliar a conscientização sobre os riscos dessas substâncias é essencial, e a educação surge como uma ferramenta estratégica nesse processo. Ao inserir temas como esses no contexto escolar, é possível sensibilizar as novas gerações para práticas agrícolas mais seguras e ambientalmente responsáveis, promovendo uma reflexão necessária sobre o papel da agricultura familiar na sociedade contemporânea.</w:t>
      </w:r>
      <w:r w:rsidR="00DB7A6E">
        <w:rPr>
          <w:sz w:val="24"/>
          <w:szCs w:val="24"/>
        </w:rPr>
        <w:t xml:space="preserve"> </w:t>
      </w:r>
    </w:p>
    <w:p w14:paraId="777B8CB4" w14:textId="05EAA929" w:rsidR="00DB7A6E" w:rsidRDefault="00DB7A6E" w:rsidP="009C4B75">
      <w:pPr>
        <w:pStyle w:val="Corpodetexto"/>
        <w:spacing w:before="1" w:line="360" w:lineRule="auto"/>
        <w:ind w:firstLine="720"/>
        <w:jc w:val="both"/>
        <w:rPr>
          <w:sz w:val="24"/>
          <w:szCs w:val="24"/>
        </w:rPr>
      </w:pPr>
      <w:r w:rsidRPr="00DB7A6E">
        <w:rPr>
          <w:sz w:val="24"/>
          <w:szCs w:val="24"/>
        </w:rPr>
        <w:t xml:space="preserve">A agricultura é uma das atividades econômicas mais importantes para o </w:t>
      </w:r>
      <w:r w:rsidRPr="00DB7A6E">
        <w:rPr>
          <w:sz w:val="24"/>
          <w:szCs w:val="24"/>
        </w:rPr>
        <w:lastRenderedPageBreak/>
        <w:t>desenvolvimento do Brasil, sendo a agricultura familiar fundamental para a segurança alimentar e nutricional do país, incentivando economias locais e o desenvolvimento rural sustentável através de vínculos familiares com a terra e a produção. No entanto, o crescimento da produção de alimentos, impulsionado pela Revolução Verde, trouxe o uso intensivo de agrotóxicos, especialmente no Brasil, que se tornou o maior consumidor dessas substâncias no mundo. Embora os agrotóxicos sejam utilizados para controlar pragas e aumentar a produtividade, seu uso indiscriminado tem gerado sérias preocupações em relação à saúde pública e ao meio ambiente (SILVA, et al., 2020; BITTENCOURT, 2020; PIGNATI et al., 2017).</w:t>
      </w:r>
      <w:r w:rsidR="00692868">
        <w:rPr>
          <w:sz w:val="24"/>
          <w:szCs w:val="24"/>
        </w:rPr>
        <w:t xml:space="preserve"> </w:t>
      </w:r>
      <w:r w:rsidRPr="00DB7A6E">
        <w:rPr>
          <w:sz w:val="24"/>
          <w:szCs w:val="24"/>
        </w:rPr>
        <w:t>O uso de agrotóxicos na agricultura familiar se apresenta como um problema significativo, especialmente devido ao desconhecimento por parte dos agricultores sobre os riscos associados. Muitos agricultores familiares com baixa escolaridade enfrentam dificuldades em compreender os perigos do manuseio inadequado dessas substâncias, o que os expõe a riscos de saúde, além de contaminar o meio ambiente.</w:t>
      </w:r>
    </w:p>
    <w:p w14:paraId="1F254A8E" w14:textId="04B58D31" w:rsidR="00596BC0" w:rsidRDefault="00DB7A6E" w:rsidP="009C4B75">
      <w:pPr>
        <w:pStyle w:val="Corpodetexto"/>
        <w:spacing w:before="1" w:line="360" w:lineRule="auto"/>
        <w:ind w:firstLine="720"/>
        <w:jc w:val="both"/>
        <w:rPr>
          <w:sz w:val="24"/>
          <w:szCs w:val="24"/>
        </w:rPr>
      </w:pPr>
      <w:r w:rsidRPr="00DB7A6E">
        <w:rPr>
          <w:sz w:val="24"/>
          <w:szCs w:val="24"/>
        </w:rPr>
        <w:t>Nesse contexto, a educação do campo assume um papel essencial ao considerar as especificidades da população rural e suas relações com o ambiente, integrando saberes locais e conhecimentos técnicos para construir um aprendizado significativo. A busca por metodologias de ensino alternativas ao tradicional modelo de ensino bancário,  não crítico e voltado apenas ao acúmulo de informações como ressalta Freire (201</w:t>
      </w:r>
      <w:r w:rsidR="00BE2652">
        <w:rPr>
          <w:sz w:val="24"/>
          <w:szCs w:val="24"/>
        </w:rPr>
        <w:t>9</w:t>
      </w:r>
      <w:r w:rsidRPr="00DB7A6E">
        <w:rPr>
          <w:sz w:val="24"/>
          <w:szCs w:val="24"/>
        </w:rPr>
        <w:t>), é um dos maiores desafios dos educadores contemporâneos.  </w:t>
      </w:r>
      <w:r w:rsidR="001766ED">
        <w:rPr>
          <w:sz w:val="24"/>
          <w:szCs w:val="24"/>
        </w:rPr>
        <w:t>Assim</w:t>
      </w:r>
      <w:r w:rsidRPr="00DB7A6E">
        <w:rPr>
          <w:sz w:val="24"/>
          <w:szCs w:val="24"/>
        </w:rPr>
        <w:t xml:space="preserve">, a introdução da dimensão </w:t>
      </w:r>
      <w:r w:rsidR="00274C24">
        <w:rPr>
          <w:sz w:val="24"/>
          <w:szCs w:val="24"/>
        </w:rPr>
        <w:t>lúdica</w:t>
      </w:r>
      <w:r w:rsidRPr="00DB7A6E">
        <w:rPr>
          <w:sz w:val="24"/>
          <w:szCs w:val="24"/>
        </w:rPr>
        <w:t xml:space="preserve">, tão comum na educação de crianças, pode ser pensada como ferramenta de apoio em situações específicas da educação de alunos em etapas variadas, seja no Ensino Médio ou nas Séries Iniciais. </w:t>
      </w:r>
    </w:p>
    <w:p w14:paraId="4191873F" w14:textId="6D2882B0" w:rsidR="00DB7A6E" w:rsidRDefault="00DB7A6E" w:rsidP="009C4B75">
      <w:pPr>
        <w:pStyle w:val="Corpodetexto"/>
        <w:spacing w:before="1" w:line="360" w:lineRule="auto"/>
        <w:ind w:firstLine="720"/>
        <w:jc w:val="both"/>
        <w:rPr>
          <w:sz w:val="24"/>
          <w:szCs w:val="24"/>
        </w:rPr>
      </w:pPr>
      <w:r w:rsidRPr="00DB7A6E">
        <w:rPr>
          <w:sz w:val="24"/>
          <w:szCs w:val="24"/>
        </w:rPr>
        <w:t xml:space="preserve">O uso do lúdico, compreendido enquanto uma atividade de produzir engajamento, abstração, criatividade, prazer e divertimento nos participantes, para fins didáticos, além de desenvolver a criatividade e potencialidades cognitivas, também permite explorar a interdisciplinaridade, tão importante para uma educação libertadora. </w:t>
      </w:r>
      <w:r w:rsidR="001766ED">
        <w:rPr>
          <w:sz w:val="24"/>
          <w:szCs w:val="24"/>
        </w:rPr>
        <w:t>Comisso</w:t>
      </w:r>
      <w:r w:rsidRPr="00DB7A6E">
        <w:rPr>
          <w:sz w:val="24"/>
          <w:szCs w:val="24"/>
        </w:rPr>
        <w:t xml:space="preserve">, propõe-se a inserção de jogos de </w:t>
      </w:r>
      <w:r w:rsidR="00596BC0">
        <w:rPr>
          <w:sz w:val="24"/>
          <w:szCs w:val="24"/>
        </w:rPr>
        <w:t>cartas</w:t>
      </w:r>
      <w:r w:rsidRPr="00DB7A6E">
        <w:rPr>
          <w:sz w:val="24"/>
          <w:szCs w:val="24"/>
        </w:rPr>
        <w:t xml:space="preserve"> e suas variantes como uma alternativa metodológica para pensar e discutir temáticas de Educação Ambiental. A Educação Ambiental consiste em processo de percepção e compreensão crítica sobre o meio ambiente, desde a reflexão sobre os impactos das ações humanas na natureza, bem como a sugestão de atitudes para mitigar ou eliminar tais impactos para as gerações futuras</w:t>
      </w:r>
      <w:r w:rsidR="00596BC0">
        <w:rPr>
          <w:sz w:val="24"/>
          <w:szCs w:val="24"/>
        </w:rPr>
        <w:t>, no sentido de uma Ética da Responsabilidade de Hans Jonas (1979)</w:t>
      </w:r>
      <w:r w:rsidRPr="00DB7A6E">
        <w:rPr>
          <w:sz w:val="24"/>
          <w:szCs w:val="24"/>
        </w:rPr>
        <w:t>. </w:t>
      </w:r>
    </w:p>
    <w:p w14:paraId="16FDABA8" w14:textId="77777777" w:rsidR="009C4B75" w:rsidRPr="005F70B0" w:rsidRDefault="009C4B75" w:rsidP="009C4B75">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lastRenderedPageBreak/>
        <w:t>Metodologia</w:t>
      </w:r>
    </w:p>
    <w:p w14:paraId="2B967E17" w14:textId="30F4C92D" w:rsidR="00876A50" w:rsidRDefault="00876A50" w:rsidP="009C4B75">
      <w:pPr>
        <w:pStyle w:val="Corpodetexto"/>
        <w:spacing w:before="1" w:line="360" w:lineRule="auto"/>
        <w:ind w:firstLine="720"/>
        <w:jc w:val="both"/>
        <w:rPr>
          <w:sz w:val="24"/>
          <w:szCs w:val="24"/>
        </w:rPr>
      </w:pPr>
      <w:r w:rsidRPr="00876A50">
        <w:rPr>
          <w:sz w:val="24"/>
          <w:szCs w:val="24"/>
        </w:rPr>
        <w:t xml:space="preserve">A metodologia utilizada no trabalho </w:t>
      </w:r>
      <w:r>
        <w:rPr>
          <w:sz w:val="24"/>
          <w:szCs w:val="24"/>
        </w:rPr>
        <w:t>é de cunho qualit</w:t>
      </w:r>
      <w:r w:rsidR="004F7022">
        <w:rPr>
          <w:sz w:val="24"/>
          <w:szCs w:val="24"/>
        </w:rPr>
        <w:t xml:space="preserve">tativa, uma vez que se debruça sobre a compreensão dos fenômenos e dos problemas associados à utilização de agrotóxicos pela agricultura familiar. Além disso, a pesquisa envolve uma natureza aplicada, posto que a criação de um material lúdico e didático foca na compreensão de processos de aprendizagem, na mediação pedagógica e na problematização acerca das transformações da realidade social e cultural. A pesquisa não visou produzir apenas um novo conteúdo teórico, mas produzir um material que pode ser apllicado e replicado por educadores. </w:t>
      </w:r>
    </w:p>
    <w:p w14:paraId="3F5DC9B2" w14:textId="6A6C5541" w:rsidR="00876A50" w:rsidRDefault="004F7022" w:rsidP="009C4B75">
      <w:pPr>
        <w:pStyle w:val="Corpodetexto"/>
        <w:spacing w:before="1" w:line="360" w:lineRule="auto"/>
        <w:ind w:firstLine="720"/>
        <w:jc w:val="both"/>
        <w:rPr>
          <w:sz w:val="24"/>
          <w:szCs w:val="24"/>
        </w:rPr>
      </w:pPr>
      <w:r>
        <w:rPr>
          <w:sz w:val="24"/>
          <w:szCs w:val="24"/>
        </w:rPr>
        <w:t xml:space="preserve">O desenvolvimento da pesquisa </w:t>
      </w:r>
      <w:r w:rsidR="00876A50" w:rsidRPr="00876A50">
        <w:rPr>
          <w:sz w:val="24"/>
          <w:szCs w:val="24"/>
        </w:rPr>
        <w:t xml:space="preserve">constitui-se nas seguintes etapas: levantamento bibliográfico; discussão teórica sobre os conceitos de agricultura familiar, agrotóxicos e uso da dimensão lúdica na educação; </w:t>
      </w:r>
      <w:r w:rsidR="00876A50">
        <w:rPr>
          <w:sz w:val="24"/>
          <w:szCs w:val="24"/>
        </w:rPr>
        <w:t xml:space="preserve">desenvolvimento de um jogo de cartas sobre uso de agrotóxicos e agricultura familiar; </w:t>
      </w:r>
      <w:r w:rsidR="00876A50" w:rsidRPr="00876A50">
        <w:rPr>
          <w:sz w:val="24"/>
          <w:szCs w:val="24"/>
        </w:rPr>
        <w:t>elaboração da cartilha/produto educacional</w:t>
      </w:r>
      <w:r w:rsidR="00C73334">
        <w:rPr>
          <w:sz w:val="24"/>
          <w:szCs w:val="24"/>
        </w:rPr>
        <w:t>; aplicação com grupos selecionados de estudantes</w:t>
      </w:r>
      <w:r w:rsidR="00876A50" w:rsidRPr="00876A50">
        <w:rPr>
          <w:sz w:val="24"/>
          <w:szCs w:val="24"/>
        </w:rPr>
        <w:t xml:space="preserve"> e construção do presente </w:t>
      </w:r>
      <w:r w:rsidR="00274C24">
        <w:rPr>
          <w:sz w:val="24"/>
          <w:szCs w:val="24"/>
        </w:rPr>
        <w:t>texto</w:t>
      </w:r>
      <w:r w:rsidR="00876A50" w:rsidRPr="00876A50">
        <w:rPr>
          <w:sz w:val="24"/>
          <w:szCs w:val="24"/>
        </w:rPr>
        <w:t xml:space="preserve"> acerca da temática abrangida.</w:t>
      </w:r>
    </w:p>
    <w:p w14:paraId="433BD15C" w14:textId="1E0DCC0F" w:rsidR="004F7022" w:rsidRDefault="004F7022" w:rsidP="009C4B75">
      <w:pPr>
        <w:pStyle w:val="Corpodetexto"/>
        <w:spacing w:before="1" w:line="360" w:lineRule="auto"/>
        <w:ind w:firstLine="720"/>
        <w:jc w:val="both"/>
        <w:rPr>
          <w:sz w:val="24"/>
          <w:szCs w:val="24"/>
        </w:rPr>
      </w:pPr>
      <w:r w:rsidRPr="004F7022">
        <w:rPr>
          <w:sz w:val="24"/>
          <w:szCs w:val="24"/>
        </w:rPr>
        <w:t>Na primeira fase do trabalho, a pesquisa consistiu em uma busca bibliográfica, visando ampliar a base teórica para o desenvolvimento e diálogo nas atividades de análise e discussões posteriores. Na segunda fase, a pesquisa desenvolveu-se essencialmente através da análise bibliográfica da literatura relevante sobre o tema</w:t>
      </w:r>
      <w:r w:rsidR="00881B68">
        <w:rPr>
          <w:sz w:val="24"/>
          <w:szCs w:val="24"/>
        </w:rPr>
        <w:t xml:space="preserve">. </w:t>
      </w:r>
      <w:r>
        <w:rPr>
          <w:sz w:val="24"/>
          <w:szCs w:val="24"/>
        </w:rPr>
        <w:t xml:space="preserve">A terceira fase da pesquisa </w:t>
      </w:r>
      <w:r w:rsidR="0090268A">
        <w:rPr>
          <w:sz w:val="24"/>
          <w:szCs w:val="24"/>
        </w:rPr>
        <w:t xml:space="preserve">focou na criação do jogo de cartas intitulado “Raízes Sustentáveis da Agricultura”. </w:t>
      </w:r>
      <w:r w:rsidR="0055750D">
        <w:rPr>
          <w:sz w:val="24"/>
          <w:szCs w:val="24"/>
        </w:rPr>
        <w:t>O jogo conteém 56 cartas que foram criadas com ferramentas de edição de im</w:t>
      </w:r>
      <w:r w:rsidR="002102F4">
        <w:rPr>
          <w:sz w:val="24"/>
          <w:szCs w:val="24"/>
        </w:rPr>
        <w:t>agem</w:t>
      </w:r>
      <w:r w:rsidR="0055750D">
        <w:rPr>
          <w:sz w:val="24"/>
          <w:szCs w:val="24"/>
        </w:rPr>
        <w:t xml:space="preserve">. As mecânicas presentes no jogo envolvem Colecionar Conjuntos, Force sua Sorte, Eliminação de Jogadores, Gerenciamento de Mãos, </w:t>
      </w:r>
      <w:r w:rsidR="00063966">
        <w:rPr>
          <w:sz w:val="24"/>
          <w:szCs w:val="24"/>
        </w:rPr>
        <w:t>entre outras</w:t>
      </w:r>
      <w:r w:rsidR="0055750D">
        <w:rPr>
          <w:sz w:val="24"/>
          <w:szCs w:val="24"/>
        </w:rPr>
        <w:t xml:space="preserve">. Mecâncias de jogo são conjuntos de regras e sistemas que fazem com que o jogo funcione. </w:t>
      </w:r>
      <w:r w:rsidRPr="004F7022">
        <w:rPr>
          <w:sz w:val="24"/>
          <w:szCs w:val="24"/>
        </w:rPr>
        <w:t xml:space="preserve">A seguir, na </w:t>
      </w:r>
      <w:r>
        <w:rPr>
          <w:sz w:val="24"/>
          <w:szCs w:val="24"/>
        </w:rPr>
        <w:t>quarta</w:t>
      </w:r>
      <w:r w:rsidRPr="004F7022">
        <w:rPr>
          <w:sz w:val="24"/>
          <w:szCs w:val="24"/>
        </w:rPr>
        <w:t xml:space="preserve"> fase da pesquisa, foi elaborada a cartilha, intitulada “Aprendendo sobre Agricultura e Agrotóxicos”, para acompanhar o jogo de cartas</w:t>
      </w:r>
      <w:r w:rsidR="0055750D">
        <w:rPr>
          <w:sz w:val="24"/>
          <w:szCs w:val="24"/>
        </w:rPr>
        <w:t xml:space="preserve">. </w:t>
      </w:r>
      <w:r w:rsidRPr="004F7022">
        <w:rPr>
          <w:sz w:val="24"/>
          <w:szCs w:val="24"/>
        </w:rPr>
        <w:t>A cartilha detalha os conceitos principais que estão presentes nas cartas do jogo e ser</w:t>
      </w:r>
      <w:r w:rsidR="0055750D">
        <w:rPr>
          <w:sz w:val="24"/>
          <w:szCs w:val="24"/>
        </w:rPr>
        <w:t>ve</w:t>
      </w:r>
      <w:r w:rsidRPr="004F7022">
        <w:rPr>
          <w:sz w:val="24"/>
          <w:szCs w:val="24"/>
        </w:rPr>
        <w:t xml:space="preserve"> de apoio para que professores possam utilizá-la como ferramenta pedagógica em sala de aula e discutir Educação Ambiental. Além disso, a cartilha traz um questionário que será aplicado previamente à problematização e conceituação dos tópicos da cartilha.</w:t>
      </w:r>
      <w:r w:rsidR="00C73334">
        <w:rPr>
          <w:sz w:val="24"/>
          <w:szCs w:val="24"/>
        </w:rPr>
        <w:t xml:space="preserve"> Por fim, o jogo e a cartilha foram aplicadas </w:t>
      </w:r>
      <w:r w:rsidR="00FB6405">
        <w:rPr>
          <w:sz w:val="24"/>
          <w:szCs w:val="24"/>
        </w:rPr>
        <w:t>e</w:t>
      </w:r>
      <w:r w:rsidR="00C73334">
        <w:rPr>
          <w:sz w:val="24"/>
          <w:szCs w:val="24"/>
        </w:rPr>
        <w:t>m grupos de</w:t>
      </w:r>
      <w:r w:rsidR="00FB6405">
        <w:rPr>
          <w:sz w:val="24"/>
          <w:szCs w:val="24"/>
        </w:rPr>
        <w:t xml:space="preserve"> sete e oito</w:t>
      </w:r>
      <w:r w:rsidR="00C73334">
        <w:rPr>
          <w:sz w:val="24"/>
          <w:szCs w:val="24"/>
        </w:rPr>
        <w:t xml:space="preserve"> estudantes que fizeram parte </w:t>
      </w:r>
      <w:r w:rsidR="00FB6405">
        <w:rPr>
          <w:sz w:val="24"/>
          <w:szCs w:val="24"/>
        </w:rPr>
        <w:t>de projetos de pesquisa e extensão desenvolvidos institucionalmente. Durante as aplicações foram discutidos e trabalhados teoricamente os conceitos abordados no jogo e na cartilha.</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1503EFAE" w14:textId="40CD17A3" w:rsidR="001F1499" w:rsidRDefault="001F1499" w:rsidP="009C4B75">
      <w:pPr>
        <w:pStyle w:val="Corpodetexto"/>
        <w:spacing w:before="1" w:line="360" w:lineRule="auto"/>
        <w:ind w:firstLine="720"/>
        <w:jc w:val="both"/>
        <w:rPr>
          <w:sz w:val="24"/>
          <w:szCs w:val="24"/>
        </w:rPr>
      </w:pPr>
      <w:r w:rsidRPr="001F1499">
        <w:rPr>
          <w:sz w:val="24"/>
          <w:szCs w:val="24"/>
        </w:rPr>
        <w:lastRenderedPageBreak/>
        <w:t xml:space="preserve">O material </w:t>
      </w:r>
      <w:r w:rsidR="000E1BE8">
        <w:rPr>
          <w:sz w:val="24"/>
          <w:szCs w:val="24"/>
        </w:rPr>
        <w:t xml:space="preserve">desenvolvido </w:t>
      </w:r>
      <w:r w:rsidRPr="001F1499">
        <w:rPr>
          <w:sz w:val="24"/>
          <w:szCs w:val="24"/>
        </w:rPr>
        <w:t>aborda conceitos fundamentais relacionados à agricultura familiar, ao uso de agrotóxicos e à agroecologia, proporcionando aos estudantes uma compreensão crítica sobre os impactos socioambientais dessas práticas.</w:t>
      </w:r>
      <w:r>
        <w:rPr>
          <w:sz w:val="24"/>
          <w:szCs w:val="24"/>
        </w:rPr>
        <w:t xml:space="preserve"> </w:t>
      </w:r>
      <w:r w:rsidR="000E1BE8" w:rsidRPr="001F1499">
        <w:rPr>
          <w:sz w:val="24"/>
          <w:szCs w:val="24"/>
        </w:rPr>
        <w:t>A cartilha "Aprendendo sobre Agricultura e Agrotóxicos"</w:t>
      </w:r>
      <w:r w:rsidR="000E1BE8">
        <w:rPr>
          <w:sz w:val="24"/>
          <w:szCs w:val="24"/>
        </w:rPr>
        <w:t xml:space="preserve"> </w:t>
      </w:r>
      <w:r w:rsidR="000E1BE8" w:rsidRPr="001F1499">
        <w:rPr>
          <w:sz w:val="24"/>
          <w:szCs w:val="24"/>
        </w:rPr>
        <w:t>foi desenvolvida como um material pedagógico complementar ao jogo "Raízes Sustentáveis da Agricultura", com o objetivo de promover a Educação Ambiental de forma lúdica e acessível, especialmente no ambiente escolar.</w:t>
      </w:r>
      <w:r w:rsidR="000E1BE8">
        <w:rPr>
          <w:sz w:val="24"/>
          <w:szCs w:val="24"/>
        </w:rPr>
        <w:t xml:space="preserve"> </w:t>
      </w:r>
      <w:r w:rsidRPr="001F1499">
        <w:rPr>
          <w:sz w:val="24"/>
          <w:szCs w:val="24"/>
        </w:rPr>
        <w:t>Ao unir a cartilha ao jogo de cartas, busca-se tornar o aprendizado mais dinâmico, incentivando o debate, a reflexão e a construção coletiva do conhecimento. A cartilha explica detalhadamente os termos presentes nas cartas, oferecendo uma base teórica essencial para que os alunos possam relacionar os desafios do campo com questões ambientais e sociais mais amplas.</w:t>
      </w:r>
      <w:r w:rsidR="00A810CC">
        <w:rPr>
          <w:sz w:val="24"/>
          <w:szCs w:val="24"/>
        </w:rPr>
        <w:t xml:space="preserve"> As cartas do jogo e a cartilha podem ser visualizadas a seguir:</w:t>
      </w:r>
    </w:p>
    <w:p w14:paraId="73458ED8" w14:textId="77777777" w:rsidR="00A810CC" w:rsidRDefault="00A810CC" w:rsidP="009C4B75">
      <w:pPr>
        <w:pStyle w:val="Corpodetexto"/>
        <w:spacing w:before="1" w:line="360" w:lineRule="auto"/>
        <w:ind w:firstLine="720"/>
        <w:jc w:val="both"/>
        <w:rPr>
          <w:sz w:val="24"/>
          <w:szCs w:val="24"/>
        </w:rPr>
      </w:pPr>
    </w:p>
    <w:p w14:paraId="0E2F716A" w14:textId="16FFD666" w:rsidR="00A810CC" w:rsidRPr="00A810CC" w:rsidRDefault="00A810CC" w:rsidP="00A810CC">
      <w:pPr>
        <w:pStyle w:val="Corpodetexto"/>
        <w:spacing w:before="1" w:line="360" w:lineRule="auto"/>
        <w:ind w:firstLine="720"/>
        <w:jc w:val="center"/>
        <w:rPr>
          <w:b/>
          <w:bCs/>
        </w:rPr>
      </w:pPr>
      <w:r>
        <w:rPr>
          <w:b/>
          <w:bCs/>
        </w:rPr>
        <w:t>Figura 1</w:t>
      </w:r>
      <w:r w:rsidR="003877BB">
        <w:rPr>
          <w:b/>
          <w:bCs/>
        </w:rPr>
        <w:t xml:space="preserve">. Exemplos de cartas do jogo </w:t>
      </w:r>
    </w:p>
    <w:p w14:paraId="79A02BBA" w14:textId="7A1F2A74" w:rsidR="00A810CC" w:rsidRDefault="00A810CC" w:rsidP="00A810CC">
      <w:pPr>
        <w:pStyle w:val="Corpodetexto"/>
        <w:spacing w:before="1" w:line="360" w:lineRule="auto"/>
        <w:ind w:firstLine="720"/>
        <w:jc w:val="center"/>
        <w:rPr>
          <w:sz w:val="24"/>
          <w:szCs w:val="24"/>
        </w:rPr>
      </w:pPr>
      <w:r>
        <w:rPr>
          <w:noProof/>
          <w:sz w:val="24"/>
          <w:szCs w:val="24"/>
        </w:rPr>
        <w:drawing>
          <wp:inline distT="0" distB="0" distL="0" distR="0" wp14:anchorId="18AC8B2B" wp14:editId="283349B2">
            <wp:extent cx="2152650" cy="1656413"/>
            <wp:effectExtent l="0" t="0" r="0" b="1270"/>
            <wp:docPr id="81950692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06924" name="Imagem 8195069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3673" cy="1664895"/>
                    </a:xfrm>
                    <a:prstGeom prst="rect">
                      <a:avLst/>
                    </a:prstGeom>
                  </pic:spPr>
                </pic:pic>
              </a:graphicData>
            </a:graphic>
          </wp:inline>
        </w:drawing>
      </w:r>
    </w:p>
    <w:p w14:paraId="5DF58458" w14:textId="2F2596A1" w:rsidR="00A810CC" w:rsidRDefault="00FB3E61" w:rsidP="00FB3E61">
      <w:pPr>
        <w:pStyle w:val="Corpodetexto"/>
        <w:spacing w:before="1" w:line="360" w:lineRule="auto"/>
        <w:ind w:firstLine="720"/>
      </w:pPr>
      <w:r>
        <w:t xml:space="preserve">                                                   Fonte: Acervo Pessoal</w:t>
      </w:r>
    </w:p>
    <w:p w14:paraId="04DE857F" w14:textId="77777777" w:rsidR="00FB3E61" w:rsidRPr="00FB3E61" w:rsidRDefault="00FB3E61" w:rsidP="00FB3E61">
      <w:pPr>
        <w:pStyle w:val="Corpodetexto"/>
        <w:spacing w:before="1" w:line="360" w:lineRule="auto"/>
        <w:ind w:firstLine="720"/>
        <w:jc w:val="center"/>
      </w:pPr>
    </w:p>
    <w:p w14:paraId="347FB15D" w14:textId="1EB3966C" w:rsidR="003877BB" w:rsidRPr="003877BB" w:rsidRDefault="003877BB" w:rsidP="00A810CC">
      <w:pPr>
        <w:pStyle w:val="Corpodetexto"/>
        <w:spacing w:before="1" w:line="360" w:lineRule="auto"/>
        <w:ind w:firstLine="720"/>
        <w:jc w:val="center"/>
        <w:rPr>
          <w:b/>
          <w:bCs/>
        </w:rPr>
      </w:pPr>
      <w:r>
        <w:rPr>
          <w:b/>
          <w:bCs/>
        </w:rPr>
        <w:t>Figura 2. Cartilha pedagógica</w:t>
      </w:r>
    </w:p>
    <w:p w14:paraId="5601966E" w14:textId="6D45C771" w:rsidR="00A810CC" w:rsidRDefault="00A810CC" w:rsidP="00A810CC">
      <w:pPr>
        <w:pStyle w:val="Corpodetexto"/>
        <w:spacing w:before="1" w:line="360" w:lineRule="auto"/>
        <w:ind w:firstLine="720"/>
        <w:jc w:val="center"/>
        <w:rPr>
          <w:sz w:val="24"/>
          <w:szCs w:val="24"/>
        </w:rPr>
      </w:pPr>
      <w:r>
        <w:rPr>
          <w:noProof/>
          <w:sz w:val="24"/>
          <w:szCs w:val="24"/>
        </w:rPr>
        <w:drawing>
          <wp:inline distT="0" distB="0" distL="0" distR="0" wp14:anchorId="290137A2" wp14:editId="769B8975">
            <wp:extent cx="2152650" cy="1822458"/>
            <wp:effectExtent l="0" t="0" r="0" b="6350"/>
            <wp:docPr id="30513345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33454" name="Imagem 3051334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7684" cy="1835186"/>
                    </a:xfrm>
                    <a:prstGeom prst="rect">
                      <a:avLst/>
                    </a:prstGeom>
                  </pic:spPr>
                </pic:pic>
              </a:graphicData>
            </a:graphic>
          </wp:inline>
        </w:drawing>
      </w:r>
    </w:p>
    <w:p w14:paraId="622C6B84" w14:textId="37B6B070" w:rsidR="00FB3E61" w:rsidRPr="00FB3E61" w:rsidRDefault="00FB3E61" w:rsidP="00FB3E61">
      <w:pPr>
        <w:pStyle w:val="Corpodetexto"/>
        <w:spacing w:before="1" w:line="360" w:lineRule="auto"/>
        <w:ind w:firstLine="720"/>
      </w:pPr>
      <w:r>
        <w:t xml:space="preserve">                                                   Fonte: Acervo Pessoal</w:t>
      </w:r>
    </w:p>
    <w:p w14:paraId="093FA59A" w14:textId="77777777" w:rsidR="00A810CC" w:rsidRDefault="00A810CC" w:rsidP="00A810CC">
      <w:pPr>
        <w:pStyle w:val="Corpodetexto"/>
        <w:spacing w:before="1" w:line="360" w:lineRule="auto"/>
        <w:ind w:firstLine="720"/>
        <w:jc w:val="center"/>
        <w:rPr>
          <w:sz w:val="24"/>
          <w:szCs w:val="24"/>
        </w:rPr>
      </w:pPr>
    </w:p>
    <w:p w14:paraId="58551BEE" w14:textId="6FF5E0CD" w:rsidR="001F1499" w:rsidRDefault="001F1499" w:rsidP="009C4B75">
      <w:pPr>
        <w:pStyle w:val="Corpodetexto"/>
        <w:spacing w:before="1" w:line="360" w:lineRule="auto"/>
        <w:ind w:firstLine="720"/>
        <w:jc w:val="both"/>
        <w:rPr>
          <w:sz w:val="24"/>
          <w:szCs w:val="24"/>
        </w:rPr>
      </w:pPr>
      <w:r w:rsidRPr="001F1499">
        <w:rPr>
          <w:sz w:val="24"/>
          <w:szCs w:val="24"/>
        </w:rPr>
        <w:t xml:space="preserve">A Educação Ambiental no ambiente escolar desempenha um papel crucial na formação de uma consciência crítica sobre os impactos das práticas agrícolas no meio </w:t>
      </w:r>
      <w:r w:rsidRPr="001F1499">
        <w:rPr>
          <w:sz w:val="24"/>
          <w:szCs w:val="24"/>
        </w:rPr>
        <w:lastRenderedPageBreak/>
        <w:t>ambiente e na saúde humana. Ao proporcionar um material acessível e interativo, a cartilha estimula o protagonismo estudantil e promove o aprendizado significativo.</w:t>
      </w:r>
      <w:r w:rsidR="000E1BE8">
        <w:rPr>
          <w:sz w:val="24"/>
          <w:szCs w:val="24"/>
        </w:rPr>
        <w:t xml:space="preserve"> </w:t>
      </w:r>
      <w:r w:rsidRPr="001F1499">
        <w:rPr>
          <w:sz w:val="24"/>
          <w:szCs w:val="24"/>
        </w:rPr>
        <w:t>Granier e Guimarães (202</w:t>
      </w:r>
      <w:r w:rsidR="00BE2652">
        <w:rPr>
          <w:sz w:val="24"/>
          <w:szCs w:val="24"/>
        </w:rPr>
        <w:t>2</w:t>
      </w:r>
      <w:r w:rsidRPr="001F1499">
        <w:rPr>
          <w:sz w:val="24"/>
          <w:szCs w:val="24"/>
        </w:rPr>
        <w:t xml:space="preserve">) destacam que a "ComVivência Pedagógica" é uma abordagem teórico-metodológica que incorpora as concepções educacionais de Paulo Freire, enfatizando a importância da </w:t>
      </w:r>
      <w:r w:rsidRPr="000E1BE8">
        <w:rPr>
          <w:i/>
          <w:iCs/>
          <w:sz w:val="24"/>
          <w:szCs w:val="24"/>
        </w:rPr>
        <w:t>práxis</w:t>
      </w:r>
      <w:r w:rsidRPr="001F1499">
        <w:rPr>
          <w:sz w:val="24"/>
          <w:szCs w:val="24"/>
        </w:rPr>
        <w:t xml:space="preserve"> e da reflexão crítica na formação de educadores ambientais. </w:t>
      </w:r>
    </w:p>
    <w:p w14:paraId="6C543C09" w14:textId="080CE193" w:rsidR="001F1499" w:rsidRDefault="001F1499" w:rsidP="009C4B75">
      <w:pPr>
        <w:pStyle w:val="Corpodetexto"/>
        <w:spacing w:before="1" w:line="360" w:lineRule="auto"/>
        <w:ind w:firstLine="720"/>
        <w:jc w:val="both"/>
        <w:rPr>
          <w:sz w:val="24"/>
          <w:szCs w:val="24"/>
        </w:rPr>
      </w:pPr>
      <w:r w:rsidRPr="001F1499">
        <w:rPr>
          <w:sz w:val="24"/>
          <w:szCs w:val="24"/>
        </w:rPr>
        <w:t xml:space="preserve">O uso de jogos didáticos em conjunto com a cartilha amplia a compreensão dos alunos sobre a temática, favorecendo o engajamento e a construção coletiva do conhecimento. Além disso, possibilita o desenvolvimento de habilidades socioemocionais, como o trabalho em equipe e a tomada de decisões. Como afirma Lima (2009), a Educação Ambiental crítica promove a compreensão das inter-relações entre sociedade e natureza, incentivando o envolvimento na construção de soluções sustentáveis. Ademais, Guimarães (2017) destaca que a aprendizagem significativa ocorre quando os alunos conseguem estabelecer conexões entre o conteúdo escolar e suas experiências cotidianas. </w:t>
      </w:r>
    </w:p>
    <w:p w14:paraId="7027B6B1" w14:textId="48B36917" w:rsidR="001766ED" w:rsidRDefault="00A76BE9" w:rsidP="009C4B75">
      <w:pPr>
        <w:pStyle w:val="Corpodetexto"/>
        <w:spacing w:before="1" w:line="360" w:lineRule="auto"/>
        <w:ind w:firstLine="720"/>
        <w:jc w:val="both"/>
        <w:rPr>
          <w:sz w:val="24"/>
          <w:szCs w:val="24"/>
        </w:rPr>
      </w:pPr>
      <w:r>
        <w:rPr>
          <w:sz w:val="24"/>
          <w:szCs w:val="24"/>
        </w:rPr>
        <w:t>O jogo e a</w:t>
      </w:r>
      <w:r w:rsidRPr="00A76BE9">
        <w:rPr>
          <w:sz w:val="24"/>
          <w:szCs w:val="24"/>
        </w:rPr>
        <w:t xml:space="preserve"> cartilha </w:t>
      </w:r>
      <w:r>
        <w:rPr>
          <w:sz w:val="24"/>
          <w:szCs w:val="24"/>
        </w:rPr>
        <w:t xml:space="preserve">pedagógica </w:t>
      </w:r>
      <w:r w:rsidRPr="00A76BE9">
        <w:rPr>
          <w:sz w:val="24"/>
          <w:szCs w:val="24"/>
        </w:rPr>
        <w:t>pode</w:t>
      </w:r>
      <w:r>
        <w:rPr>
          <w:sz w:val="24"/>
          <w:szCs w:val="24"/>
        </w:rPr>
        <w:t>m</w:t>
      </w:r>
      <w:r w:rsidRPr="00A76BE9">
        <w:rPr>
          <w:sz w:val="24"/>
          <w:szCs w:val="24"/>
        </w:rPr>
        <w:t xml:space="preserve"> ser utilizada</w:t>
      </w:r>
      <w:r>
        <w:rPr>
          <w:sz w:val="24"/>
          <w:szCs w:val="24"/>
        </w:rPr>
        <w:t>s</w:t>
      </w:r>
      <w:r w:rsidRPr="00A76BE9">
        <w:rPr>
          <w:sz w:val="24"/>
          <w:szCs w:val="24"/>
        </w:rPr>
        <w:t xml:space="preserve"> em sala de aula de diversas formas, promovendo um ensino interativo e interdisciplinar. </w:t>
      </w:r>
      <w:r w:rsidR="001766ED" w:rsidRPr="001766ED">
        <w:rPr>
          <w:sz w:val="24"/>
          <w:szCs w:val="24"/>
        </w:rPr>
        <w:t>Propõe-se a aplicação da cartilha por meio de oficinas piloto de 1h30 a 2h, voltadas a alunos do Ensino Fundamental e Médio a partir de 10 anos. A intervenção pedagógica estrutura-se em quatro momentos: aplicação de questionário, abordagem conceitual, jogo didático e uma discussão final que viabiliza a avaliação qualitativa do aprendizado.</w:t>
      </w:r>
    </w:p>
    <w:p w14:paraId="7A6CE836" w14:textId="47FDD6D6" w:rsidR="00972519" w:rsidRDefault="00972519" w:rsidP="009C4B75">
      <w:pPr>
        <w:pStyle w:val="Corpodetexto"/>
        <w:spacing w:before="1" w:line="360" w:lineRule="auto"/>
        <w:ind w:firstLine="720"/>
        <w:jc w:val="both"/>
        <w:rPr>
          <w:sz w:val="24"/>
          <w:szCs w:val="24"/>
        </w:rPr>
      </w:pPr>
      <w:r w:rsidRPr="00972519">
        <w:rPr>
          <w:sz w:val="24"/>
          <w:szCs w:val="24"/>
        </w:rPr>
        <w:t>Além do ambiente escolar, a cartilha potencializa a educação do campo ao permitir que os estudantes compartilhem o aprendizado com suas famílias, promovendo o diálogo intergeracional sobre práticas agrícolas sustentáveis. Assim, os filhos de agricultores atuam como multiplicadores desse conhecimento em suas comunidades. O material também se estende a espaços de extensão rural e associações de produtores familiares, servindo de apoio a oficinas que alertem sobre os riscos dos agrotóxicos e incentivem a transição agroecológica.</w:t>
      </w:r>
    </w:p>
    <w:p w14:paraId="77106C74" w14:textId="2563EF9E" w:rsidR="00E3782C" w:rsidRPr="005F70B0" w:rsidRDefault="00E3782C" w:rsidP="009C4B75">
      <w:pPr>
        <w:pStyle w:val="Corpodetexto"/>
        <w:spacing w:before="1" w:line="360" w:lineRule="auto"/>
        <w:ind w:firstLine="720"/>
        <w:jc w:val="both"/>
        <w:rPr>
          <w:sz w:val="24"/>
          <w:szCs w:val="24"/>
        </w:rPr>
      </w:pPr>
    </w:p>
    <w:p w14:paraId="1C25DF7A" w14:textId="1AC8F194" w:rsidR="00243512" w:rsidRPr="005F70B0" w:rsidRDefault="00243512" w:rsidP="009C4B75">
      <w:pPr>
        <w:pStyle w:val="Corpodetexto"/>
        <w:spacing w:line="360" w:lineRule="auto"/>
        <w:jc w:val="both"/>
        <w:rPr>
          <w:b/>
          <w:bCs/>
          <w:sz w:val="28"/>
          <w:szCs w:val="28"/>
        </w:rPr>
      </w:pPr>
      <w:r w:rsidRPr="005F70B0">
        <w:rPr>
          <w:b/>
          <w:bCs/>
          <w:sz w:val="28"/>
          <w:szCs w:val="28"/>
        </w:rPr>
        <w:t>Considerações Finais</w:t>
      </w:r>
    </w:p>
    <w:p w14:paraId="50174704" w14:textId="6F08EC4E" w:rsidR="00972519" w:rsidRDefault="00972519" w:rsidP="009C4B75">
      <w:pPr>
        <w:pStyle w:val="Corpodetexto"/>
        <w:spacing w:line="360" w:lineRule="auto"/>
        <w:ind w:firstLine="720"/>
        <w:jc w:val="both"/>
        <w:rPr>
          <w:sz w:val="24"/>
          <w:szCs w:val="24"/>
        </w:rPr>
      </w:pPr>
      <w:r w:rsidRPr="00972519">
        <w:rPr>
          <w:sz w:val="24"/>
          <w:szCs w:val="24"/>
        </w:rPr>
        <w:t xml:space="preserve">A crise ambiental que enfrentamos exige mais do que discursos; requer práticas pedagógicas transformadoras que incentivem uma nova relação entre sociedade e natureza. Nesse sentido, a cartilha "Aprendendo sobre Agricultura e Agrotóxicos", aliada ao jogo "Raízes Sustentáveis da Agricultura", não apenas introduz conceitos sobre sustentabilidade, mas também desafia os alunos a refletirem sobre seu papel na construção de um futuro mais equilibrado. Ao promover a interatividade, o pensamento crítico e a autonomia, essa proposta </w:t>
      </w:r>
      <w:r w:rsidRPr="00972519">
        <w:rPr>
          <w:sz w:val="24"/>
          <w:szCs w:val="24"/>
        </w:rPr>
        <w:lastRenderedPageBreak/>
        <w:t xml:space="preserve">reforça que a mudança começa pela educação, contudo, para que a Educação Ambiental cumpra seu papel de formar cidadãos engajados, é fundamental que tais iniciativas sejam ampliadas dentro e fora do ambiente escolar, tornando a busca por alternativas sustentáveis um compromisso coletivo com a vida e com as próximas gerações. Diante disso, essas ferramentas apresentam-se como recursos complementares e essenciais para fortalecer o ensino e proporcionar um ambiente colaborativo e interativo no qual os estudantes possam trocar experiências e refletir sobre soluções reais, convergindo com a </w:t>
      </w:r>
      <w:r w:rsidR="00B277DA">
        <w:rPr>
          <w:sz w:val="24"/>
          <w:szCs w:val="24"/>
        </w:rPr>
        <w:t xml:space="preserve">ideia de que </w:t>
      </w:r>
      <w:r w:rsidRPr="00972519">
        <w:rPr>
          <w:sz w:val="24"/>
          <w:szCs w:val="24"/>
        </w:rPr>
        <w:t>a Educação Ambiental deve estimular a participação ativa dos sujeitos, aproximando o ensino das dinâmicas sociais e ambientais contemporâneas.</w:t>
      </w:r>
    </w:p>
    <w:p w14:paraId="1459CD48" w14:textId="77777777" w:rsidR="009C4B75" w:rsidRDefault="009C4B75" w:rsidP="009C4B75">
      <w:pPr>
        <w:pStyle w:val="Corpodetexto"/>
        <w:spacing w:line="360" w:lineRule="auto"/>
        <w:ind w:firstLine="720"/>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0EBA1011" w14:textId="77F75C22" w:rsidR="00C118BB" w:rsidRDefault="00C118BB" w:rsidP="00624629">
      <w:pPr>
        <w:pStyle w:val="Corpodetexto"/>
        <w:rPr>
          <w:sz w:val="24"/>
          <w:szCs w:val="24"/>
        </w:rPr>
      </w:pPr>
      <w:r w:rsidRPr="00C118BB">
        <w:rPr>
          <w:sz w:val="24"/>
          <w:szCs w:val="24"/>
        </w:rPr>
        <w:t>BITTENCOURT, D</w:t>
      </w:r>
      <w:r w:rsidR="00DD6863">
        <w:rPr>
          <w:sz w:val="24"/>
          <w:szCs w:val="24"/>
        </w:rPr>
        <w:t>.</w:t>
      </w:r>
      <w:r w:rsidRPr="00C118BB">
        <w:rPr>
          <w:sz w:val="24"/>
          <w:szCs w:val="24"/>
        </w:rPr>
        <w:t xml:space="preserve"> C. </w:t>
      </w:r>
      <w:r w:rsidRPr="00B277DA">
        <w:rPr>
          <w:b/>
          <w:bCs/>
          <w:sz w:val="24"/>
          <w:szCs w:val="24"/>
        </w:rPr>
        <w:t>Agricultura familiar, desafios e oportunidades rumo à inovação</w:t>
      </w:r>
      <w:r w:rsidRPr="00C118BB">
        <w:rPr>
          <w:sz w:val="24"/>
          <w:szCs w:val="24"/>
        </w:rPr>
        <w:t xml:space="preserve">. </w:t>
      </w:r>
      <w:r w:rsidR="00DD6863">
        <w:rPr>
          <w:sz w:val="24"/>
          <w:szCs w:val="24"/>
        </w:rPr>
        <w:t xml:space="preserve">Braília: Editora Técnica, </w:t>
      </w:r>
      <w:r w:rsidRPr="00C118BB">
        <w:rPr>
          <w:sz w:val="24"/>
          <w:szCs w:val="24"/>
        </w:rPr>
        <w:t>2020.</w:t>
      </w:r>
    </w:p>
    <w:p w14:paraId="12B6217B" w14:textId="77777777" w:rsidR="00BE2652" w:rsidRDefault="00BE2652" w:rsidP="00624629">
      <w:pPr>
        <w:pStyle w:val="Corpodetexto"/>
        <w:rPr>
          <w:sz w:val="24"/>
          <w:szCs w:val="24"/>
        </w:rPr>
      </w:pPr>
    </w:p>
    <w:p w14:paraId="42FB8D44" w14:textId="7DD30596" w:rsidR="00BE2652" w:rsidRDefault="00BE2652" w:rsidP="00624629">
      <w:pPr>
        <w:pStyle w:val="Corpodetexto"/>
        <w:rPr>
          <w:sz w:val="24"/>
          <w:szCs w:val="24"/>
        </w:rPr>
      </w:pPr>
      <w:r w:rsidRPr="00BE2652">
        <w:rPr>
          <w:sz w:val="24"/>
          <w:szCs w:val="24"/>
        </w:rPr>
        <w:t xml:space="preserve">FREIRE, P. </w:t>
      </w:r>
      <w:r w:rsidRPr="00B277DA">
        <w:rPr>
          <w:b/>
          <w:bCs/>
          <w:sz w:val="24"/>
          <w:szCs w:val="24"/>
        </w:rPr>
        <w:t>Pedagogia da Autonomia. Saberes necessários à prática educativa</w:t>
      </w:r>
      <w:r w:rsidRPr="00BE2652">
        <w:rPr>
          <w:sz w:val="24"/>
          <w:szCs w:val="24"/>
        </w:rPr>
        <w:t>. Paz &amp; Terra, 2019.</w:t>
      </w:r>
    </w:p>
    <w:p w14:paraId="65F1C26A" w14:textId="77777777" w:rsidR="00BE2652" w:rsidRDefault="00BE2652" w:rsidP="00624629">
      <w:pPr>
        <w:pStyle w:val="Corpodetexto"/>
        <w:rPr>
          <w:sz w:val="24"/>
          <w:szCs w:val="24"/>
        </w:rPr>
      </w:pPr>
    </w:p>
    <w:p w14:paraId="14D1BD7A" w14:textId="0C02399B" w:rsidR="00BE2652" w:rsidRDefault="00BE2652" w:rsidP="00624629">
      <w:pPr>
        <w:pStyle w:val="Corpodetexto"/>
        <w:rPr>
          <w:sz w:val="24"/>
          <w:szCs w:val="24"/>
        </w:rPr>
      </w:pPr>
      <w:r w:rsidRPr="00BE2652">
        <w:rPr>
          <w:sz w:val="24"/>
          <w:szCs w:val="24"/>
        </w:rPr>
        <w:t xml:space="preserve">GUIMARÃES, Mauro. Educação ambiental e os processos formativos em tempos de crise. </w:t>
      </w:r>
      <w:r w:rsidRPr="00B277DA">
        <w:rPr>
          <w:b/>
          <w:bCs/>
          <w:sz w:val="24"/>
          <w:szCs w:val="24"/>
        </w:rPr>
        <w:t>Educação &amp; Realidade</w:t>
      </w:r>
      <w:r w:rsidRPr="00BE2652">
        <w:rPr>
          <w:sz w:val="24"/>
          <w:szCs w:val="24"/>
        </w:rPr>
        <w:t>, v. 42, n. 3, p. 897-914, 2017. Disponível em: https://educa.fcc.org.br/scielo.php?pid=S1981-416X2017000501574&amp;script=sci_arttext. Acesso em: 2 fev. 2025</w:t>
      </w:r>
      <w:r>
        <w:rPr>
          <w:sz w:val="24"/>
          <w:szCs w:val="24"/>
        </w:rPr>
        <w:t>.</w:t>
      </w:r>
    </w:p>
    <w:p w14:paraId="7E247E80" w14:textId="77777777" w:rsidR="00BE2652" w:rsidRDefault="00BE2652" w:rsidP="00624629">
      <w:pPr>
        <w:pStyle w:val="Corpodetexto"/>
        <w:rPr>
          <w:sz w:val="24"/>
          <w:szCs w:val="24"/>
        </w:rPr>
      </w:pPr>
    </w:p>
    <w:p w14:paraId="062FD1BD" w14:textId="0F0244B5" w:rsidR="00BE2652" w:rsidRDefault="00BE2652" w:rsidP="00624629">
      <w:pPr>
        <w:pStyle w:val="Corpodetexto"/>
        <w:rPr>
          <w:sz w:val="24"/>
          <w:szCs w:val="24"/>
        </w:rPr>
      </w:pPr>
      <w:r w:rsidRPr="00BE2652">
        <w:rPr>
          <w:sz w:val="24"/>
          <w:szCs w:val="24"/>
        </w:rPr>
        <w:t xml:space="preserve">GRANIER, Noeli Borek; GUIMARÃES, Mauro. A dimensão freireana da formação do educador ambiental na "ComVivência Pedagógica". </w:t>
      </w:r>
      <w:r w:rsidRPr="00B277DA">
        <w:rPr>
          <w:b/>
          <w:bCs/>
          <w:sz w:val="24"/>
          <w:szCs w:val="24"/>
        </w:rPr>
        <w:t>Revista Sergipana de Educação Ambiental</w:t>
      </w:r>
      <w:r w:rsidRPr="00BE2652">
        <w:rPr>
          <w:sz w:val="24"/>
          <w:szCs w:val="24"/>
        </w:rPr>
        <w:t>, v. 9, n. 1, p. 1-11, 2022. Disponível em: https://periodicos.ufs.br/revisea/article/view/18103. Acesso em: 2 fev. 202</w:t>
      </w:r>
      <w:r>
        <w:rPr>
          <w:sz w:val="24"/>
          <w:szCs w:val="24"/>
        </w:rPr>
        <w:t>5</w:t>
      </w:r>
      <w:r w:rsidRPr="00BE2652">
        <w:rPr>
          <w:sz w:val="24"/>
          <w:szCs w:val="24"/>
        </w:rPr>
        <w:t>.</w:t>
      </w:r>
    </w:p>
    <w:p w14:paraId="6B3ED41B" w14:textId="77777777" w:rsidR="00BE2652" w:rsidRDefault="00BE2652" w:rsidP="00624629">
      <w:pPr>
        <w:pStyle w:val="Corpodetexto"/>
        <w:rPr>
          <w:sz w:val="24"/>
          <w:szCs w:val="24"/>
        </w:rPr>
      </w:pPr>
    </w:p>
    <w:p w14:paraId="21CF5CF4" w14:textId="4B365CDB" w:rsidR="00BE2652" w:rsidRDefault="00BE2652" w:rsidP="00624629">
      <w:pPr>
        <w:pStyle w:val="Corpodetexto"/>
        <w:rPr>
          <w:sz w:val="24"/>
          <w:szCs w:val="24"/>
        </w:rPr>
      </w:pPr>
      <w:r w:rsidRPr="00BE2652">
        <w:rPr>
          <w:sz w:val="24"/>
          <w:szCs w:val="24"/>
        </w:rPr>
        <w:t xml:space="preserve">HUIZINGA, J. </w:t>
      </w:r>
      <w:r w:rsidRPr="00B277DA">
        <w:rPr>
          <w:b/>
          <w:bCs/>
          <w:sz w:val="24"/>
          <w:szCs w:val="24"/>
        </w:rPr>
        <w:t>Homo Ludens</w:t>
      </w:r>
      <w:r w:rsidRPr="00BE2652">
        <w:rPr>
          <w:sz w:val="24"/>
          <w:szCs w:val="24"/>
        </w:rPr>
        <w:t>. São Paulo: Editora Perspectiva, 2020.</w:t>
      </w:r>
    </w:p>
    <w:p w14:paraId="190E953C" w14:textId="77777777" w:rsidR="00A250DF" w:rsidRDefault="00A250DF" w:rsidP="00624629">
      <w:pPr>
        <w:pStyle w:val="Corpodetexto"/>
        <w:rPr>
          <w:sz w:val="24"/>
          <w:szCs w:val="24"/>
        </w:rPr>
      </w:pPr>
    </w:p>
    <w:p w14:paraId="469B6EA0" w14:textId="262A3189" w:rsidR="00A250DF" w:rsidRDefault="00A250DF" w:rsidP="00624629">
      <w:pPr>
        <w:pStyle w:val="Corpodetexto"/>
        <w:rPr>
          <w:sz w:val="24"/>
          <w:szCs w:val="24"/>
        </w:rPr>
      </w:pPr>
      <w:r>
        <w:rPr>
          <w:sz w:val="24"/>
          <w:szCs w:val="24"/>
        </w:rPr>
        <w:t xml:space="preserve">JONAS, H. </w:t>
      </w:r>
      <w:r w:rsidRPr="00B277DA">
        <w:rPr>
          <w:b/>
          <w:bCs/>
          <w:sz w:val="24"/>
          <w:szCs w:val="24"/>
        </w:rPr>
        <w:t>O Princípio Responsabilidade. Ensaios de uma ética para a civilização tecnológica</w:t>
      </w:r>
      <w:r w:rsidR="00DD6863">
        <w:rPr>
          <w:sz w:val="24"/>
          <w:szCs w:val="24"/>
        </w:rPr>
        <w:t>. Rio de Janeiro: PUC Rio, 1979.</w:t>
      </w:r>
    </w:p>
    <w:p w14:paraId="7A56CF2F" w14:textId="77777777" w:rsidR="00BE2652" w:rsidRDefault="00BE2652" w:rsidP="00624629">
      <w:pPr>
        <w:pStyle w:val="Corpodetexto"/>
        <w:rPr>
          <w:sz w:val="24"/>
          <w:szCs w:val="24"/>
        </w:rPr>
      </w:pPr>
    </w:p>
    <w:p w14:paraId="361C4BAC" w14:textId="2875BE10" w:rsidR="00BE2652" w:rsidRDefault="00BE2652" w:rsidP="00624629">
      <w:pPr>
        <w:pStyle w:val="Corpodetexto"/>
        <w:rPr>
          <w:sz w:val="24"/>
          <w:szCs w:val="24"/>
        </w:rPr>
      </w:pPr>
      <w:r w:rsidRPr="00BE2652">
        <w:rPr>
          <w:sz w:val="24"/>
          <w:szCs w:val="24"/>
        </w:rPr>
        <w:t xml:space="preserve">LIMA, Gustavo Ferreira da Costa. Educação ambiental crítica: do socioambientalismo às sociedades sustentáveis. </w:t>
      </w:r>
      <w:r w:rsidRPr="00B277DA">
        <w:rPr>
          <w:b/>
          <w:bCs/>
          <w:sz w:val="24"/>
          <w:szCs w:val="24"/>
        </w:rPr>
        <w:t>Educação e Pesquisa</w:t>
      </w:r>
      <w:r w:rsidRPr="00BE2652">
        <w:rPr>
          <w:sz w:val="24"/>
          <w:szCs w:val="24"/>
        </w:rPr>
        <w:t>, v. 35, n. 1, p. 145-163, jan./abr. 2009.</w:t>
      </w:r>
    </w:p>
    <w:p w14:paraId="007021F5" w14:textId="77777777" w:rsidR="00BE2652" w:rsidRDefault="00BE2652" w:rsidP="00624629">
      <w:pPr>
        <w:pStyle w:val="Corpodetexto"/>
        <w:rPr>
          <w:sz w:val="24"/>
          <w:szCs w:val="24"/>
        </w:rPr>
      </w:pPr>
    </w:p>
    <w:p w14:paraId="3B161DFC" w14:textId="4224F099" w:rsidR="00C118BB" w:rsidRDefault="00BE2652" w:rsidP="00624629">
      <w:pPr>
        <w:pStyle w:val="Corpodetexto"/>
        <w:rPr>
          <w:sz w:val="24"/>
          <w:szCs w:val="24"/>
        </w:rPr>
      </w:pPr>
      <w:r w:rsidRPr="00BE2652">
        <w:rPr>
          <w:sz w:val="24"/>
          <w:szCs w:val="24"/>
        </w:rPr>
        <w:t xml:space="preserve">PIGNATI, Wanderlei Antonio et al. Distribuição espacial do uso de agrotóxicos no Brasil: uma ferramenta para a Vigilância em Saúde. </w:t>
      </w:r>
      <w:r w:rsidRPr="00B277DA">
        <w:rPr>
          <w:b/>
          <w:bCs/>
          <w:sz w:val="24"/>
          <w:szCs w:val="24"/>
        </w:rPr>
        <w:t>Ciência &amp; Saúde Coletiva</w:t>
      </w:r>
      <w:r w:rsidRPr="00BE2652">
        <w:rPr>
          <w:sz w:val="24"/>
          <w:szCs w:val="24"/>
        </w:rPr>
        <w:t>, v. 22, p. 3281- 3293, 2017.</w:t>
      </w:r>
    </w:p>
    <w:p w14:paraId="5EA58808" w14:textId="77777777" w:rsidR="00BE2652" w:rsidRDefault="00BE2652" w:rsidP="00624629">
      <w:pPr>
        <w:pStyle w:val="Corpodetexto"/>
        <w:rPr>
          <w:sz w:val="24"/>
          <w:szCs w:val="24"/>
        </w:rPr>
      </w:pPr>
    </w:p>
    <w:p w14:paraId="59FCFC5C" w14:textId="16D45DF8" w:rsidR="00C118BB" w:rsidRDefault="00BE2652" w:rsidP="00624629">
      <w:pPr>
        <w:pStyle w:val="Corpodetexto"/>
        <w:rPr>
          <w:sz w:val="24"/>
          <w:szCs w:val="24"/>
        </w:rPr>
      </w:pPr>
      <w:r w:rsidRPr="00BE2652">
        <w:rPr>
          <w:sz w:val="24"/>
          <w:szCs w:val="24"/>
        </w:rPr>
        <w:t>SILVA, L. N. P.; AMORIM, J. G. B. Condições de segurança do trabalho no manuseio de agrotóxicos em pequenas propriedades de agricultura familiar. Revista Ibero Americana de Ciências Ambientais, v.11, n.7, p.349-364, 2020. DOI: http://doi.org/10.6008/CBPC2179-6858.2020.007.0029</w:t>
      </w:r>
    </w:p>
    <w:p w14:paraId="29655E01" w14:textId="77777777" w:rsidR="00A94EC2" w:rsidRDefault="00A94EC2">
      <w:pPr>
        <w:pStyle w:val="Corpodetexto"/>
        <w:ind w:right="3991"/>
      </w:pPr>
    </w:p>
    <w:sectPr w:rsidR="00A94EC2" w:rsidSect="008913F4">
      <w:headerReference w:type="default" r:id="rId9"/>
      <w:footerReference w:type="default" r:id="rId10"/>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D775A" w14:textId="77777777" w:rsidR="0017657B" w:rsidRDefault="0017657B">
      <w:r>
        <w:separator/>
      </w:r>
    </w:p>
  </w:endnote>
  <w:endnote w:type="continuationSeparator" w:id="0">
    <w:p w14:paraId="09D2EC94" w14:textId="77777777" w:rsidR="0017657B" w:rsidRDefault="0017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59D84" w14:textId="77777777" w:rsidR="0017657B" w:rsidRDefault="0017657B">
      <w:r>
        <w:separator/>
      </w:r>
    </w:p>
  </w:footnote>
  <w:footnote w:type="continuationSeparator" w:id="0">
    <w:p w14:paraId="3D3076A0" w14:textId="77777777" w:rsidR="0017657B" w:rsidRDefault="0017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C5BCC"/>
    <w:rsid w:val="000449F4"/>
    <w:rsid w:val="0004715C"/>
    <w:rsid w:val="00063966"/>
    <w:rsid w:val="0008060D"/>
    <w:rsid w:val="000815CB"/>
    <w:rsid w:val="00083C2E"/>
    <w:rsid w:val="000E0C05"/>
    <w:rsid w:val="000E1BE8"/>
    <w:rsid w:val="00157AC0"/>
    <w:rsid w:val="0017657B"/>
    <w:rsid w:val="001766ED"/>
    <w:rsid w:val="001C5BCC"/>
    <w:rsid w:val="001F1499"/>
    <w:rsid w:val="002102F4"/>
    <w:rsid w:val="0024129D"/>
    <w:rsid w:val="00243512"/>
    <w:rsid w:val="00274C24"/>
    <w:rsid w:val="00320E79"/>
    <w:rsid w:val="00364AB9"/>
    <w:rsid w:val="0036697E"/>
    <w:rsid w:val="00374D22"/>
    <w:rsid w:val="003877BB"/>
    <w:rsid w:val="004147A7"/>
    <w:rsid w:val="00427DDE"/>
    <w:rsid w:val="00493861"/>
    <w:rsid w:val="004F7022"/>
    <w:rsid w:val="005259CE"/>
    <w:rsid w:val="0055750D"/>
    <w:rsid w:val="00596BC0"/>
    <w:rsid w:val="005F70B0"/>
    <w:rsid w:val="00615428"/>
    <w:rsid w:val="00624629"/>
    <w:rsid w:val="00680E83"/>
    <w:rsid w:val="00692868"/>
    <w:rsid w:val="00694319"/>
    <w:rsid w:val="006E24AF"/>
    <w:rsid w:val="007561D8"/>
    <w:rsid w:val="00876A50"/>
    <w:rsid w:val="00881B68"/>
    <w:rsid w:val="008858BD"/>
    <w:rsid w:val="008913F4"/>
    <w:rsid w:val="008A52BD"/>
    <w:rsid w:val="0090268A"/>
    <w:rsid w:val="00972519"/>
    <w:rsid w:val="009C4B75"/>
    <w:rsid w:val="00A250DF"/>
    <w:rsid w:val="00A33E6F"/>
    <w:rsid w:val="00A7483C"/>
    <w:rsid w:val="00A76BE9"/>
    <w:rsid w:val="00A810CC"/>
    <w:rsid w:val="00A94EC2"/>
    <w:rsid w:val="00AD22F1"/>
    <w:rsid w:val="00AF5124"/>
    <w:rsid w:val="00B0166B"/>
    <w:rsid w:val="00B046A8"/>
    <w:rsid w:val="00B233A6"/>
    <w:rsid w:val="00B25348"/>
    <w:rsid w:val="00B277DA"/>
    <w:rsid w:val="00B8470E"/>
    <w:rsid w:val="00BD5899"/>
    <w:rsid w:val="00BE2652"/>
    <w:rsid w:val="00C118BB"/>
    <w:rsid w:val="00C30006"/>
    <w:rsid w:val="00C44CDC"/>
    <w:rsid w:val="00C538C1"/>
    <w:rsid w:val="00C60F3C"/>
    <w:rsid w:val="00C73334"/>
    <w:rsid w:val="00CB7608"/>
    <w:rsid w:val="00D26EA0"/>
    <w:rsid w:val="00D5601E"/>
    <w:rsid w:val="00DB7A6E"/>
    <w:rsid w:val="00DD6863"/>
    <w:rsid w:val="00DF5D20"/>
    <w:rsid w:val="00E3782C"/>
    <w:rsid w:val="00E45AD3"/>
    <w:rsid w:val="00EA25BE"/>
    <w:rsid w:val="00ED4593"/>
    <w:rsid w:val="00F135CC"/>
    <w:rsid w:val="00F15FB8"/>
    <w:rsid w:val="00F95FB4"/>
    <w:rsid w:val="00FB3E61"/>
    <w:rsid w:val="00FB6405"/>
    <w:rsid w:val="00FD01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3">
    <w:name w:val="heading 3"/>
    <w:basedOn w:val="Normal"/>
    <w:next w:val="Normal"/>
    <w:link w:val="Ttulo3Char"/>
    <w:uiPriority w:val="9"/>
    <w:semiHidden/>
    <w:unhideWhenUsed/>
    <w:qFormat/>
    <w:rsid w:val="00364AB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364AB9"/>
    <w:rPr>
      <w:color w:val="0000FF" w:themeColor="hyperlink"/>
      <w:u w:val="single"/>
    </w:rPr>
  </w:style>
  <w:style w:type="character" w:styleId="MenoPendente">
    <w:name w:val="Unresolved Mention"/>
    <w:basedOn w:val="Fontepargpadro"/>
    <w:uiPriority w:val="99"/>
    <w:semiHidden/>
    <w:unhideWhenUsed/>
    <w:rsid w:val="00364AB9"/>
    <w:rPr>
      <w:color w:val="605E5C"/>
      <w:shd w:val="clear" w:color="auto" w:fill="E1DFDD"/>
    </w:rPr>
  </w:style>
  <w:style w:type="character" w:customStyle="1" w:styleId="Ttulo3Char">
    <w:name w:val="Título 3 Char"/>
    <w:basedOn w:val="Fontepargpadro"/>
    <w:link w:val="Ttulo3"/>
    <w:uiPriority w:val="9"/>
    <w:semiHidden/>
    <w:rsid w:val="00364AB9"/>
    <w:rPr>
      <w:rFonts w:asciiTheme="majorHAnsi" w:eastAsiaTheme="majorEastAsia" w:hAnsiTheme="majorHAnsi" w:cstheme="majorBidi"/>
      <w:color w:val="243F60" w:themeColor="accent1" w:themeShade="7F"/>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2209</Words>
  <Characters>11932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Kariel Giarolo</cp:lastModifiedBy>
  <cp:revision>8</cp:revision>
  <cp:lastPrinted>2026-06-30T22:50:00Z</cp:lastPrinted>
  <dcterms:created xsi:type="dcterms:W3CDTF">2026-06-30T22:47:00Z</dcterms:created>
  <dcterms:modified xsi:type="dcterms:W3CDTF">2026-08-10T23:13:00Z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