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0D61B" w14:textId="77777777" w:rsidR="00B71B8F" w:rsidRDefault="00000000">
      <w:pPr>
        <w:pStyle w:val="Ttulo"/>
      </w:pPr>
      <w:r>
        <w:t xml:space="preserve">ESTRATÉGIA COMPUTACIONAL BASEADA EM (Q)SAR PARA AVALIAÇÃO ECOTOXICOLÓGICA DE METABÓLITOS BIOATIVOS DE </w:t>
      </w:r>
      <w:r>
        <w:rPr>
          <w:i/>
          <w:iCs/>
        </w:rPr>
        <w:t>UNCARIA GUIANENSIS</w:t>
      </w:r>
    </w:p>
    <w:p w14:paraId="73929B1A" w14:textId="77777777" w:rsidR="00B71B8F" w:rsidRDefault="00000000">
      <w:pPr>
        <w:pStyle w:val="Ttulo1"/>
        <w:spacing w:before="251" w:line="242" w:lineRule="auto"/>
        <w:ind w:left="75" w:right="214"/>
        <w:jc w:val="center"/>
        <w:rPr>
          <w:sz w:val="24"/>
          <w:szCs w:val="24"/>
        </w:rPr>
      </w:pPr>
      <w:bookmarkStart w:id="0" w:name="1Primeiro_Autor_com_nome_completo,_2Segu"/>
      <w:bookmarkEnd w:id="0"/>
      <w:r>
        <w:rPr>
          <w:sz w:val="24"/>
          <w:szCs w:val="24"/>
          <w:vertAlign w:val="superscript"/>
        </w:rPr>
        <w:t>1</w:t>
      </w:r>
      <w:r>
        <w:rPr>
          <w:sz w:val="24"/>
          <w:szCs w:val="24"/>
        </w:rPr>
        <w:t>João Lucas Rezende Santos,</w:t>
      </w:r>
      <w:r>
        <w:rPr>
          <w:spacing w:val="-2"/>
          <w:sz w:val="24"/>
          <w:szCs w:val="24"/>
        </w:rPr>
        <w:t xml:space="preserve"> </w:t>
      </w:r>
      <w:r>
        <w:rPr>
          <w:sz w:val="24"/>
          <w:szCs w:val="24"/>
          <w:vertAlign w:val="superscript"/>
        </w:rPr>
        <w:t>2</w:t>
      </w:r>
      <w:r>
        <w:rPr>
          <w:sz w:val="24"/>
          <w:szCs w:val="24"/>
        </w:rPr>
        <w:t>Gabriel Gomes Mendes,</w:t>
      </w:r>
      <w:r>
        <w:rPr>
          <w:spacing w:val="-3"/>
          <w:sz w:val="24"/>
          <w:szCs w:val="24"/>
        </w:rPr>
        <w:t xml:space="preserve"> </w:t>
      </w:r>
      <w:r>
        <w:rPr>
          <w:sz w:val="24"/>
          <w:szCs w:val="24"/>
          <w:vertAlign w:val="superscript"/>
        </w:rPr>
        <w:t>3</w:t>
      </w:r>
      <w:r>
        <w:rPr>
          <w:sz w:val="24"/>
          <w:szCs w:val="24"/>
        </w:rPr>
        <w:t xml:space="preserve">Jhuan Luiz Silva, </w:t>
      </w:r>
      <w:r>
        <w:rPr>
          <w:sz w:val="24"/>
          <w:szCs w:val="24"/>
          <w:vertAlign w:val="superscript"/>
        </w:rPr>
        <w:t>4</w:t>
      </w:r>
      <w:r>
        <w:rPr>
          <w:sz w:val="24"/>
          <w:szCs w:val="24"/>
        </w:rPr>
        <w:t xml:space="preserve"> Juliana da Silva Coppede, </w:t>
      </w:r>
      <w:r>
        <w:rPr>
          <w:sz w:val="24"/>
          <w:szCs w:val="24"/>
          <w:vertAlign w:val="superscript"/>
        </w:rPr>
        <w:t>5</w:t>
      </w:r>
      <w:r>
        <w:rPr>
          <w:sz w:val="24"/>
          <w:szCs w:val="24"/>
        </w:rPr>
        <w:t>Isabela</w:t>
      </w:r>
      <w:r>
        <w:rPr>
          <w:sz w:val="24"/>
          <w:szCs w:val="24"/>
          <w:vertAlign w:val="superscript"/>
        </w:rPr>
        <w:t xml:space="preserve"> </w:t>
      </w:r>
      <w:r>
        <w:rPr>
          <w:sz w:val="24"/>
          <w:szCs w:val="24"/>
        </w:rPr>
        <w:t xml:space="preserve">Cristina Gomes Honório, </w:t>
      </w:r>
      <w:r>
        <w:rPr>
          <w:sz w:val="24"/>
          <w:szCs w:val="24"/>
          <w:vertAlign w:val="superscript"/>
        </w:rPr>
        <w:t>6</w:t>
      </w:r>
      <w:r>
        <w:rPr>
          <w:sz w:val="24"/>
          <w:szCs w:val="24"/>
        </w:rPr>
        <w:t>Silvio de Almeida-Junior</w:t>
      </w:r>
    </w:p>
    <w:p w14:paraId="5A5537B8" w14:textId="77777777" w:rsidR="00B71B8F" w:rsidRDefault="00B71B8F">
      <w:pPr>
        <w:pStyle w:val="Ttulo1"/>
        <w:spacing w:before="251" w:line="242" w:lineRule="auto"/>
        <w:ind w:left="75" w:right="214"/>
        <w:jc w:val="center"/>
        <w:rPr>
          <w:sz w:val="24"/>
          <w:szCs w:val="24"/>
        </w:rPr>
      </w:pPr>
    </w:p>
    <w:p w14:paraId="124770AD" w14:textId="77777777" w:rsidR="00B71B8F" w:rsidRDefault="00000000">
      <w:pPr>
        <w:spacing w:line="228" w:lineRule="exact"/>
        <w:ind w:left="77" w:right="209"/>
        <w:jc w:val="center"/>
        <w:rPr>
          <w:i/>
          <w:spacing w:val="-2"/>
          <w:sz w:val="24"/>
          <w:szCs w:val="24"/>
        </w:rPr>
      </w:pPr>
      <w:r>
        <w:rPr>
          <w:i/>
          <w:sz w:val="24"/>
          <w:szCs w:val="24"/>
          <w:vertAlign w:val="superscript"/>
        </w:rPr>
        <w:t>1</w:t>
      </w:r>
      <w:r>
        <w:rPr>
          <w:i/>
          <w:sz w:val="24"/>
          <w:szCs w:val="24"/>
        </w:rPr>
        <w:t>Laboratório de Biociências e Saúde, Universidade do Estado de Minas Gerais, e-mail:</w:t>
      </w:r>
      <w:r>
        <w:rPr>
          <w:i/>
          <w:spacing w:val="-4"/>
          <w:sz w:val="24"/>
          <w:szCs w:val="24"/>
        </w:rPr>
        <w:t>joaonow3@gmail.com</w:t>
      </w:r>
      <w:r>
        <w:rPr>
          <w:i/>
          <w:sz w:val="24"/>
          <w:szCs w:val="24"/>
        </w:rPr>
        <w:t>;</w:t>
      </w:r>
      <w:r>
        <w:rPr>
          <w:i/>
          <w:spacing w:val="-3"/>
          <w:sz w:val="24"/>
          <w:szCs w:val="24"/>
        </w:rPr>
        <w:t xml:space="preserve"> </w:t>
      </w:r>
      <w:r>
        <w:rPr>
          <w:i/>
          <w:sz w:val="24"/>
          <w:szCs w:val="24"/>
          <w:vertAlign w:val="superscript"/>
        </w:rPr>
        <w:t>2</w:t>
      </w:r>
      <w:r>
        <w:rPr>
          <w:i/>
          <w:sz w:val="24"/>
          <w:szCs w:val="24"/>
        </w:rPr>
        <w:t>Universidade do Estdo de Minas Gerais,</w:t>
      </w:r>
      <w:r>
        <w:rPr>
          <w:i/>
          <w:spacing w:val="-1"/>
          <w:sz w:val="24"/>
          <w:szCs w:val="24"/>
        </w:rPr>
        <w:t xml:space="preserve"> </w:t>
      </w:r>
      <w:r>
        <w:rPr>
          <w:i/>
          <w:sz w:val="24"/>
          <w:szCs w:val="24"/>
        </w:rPr>
        <w:t>e-mail:</w:t>
      </w:r>
      <w:r>
        <w:rPr>
          <w:i/>
          <w:spacing w:val="-3"/>
          <w:sz w:val="24"/>
          <w:szCs w:val="24"/>
        </w:rPr>
        <w:t xml:space="preserve"> gabriel.mendes@uemg.br</w:t>
      </w:r>
      <w:r>
        <w:rPr>
          <w:i/>
          <w:sz w:val="24"/>
          <w:szCs w:val="24"/>
        </w:rPr>
        <w:t>;</w:t>
      </w:r>
      <w:r>
        <w:rPr>
          <w:i/>
          <w:spacing w:val="-3"/>
          <w:sz w:val="24"/>
          <w:szCs w:val="24"/>
        </w:rPr>
        <w:t xml:space="preserve"> </w:t>
      </w:r>
      <w:r>
        <w:rPr>
          <w:i/>
          <w:sz w:val="24"/>
          <w:szCs w:val="24"/>
          <w:vertAlign w:val="superscript"/>
        </w:rPr>
        <w:t>3</w:t>
      </w:r>
      <w:r>
        <w:rPr>
          <w:i/>
          <w:sz w:val="24"/>
          <w:szCs w:val="24"/>
        </w:rPr>
        <w:t>Universidade Federal do Paraná, e-mail:</w:t>
      </w:r>
      <w:r>
        <w:rPr>
          <w:i/>
          <w:spacing w:val="-3"/>
          <w:sz w:val="24"/>
          <w:szCs w:val="24"/>
        </w:rPr>
        <w:t xml:space="preserve"> jhuan.luiz@ufpr.br; </w:t>
      </w:r>
      <w:r>
        <w:rPr>
          <w:i/>
          <w:spacing w:val="-3"/>
          <w:sz w:val="24"/>
          <w:szCs w:val="24"/>
          <w:vertAlign w:val="superscript"/>
        </w:rPr>
        <w:t>4</w:t>
      </w:r>
      <w:r>
        <w:rPr>
          <w:i/>
          <w:spacing w:val="-3"/>
          <w:sz w:val="24"/>
          <w:szCs w:val="24"/>
        </w:rPr>
        <w:t xml:space="preserve"> Universidade de Ribeirão Preto, e-mail: jscoppede@unaerp.br; </w:t>
      </w:r>
      <w:r>
        <w:rPr>
          <w:i/>
          <w:spacing w:val="-3"/>
          <w:sz w:val="24"/>
          <w:szCs w:val="24"/>
          <w:vertAlign w:val="superscript"/>
        </w:rPr>
        <w:t>5</w:t>
      </w:r>
      <w:r>
        <w:rPr>
          <w:i/>
          <w:spacing w:val="-3"/>
          <w:sz w:val="24"/>
          <w:szCs w:val="24"/>
        </w:rPr>
        <w:t xml:space="preserve"> Universidade do Estado de Minas Gerais, e-mail: isabela.honorio@uemg.br; </w:t>
      </w:r>
      <w:r>
        <w:rPr>
          <w:i/>
          <w:spacing w:val="-3"/>
          <w:sz w:val="24"/>
          <w:szCs w:val="24"/>
          <w:vertAlign w:val="superscript"/>
        </w:rPr>
        <w:t>6</w:t>
      </w:r>
      <w:r>
        <w:rPr>
          <w:i/>
          <w:spacing w:val="-3"/>
          <w:sz w:val="24"/>
          <w:szCs w:val="24"/>
        </w:rPr>
        <w:t>Laboratório de Biociências e Saúde, Universidade do Estado de Minas Gerais, e-mail: silvio.junior@uemg.br</w:t>
      </w:r>
    </w:p>
    <w:p w14:paraId="59BA66BA" w14:textId="77777777" w:rsidR="00B71B8F" w:rsidRDefault="00B71B8F">
      <w:pPr>
        <w:spacing w:line="228" w:lineRule="exact"/>
        <w:ind w:left="77" w:right="209"/>
        <w:jc w:val="center"/>
        <w:rPr>
          <w:i/>
          <w:spacing w:val="-2"/>
          <w:sz w:val="24"/>
          <w:szCs w:val="24"/>
        </w:rPr>
      </w:pPr>
    </w:p>
    <w:p w14:paraId="5F03CB27" w14:textId="77777777" w:rsidR="00B71B8F" w:rsidRDefault="00000000">
      <w:pPr>
        <w:spacing w:line="228" w:lineRule="exact"/>
        <w:ind w:left="77" w:right="209"/>
        <w:jc w:val="right"/>
        <w:rPr>
          <w:b/>
          <w:bCs/>
          <w:i/>
          <w:spacing w:val="-2"/>
          <w:sz w:val="24"/>
          <w:szCs w:val="24"/>
        </w:rPr>
      </w:pPr>
      <w:r>
        <w:rPr>
          <w:b/>
          <w:bCs/>
          <w:i/>
          <w:spacing w:val="-2"/>
          <w:sz w:val="24"/>
          <w:szCs w:val="24"/>
        </w:rPr>
        <w:t>Grupo temático: Gestão Ambiental e Politícas Ambientais</w:t>
      </w:r>
    </w:p>
    <w:p w14:paraId="2F95925A" w14:textId="77777777" w:rsidR="00B71B8F" w:rsidRDefault="00000000">
      <w:pPr>
        <w:spacing w:line="228" w:lineRule="exact"/>
        <w:ind w:left="77" w:right="209"/>
        <w:jc w:val="right"/>
        <w:rPr>
          <w:b/>
          <w:bCs/>
          <w:i/>
          <w:spacing w:val="-2"/>
          <w:sz w:val="24"/>
          <w:szCs w:val="24"/>
        </w:rPr>
      </w:pPr>
      <w:r>
        <w:rPr>
          <w:b/>
          <w:bCs/>
          <w:i/>
          <w:spacing w:val="-2"/>
          <w:sz w:val="24"/>
          <w:szCs w:val="24"/>
        </w:rPr>
        <w:t>Eixo: Inovação tecnológica para sustentabilidade</w:t>
      </w:r>
    </w:p>
    <w:p w14:paraId="181C51DA" w14:textId="77777777" w:rsidR="00B71B8F" w:rsidRDefault="00B71B8F">
      <w:pPr>
        <w:spacing w:line="228" w:lineRule="exact"/>
        <w:ind w:left="77" w:right="209"/>
        <w:jc w:val="center"/>
        <w:rPr>
          <w:i/>
          <w:spacing w:val="-2"/>
          <w:sz w:val="24"/>
          <w:szCs w:val="24"/>
        </w:rPr>
      </w:pPr>
    </w:p>
    <w:p w14:paraId="117CD2CB" w14:textId="77777777" w:rsidR="00B71B8F" w:rsidRDefault="00000000">
      <w:pPr>
        <w:spacing w:line="228" w:lineRule="exact"/>
        <w:ind w:left="77" w:right="209"/>
        <w:jc w:val="center"/>
        <w:rPr>
          <w:b/>
          <w:bCs/>
          <w:iCs/>
          <w:sz w:val="28"/>
          <w:szCs w:val="28"/>
        </w:rPr>
      </w:pPr>
      <w:r>
        <w:rPr>
          <w:b/>
          <w:bCs/>
          <w:iCs/>
          <w:sz w:val="28"/>
          <w:szCs w:val="28"/>
        </w:rPr>
        <w:t>Resumo</w:t>
      </w:r>
    </w:p>
    <w:p w14:paraId="7CAF6ADE" w14:textId="77777777" w:rsidR="00B71B8F" w:rsidRDefault="00B71B8F">
      <w:pPr>
        <w:spacing w:line="228" w:lineRule="exact"/>
        <w:ind w:left="77" w:right="209"/>
        <w:jc w:val="both"/>
        <w:rPr>
          <w:iCs/>
          <w:sz w:val="24"/>
          <w:szCs w:val="24"/>
        </w:rPr>
      </w:pPr>
    </w:p>
    <w:p w14:paraId="70A3BE88" w14:textId="579A4EF8" w:rsidR="00B71B8F" w:rsidRDefault="00000000">
      <w:pPr>
        <w:jc w:val="both"/>
        <w:rPr>
          <w:iCs/>
          <w:sz w:val="24"/>
          <w:szCs w:val="24"/>
        </w:rPr>
      </w:pPr>
      <w:r>
        <w:rPr>
          <w:sz w:val="24"/>
          <w:szCs w:val="24"/>
        </w:rPr>
        <w:t xml:space="preserve">A conservação da biodiversidade depende, entre outros fatores, da identificação precoce de compostos potencialmente tóxicos capazes de afetar organismos não-alvo e comprometer a integridade dos ecossistemas aquáticos. </w:t>
      </w:r>
      <w:r>
        <w:rPr>
          <w:iCs/>
          <w:sz w:val="24"/>
          <w:szCs w:val="24"/>
        </w:rPr>
        <w:t xml:space="preserve">O desenvolvimento de medicamentos de origem natural deve considerar, além da eficácia terapêutica, os potenciais impactos ambientais decorrentes da produção, utilização e descarte desses compostos. Este estudo avaliou o perfil ecotoxicológico </w:t>
      </w:r>
      <w:r>
        <w:rPr>
          <w:i/>
          <w:sz w:val="24"/>
          <w:szCs w:val="24"/>
        </w:rPr>
        <w:t>in silico</w:t>
      </w:r>
      <w:r>
        <w:rPr>
          <w:iCs/>
          <w:sz w:val="24"/>
          <w:szCs w:val="24"/>
        </w:rPr>
        <w:t xml:space="preserve"> dos principais metabólitos de </w:t>
      </w:r>
      <w:r>
        <w:rPr>
          <w:i/>
          <w:iCs/>
          <w:sz w:val="24"/>
          <w:szCs w:val="24"/>
        </w:rPr>
        <w:t>Uncaria guianensis</w:t>
      </w:r>
      <w:r>
        <w:rPr>
          <w:iCs/>
          <w:sz w:val="24"/>
          <w:szCs w:val="24"/>
        </w:rPr>
        <w:t xml:space="preserve">, espécie amplamente investigada por suas propriedades anti-inflamatórias, antimicrobianas e neuroprotetoras. Foram selecionados sete metabólitos representativos de diferentes classes químicas, cujas estruturas moleculares foram submetidas à predição por modelos (Q)SAR para estimativa da bioacumulação (LogBCF) e da toxicidade aquática frente a </w:t>
      </w:r>
      <w:r>
        <w:rPr>
          <w:i/>
          <w:iCs/>
          <w:sz w:val="24"/>
          <w:szCs w:val="24"/>
        </w:rPr>
        <w:t>Daphnia magna</w:t>
      </w:r>
      <w:r>
        <w:rPr>
          <w:iCs/>
          <w:sz w:val="24"/>
          <w:szCs w:val="24"/>
        </w:rPr>
        <w:t xml:space="preserve">, </w:t>
      </w:r>
      <w:r>
        <w:rPr>
          <w:i/>
          <w:iCs/>
          <w:sz w:val="24"/>
          <w:szCs w:val="24"/>
        </w:rPr>
        <w:t>Pimephales promelas</w:t>
      </w:r>
      <w:r>
        <w:rPr>
          <w:iCs/>
          <w:sz w:val="24"/>
          <w:szCs w:val="24"/>
        </w:rPr>
        <w:t xml:space="preserve"> e </w:t>
      </w:r>
      <w:r>
        <w:rPr>
          <w:i/>
          <w:iCs/>
          <w:sz w:val="24"/>
          <w:szCs w:val="24"/>
        </w:rPr>
        <w:t>Tetrahymena pyriformis</w:t>
      </w:r>
      <w:r>
        <w:rPr>
          <w:iCs/>
          <w:sz w:val="24"/>
          <w:szCs w:val="24"/>
        </w:rPr>
        <w:t xml:space="preserve">. Os metabólitos apresentaram baixos valores preditos de bioacumulação, indicando reduzido potencial de biomagnificação. A rincofilina apresentou as maiores estimativas de toxicidade e bioacumulação entre os compostos avaliados, enquanto o ácido quínico exibiu o perfil ecotoxicológico mais favorável. A aplicação de ferramentas computacionais mostrou-se uma estratégia rápida e sustentável para subsidiar o desenvolvimento de fitofármacos ambientalmente mais seguros, </w:t>
      </w:r>
      <w:r>
        <w:rPr>
          <w:sz w:val="24"/>
          <w:szCs w:val="24"/>
        </w:rPr>
        <w:t xml:space="preserve">contribuindo </w:t>
      </w:r>
      <w:r w:rsidR="00C54822" w:rsidRPr="00C54822">
        <w:rPr>
          <w:sz w:val="24"/>
          <w:szCs w:val="24"/>
        </w:rPr>
        <w:t>para a inovação sustentável e para a conservação da biodiversidade aquática.</w:t>
      </w:r>
    </w:p>
    <w:p w14:paraId="54D15939" w14:textId="77777777" w:rsidR="00B71B8F" w:rsidRDefault="00B71B8F">
      <w:pPr>
        <w:jc w:val="both"/>
        <w:rPr>
          <w:b/>
          <w:sz w:val="24"/>
          <w:szCs w:val="24"/>
        </w:rPr>
      </w:pPr>
    </w:p>
    <w:p w14:paraId="7E58B63F" w14:textId="77777777" w:rsidR="00B71B8F" w:rsidRDefault="00000000">
      <w:pPr>
        <w:jc w:val="both"/>
        <w:rPr>
          <w:sz w:val="24"/>
          <w:szCs w:val="24"/>
          <w:lang w:val="pt-BR"/>
        </w:rPr>
      </w:pPr>
      <w:r>
        <w:rPr>
          <w:b/>
          <w:sz w:val="24"/>
          <w:szCs w:val="24"/>
        </w:rPr>
        <w:t>Palavras-chave:</w:t>
      </w:r>
      <w:r>
        <w:rPr>
          <w:b/>
          <w:spacing w:val="-2"/>
          <w:sz w:val="24"/>
          <w:szCs w:val="24"/>
        </w:rPr>
        <w:t xml:space="preserve"> </w:t>
      </w:r>
      <w:r>
        <w:rPr>
          <w:sz w:val="24"/>
          <w:szCs w:val="24"/>
          <w:lang w:val="pt-BR"/>
        </w:rPr>
        <w:t>Bioacumulação; Contaminantes emergentes; Modelagem (Q)SAR; Organismos aquáticos; Química verde.</w:t>
      </w:r>
    </w:p>
    <w:p w14:paraId="2C548739" w14:textId="77777777" w:rsidR="00B71B8F" w:rsidRDefault="00B71B8F">
      <w:pPr>
        <w:jc w:val="both"/>
        <w:rPr>
          <w:b/>
          <w:bCs/>
          <w:spacing w:val="-2"/>
          <w:sz w:val="28"/>
          <w:szCs w:val="28"/>
        </w:rPr>
      </w:pPr>
    </w:p>
    <w:p w14:paraId="41D464C2" w14:textId="77777777" w:rsidR="00B71B8F" w:rsidRDefault="00000000">
      <w:pPr>
        <w:jc w:val="both"/>
        <w:rPr>
          <w:b/>
          <w:bCs/>
          <w:spacing w:val="-2"/>
          <w:sz w:val="28"/>
          <w:szCs w:val="28"/>
        </w:rPr>
      </w:pPr>
      <w:r>
        <w:rPr>
          <w:b/>
          <w:bCs/>
          <w:spacing w:val="-2"/>
          <w:sz w:val="28"/>
          <w:szCs w:val="28"/>
        </w:rPr>
        <w:t>Introdução</w:t>
      </w:r>
    </w:p>
    <w:p w14:paraId="0C2A3228" w14:textId="77777777" w:rsidR="00B71B8F" w:rsidRDefault="00B71B8F">
      <w:pPr>
        <w:pStyle w:val="Corpodetexto"/>
        <w:spacing w:before="1" w:line="360" w:lineRule="auto"/>
        <w:ind w:firstLine="720"/>
        <w:jc w:val="both"/>
        <w:rPr>
          <w:sz w:val="24"/>
          <w:szCs w:val="24"/>
        </w:rPr>
      </w:pPr>
    </w:p>
    <w:p w14:paraId="49D2ED8A" w14:textId="77777777" w:rsidR="00B71B8F" w:rsidRDefault="00000000">
      <w:pPr>
        <w:pStyle w:val="Corpodetexto"/>
        <w:spacing w:before="1" w:line="360" w:lineRule="auto"/>
        <w:ind w:firstLine="720"/>
        <w:jc w:val="both"/>
        <w:rPr>
          <w:sz w:val="24"/>
          <w:szCs w:val="24"/>
        </w:rPr>
      </w:pPr>
      <w:r>
        <w:rPr>
          <w:sz w:val="24"/>
          <w:szCs w:val="24"/>
        </w:rPr>
        <w:t xml:space="preserve">A conservação da biodiversidade constitui um dos principais desafios contemporâneos, especialmente diante do aumento da introdução de contaminantes emergentes nos ecossistemas aquáticos </w:t>
      </w:r>
      <w:r>
        <w:fldChar w:fldCharType="begin"/>
      </w:r>
      <w:r>
        <w:rPr>
          <w:sz w:val="24"/>
          <w:szCs w:val="24"/>
          <w:lang w:val="pt-BR"/>
        </w:rPr>
        <w:instrText>ADDIN ZOTERO_ITEM CSL_CITATION {"citationID":"pIlX5KBh","properties":{"unsorted":false,"formattedCitation":"(Chen; Liu; Xie, 2024)","plainCitation":"(Chen; Liu; Xie, 2024)","noteIndex":0},"citationItems":[{"id":9547,"uris":["http://zotero.org/users/local/jXvEOtxa/items/6MGI26GW"],"itemData":{"id":9547,"type":"article-journal","abstract":"With the intensification of aging population, the prevention or treatment of neurodegenerative diseases, such as Parkinson's disease and Alzheimer's disease, have drawn more and more attentions. As a long used traditional Chinese medicine, Uncaria rhynchophylla (Miq.) Jacks., named Gouteng in Chinese, has been reported to have an effective neuroprotective role in neurodegenerative diseases. In this review, the beneficial pharmacological effects and signaling pathways of herbal formulas containing Uncaria rhynchophylla, especially major compounds identified from Uncaria rhynchophylla, including corynoxine B, corynoxine, rhynchophylline, isorhynchophylline, in neurodegenerative diseases were summarized, which not only provide an overview of Uncaria rhynchophylla for the prevention or treatment of neurodegenerative diseases, but also give some perspective to development new drugs from traditional Chinese medicine.","container-title":"Frontiers in Pharmacology","DOI":"10.3389/fphar.2024.1436481","ISSN":"1663-9812","journalAbbreviation":"Front. Pharmacol.","language":"English","publisher":"Frontiers","source":"Frontiers","title":"The beneficial pharmacological effects of Uncaria rhynchophylla in neurodegenerative diseases: focus on alkaloids","title-short":"The beneficial pharmacological effects of Uncaria rhynchophylla in neurodegenerative diseases","URL":"https://www.frontiersin.org/journals/pharmacology/articles/10.3389/fphar.2024.1436481/full","volume":"15","author":[{"family":"Chen","given":"Leilei"},{"family":"Liu","given":"Yingjuan"},{"family":"Xie","given":"Junxia"}],"accessed":{"date-parts":[["2026",6,27]]},"issued":{"date-parts":[["2024",7,31]]}}}],"schema":"https://github.com/citation-style-language/schema/raw/master/csl-citation.json"}</w:instrText>
      </w:r>
      <w:r>
        <w:rPr>
          <w:sz w:val="24"/>
          <w:szCs w:val="24"/>
          <w:lang w:val="pt-BR"/>
        </w:rPr>
        <w:fldChar w:fldCharType="separate"/>
      </w:r>
      <w:r>
        <w:rPr>
          <w:sz w:val="24"/>
          <w:lang w:val="pt-BR"/>
        </w:rPr>
        <w:t>(Chen; Liu; Xie, 2024)</w:t>
      </w:r>
      <w:r>
        <w:rPr>
          <w:sz w:val="24"/>
          <w:szCs w:val="24"/>
          <w:lang w:val="pt-BR"/>
        </w:rPr>
        <w:fldChar w:fldCharType="end"/>
      </w:r>
      <w:r>
        <w:rPr>
          <w:sz w:val="24"/>
          <w:szCs w:val="24"/>
          <w:lang w:val="pt-BR"/>
        </w:rPr>
        <w:t xml:space="preserve">. </w:t>
      </w:r>
      <w:r>
        <w:rPr>
          <w:sz w:val="24"/>
          <w:szCs w:val="24"/>
        </w:rPr>
        <w:t xml:space="preserve">Entre esses contaminantes destacam-se compostos bioativos utilizados na medicina humana e veterinária, cujos metabólitos podem atingir corpos d'água e </w:t>
      </w:r>
      <w:r>
        <w:rPr>
          <w:sz w:val="24"/>
          <w:szCs w:val="24"/>
        </w:rPr>
        <w:lastRenderedPageBreak/>
        <w:t xml:space="preserve">afetar organismos não-alvo, alterando processos ecológicos essenciais e reduzindo a resiliência dos ecossistemas naturais </w:t>
      </w:r>
      <w:r>
        <w:fldChar w:fldCharType="begin"/>
      </w:r>
      <w:r>
        <w:rPr>
          <w:sz w:val="24"/>
          <w:szCs w:val="24"/>
          <w:lang w:val="pt-BR"/>
        </w:rPr>
        <w:instrText>ADDIN ZOTERO_ITEM CSL_CITATION {"citationID":"d7UBh0eA","properties":{"unsorted":false,"formattedCitation":"(De Almeida-Junior et al., 2023)","plainCitation":"(De Almeida-Junior et al., 2023)","noteIndex":0},"citationItems":[{"id":6992,"uris":["http://zotero.org/users/local/jXvEOtxa/items/V5STFDLX"],"itemData":{"id":6992,"type":"article-journal","abstract":"Propolis is a natural resinous product collected from different parts of plants by bees and mixed with their salivary secretions. The occurrence of more than 180 different chemotypes has flavonoids, phenolic acids, esters, and phenolic aldehydes, as well as balsamic resins, beeswax, pollen, and essential and aromatic oils, among others. Its biological potential documented throughout the world justifies the need, from time to time, to organize reviews on the subject, with the intention of gathering and informing about the update on propolis. In this review (CRD42020212971), phytochemical advances, in vitro, in vivo, and clinical biological assays of pharmacological interest are showcased. The focus of this work is to present propolis clinical safety assays, antitumor, analgesic, antioxidant, anti-inflammatory, and antimicrobial activities. This literature review highlights propolis' promising biological activity, as it also suggests that studies associating propolis with nanotechnology should be further explored for enhanced bioprocessing applications.","container-title":"Fundamental &amp; Clinical Pharmacology","DOI":"10.1111/fcp.12898","ISSN":"1472-8206","issue":"5","journalAbbreviation":"Fundam Clin Pharmacol","language":"eng","page":"886-899","PMID":"37038052","source":"PubMed","title":"Advances in the phytochemical screening and biological potential of propolis","volume":"37","author":[{"family":"Almeida-Junior","given":"Silvio","non-dropping-particle":"de"},{"family":"Ferraz","given":"Matheus Vitor Ferreira"},{"family":"Oliveira","given":"Alex Roberto","non-dropping-particle":"de"},{"family":"Maniglia","given":"Fabíola Pansani"},{"family":"Bastos","given":"Jairo Kenupp"},{"family":"Furtado","given":"Ricardo Andrade"}],"issued":{"date-parts":[["2023",10]]}}}],"schema":"https://github.com/citation-style-language/schema/raw/master/csl-citation.json"}</w:instrText>
      </w:r>
      <w:r>
        <w:rPr>
          <w:sz w:val="24"/>
          <w:szCs w:val="24"/>
          <w:lang w:val="pt-BR"/>
        </w:rPr>
        <w:fldChar w:fldCharType="separate"/>
      </w:r>
      <w:r>
        <w:rPr>
          <w:sz w:val="24"/>
          <w:lang w:val="pt-BR"/>
        </w:rPr>
        <w:t>(De Almeida-Junior et al., 2023)</w:t>
      </w:r>
      <w:r>
        <w:rPr>
          <w:sz w:val="24"/>
          <w:szCs w:val="24"/>
          <w:lang w:val="pt-BR"/>
        </w:rPr>
        <w:fldChar w:fldCharType="end"/>
      </w:r>
      <w:r>
        <w:rPr>
          <w:sz w:val="24"/>
          <w:szCs w:val="24"/>
          <w:lang w:val="pt-BR"/>
        </w:rPr>
        <w:t>.</w:t>
      </w:r>
    </w:p>
    <w:p w14:paraId="3BEFAC23" w14:textId="77777777" w:rsidR="00B71B8F" w:rsidRDefault="00000000">
      <w:pPr>
        <w:pStyle w:val="Corpodetexto"/>
        <w:spacing w:before="1" w:line="360" w:lineRule="auto"/>
        <w:ind w:firstLine="720"/>
        <w:jc w:val="both"/>
        <w:rPr>
          <w:sz w:val="24"/>
          <w:szCs w:val="24"/>
          <w:lang w:val="pt-BR"/>
        </w:rPr>
      </w:pPr>
      <w:r>
        <w:rPr>
          <w:sz w:val="24"/>
          <w:szCs w:val="24"/>
          <w:lang w:val="pt-BR"/>
        </w:rPr>
        <w:t xml:space="preserve">Entretanto, além da eficácia terapêutica e da segurança clínica, o desenvolvimento de novas moléculas deve considerar seus possíveis impactos ambientais, uma vez que fármacos e seus metabólitos podem alcançar ecossistemas aquáticos por meio de diversos efluentes </w:t>
      </w:r>
      <w:r>
        <w:fldChar w:fldCharType="begin"/>
      </w:r>
      <w:r>
        <w:rPr>
          <w:sz w:val="24"/>
          <w:szCs w:val="24"/>
          <w:lang w:val="pt-BR"/>
        </w:rPr>
        <w:instrText>ADDIN ZOTERO_ITEM CSL_CITATION {"citationID":"0WvuDOv7","properties":{"unsorted":false,"formattedCitation":"(Afonso; Ferreira; Moreira-Santos, 2024)","plainCitation":"(Afonso; Ferreira; Moreira-Santos, 2024)","noteIndex":0},"citationItems":[{"id":8397,"uris":["http://zotero.org/users/local/jXvEOtxa/items/QX73X45D"],"itemData":{"id":8397,"type":"article-journal","abstract":"Interest on aromatic and medicinal plants (AMP)-based products, especially crude extracts (CE) and essential oils (EO), has increased over recent years due to their bioactive and biopesticide properties, though a variety of these compounds is environmentally damaging. Aquatic organisms can easily be exposed to the toxicological risks of AMP-based products, but research exploring existing ecotoxicity data to non-target organisms is limited. The present study aimed to, for the first time, systematically review published evidence on the acute/short-term toxicity (LC50, EC50 or IC50) of CE and EO from AMP, comparing sensitivity of aquatic organisms. Eleven studies that reported the sensitivity of aquatic taxa and Daphnia sp. to CE and/or EO, were included in the review, contributing with 27 effect sizes, calculated as the response ratio R (EcotoxicityAquatTaxa/EcotoxicityDaphnia). Meta-analytic technics were used to estimate the overall sensitivity of aquatic taxa relative to Daphnia sp. while identifying moderators [plant preparation (CE or EO), extraction type, plant part, plant family, and aquatic taxa identity] potentially affecting relative sensitivities. The overall effect size R was 1.51 (95 % CI = 0.97 to 2.34, N = 27), indicating a non-significant difference in the toxicity of CE and EO to aquatic taxa relative to Daphnia sp. However, the high heterogeneity among individual effect sizes (I2 = 99 %) suggested opposing responses of aquatic taxa relative to Daphnia sp. The magnitude of effects (R) was strongly influenced only by plant family. Daphnia sp. arose as a potential model organism for assessing the ecotoxicity of CE and EO, along with the fish Danio rerio and the crustacean Thamnocephalus platyurus, while Artemia sp. seems a relevant alternative for a preliminary screening. Likewise, the current study sheds light on the (underestimated) toxicity of CE and EO to aquatic ecosystems and that much remains to be uncovered, providing insights and recommendations for future research.","container-title":"The Science of the Total Environment","DOI":"10.1016/j.scitotenv.2023.168467","ISSN":"1879-1026","journalAbbreviation":"Sci Total Environ","language":"eng","page":"168467","PMID":"37951254","source":"PubMed","title":"Comparing the sensitivity of aquatic organisms relative to Daphnia sp. toward essential oils and crude extracts: A meta-analysis","title-short":"Comparing the sensitivity of aquatic organisms relative to Daphnia sp. toward essential oils and crude extracts","volume":"908","author":[{"family":"Afonso","given":"Sandra"},{"family":"Ferreira","given":"Verónica"},{"family":"Moreira-Santos","given":"Matilde"}],"issued":{"date-parts":[["2024",1,15]]}}}],"schema":"https://github.com/citation-style-language/schema/raw/master/csl-citation.json"}</w:instrText>
      </w:r>
      <w:r>
        <w:rPr>
          <w:sz w:val="24"/>
          <w:szCs w:val="24"/>
          <w:lang w:val="pt-BR"/>
        </w:rPr>
        <w:fldChar w:fldCharType="separate"/>
      </w:r>
      <w:r>
        <w:rPr>
          <w:sz w:val="24"/>
          <w:lang w:val="pt-BR"/>
        </w:rPr>
        <w:t>(Afonso; Ferreira; Moreira-Santos, 2024)</w:t>
      </w:r>
      <w:r>
        <w:rPr>
          <w:sz w:val="24"/>
          <w:szCs w:val="24"/>
          <w:lang w:val="pt-BR"/>
        </w:rPr>
        <w:fldChar w:fldCharType="end"/>
      </w:r>
      <w:r>
        <w:rPr>
          <w:sz w:val="24"/>
          <w:szCs w:val="24"/>
          <w:lang w:val="pt-BR"/>
        </w:rPr>
        <w:t>.</w:t>
      </w:r>
    </w:p>
    <w:p w14:paraId="74AB8EDB" w14:textId="77777777" w:rsidR="00B71B8F" w:rsidRDefault="00000000">
      <w:pPr>
        <w:pStyle w:val="Corpodetexto"/>
        <w:spacing w:before="1" w:line="360" w:lineRule="auto"/>
        <w:ind w:firstLine="720"/>
        <w:jc w:val="both"/>
        <w:rPr>
          <w:sz w:val="24"/>
          <w:szCs w:val="24"/>
          <w:lang w:val="pt-BR"/>
        </w:rPr>
      </w:pPr>
      <w:r>
        <w:rPr>
          <w:sz w:val="24"/>
          <w:szCs w:val="24"/>
          <w:lang w:val="pt-BR"/>
        </w:rPr>
        <w:t xml:space="preserve">Nesse contexto, a ecotoxicologia </w:t>
      </w:r>
      <w:r>
        <w:fldChar w:fldCharType="begin"/>
      </w:r>
      <w:r>
        <w:rPr>
          <w:sz w:val="24"/>
          <w:szCs w:val="24"/>
          <w:lang w:val="pt-BR"/>
        </w:rPr>
        <w:instrText>ADDIN ZOTERO_ITEM CSL_CITATION {"citationID":"iVL1x982","properties":{"unsorted":false,"formattedCitation":"(Callegaro et al., 2015)","plainCitation":"(Callegaro et al., 2015)","noteIndex":0},"citationItems":[{"id":8403,"uris":["http://zotero.org/users/local/jXvEOtxa/items/9Q4UZWJV"],"itemData":{"id":8403,"type":"article-journal","abstract":"The large-scale use of titanium dioxide nanoparticles (nano-TiO₂) in consumer and industrial applications raised environmental health and safety concerns. Potentially impacted ecosystems include estuarine and coastal organisms. Results from ecotoxicological studies with nano-TiO₂ dispersed in salt exposure media are difficult to interpret due to fast flocculation and sedimentation phenomena affecting the dispersion stability. The goal of this study was to investigate the stabilisation effect of alginate on uncoated nano-Ti₂2 in artificial seawater dispersions used in ecotoxicity bioassays. The most effective stabilisation was obtained at alginate concentration of 0.45 g/L after sonicating dispersions for 20 min (100 W). The size distribution remained constant after re-suspension, indicating that no agglomeration occurred after deposition. Ecotoxicity tests on Artemia franciscana and Phaeodactylum tricornutum did not show any adverse effects related to the presence of alginate in the exposure media, and provided evidence on possible reduced bioavailability of nano-TiO₂. The suitable concentration of alginate is recommended to occur on a case-by-case basis.","container-title":"Ecotoxicology and Environmental Safety","DOI":"10.1016/j.ecoenv.2015.03.030","ISSN":"1090-2414","journalAbbreviation":"Ecotoxicol Environ Saf","language":"eng","page":"107-114","PMID":"25841066","source":"PubMed","title":"Effects of alginate on stability and ecotoxicity of nano-TiO2 in artificial seawater","volume":"117","author":[{"family":"Callegaro","given":"Sarah"},{"family":"Minetto","given":"Diego"},{"family":"Pojana","given":"Giulio"},{"family":"Bilanicová","given":"Dagmar"},{"family":"Libralato","given":"Giovanni"},{"family":"Volpi Ghirardini","given":"Annamaria"},{"family":"Hassellöv","given":"Martin"},{"family":"Marcomini","given":"Antonio"}],"issued":{"date-parts":[["2015",7]]}}}],"schema":"https://github.com/citation-style-language/schema/raw/master/csl-citation.json"}</w:instrText>
      </w:r>
      <w:r>
        <w:rPr>
          <w:sz w:val="24"/>
          <w:szCs w:val="24"/>
          <w:lang w:val="pt-BR"/>
        </w:rPr>
        <w:fldChar w:fldCharType="separate"/>
      </w:r>
      <w:r>
        <w:rPr>
          <w:sz w:val="24"/>
          <w:lang w:val="pt-BR"/>
        </w:rPr>
        <w:t>(Callegaro et al., 2015)</w:t>
      </w:r>
      <w:r>
        <w:rPr>
          <w:sz w:val="24"/>
          <w:szCs w:val="24"/>
          <w:lang w:val="pt-BR"/>
        </w:rPr>
        <w:fldChar w:fldCharType="end"/>
      </w:r>
      <w:r>
        <w:rPr>
          <w:sz w:val="24"/>
          <w:szCs w:val="24"/>
          <w:lang w:val="pt-BR"/>
        </w:rPr>
        <w:t xml:space="preserve"> tem assumido papel estratégico no desenvolvimento sustentável de medicamentos, permitindo estimar os efeitos de compostos bioativos sobre organismos não alvo antes mesmo da realização de ensaios experimentais. Ferramentas computacionais baseadas em relações quantitativas entre estrutura química e atividade ((Q)SAR) </w:t>
      </w:r>
      <w:r>
        <w:fldChar w:fldCharType="begin"/>
      </w:r>
      <w:r>
        <w:rPr>
          <w:sz w:val="24"/>
          <w:szCs w:val="24"/>
          <w:lang w:val="pt-BR"/>
        </w:rPr>
        <w:instrText>ADDIN ZOTERO_ITEM CSL_CITATION {"citationID":"lGaWqwYw","properties":{"unsorted":false,"formattedCitation":"(Lagunin et al., 2023)","plainCitation":"(Lagunin et al., 2023)","noteIndex":0},"citationItems":[{"id":8052,"uris":["http://zotero.org/users/local/jXvEOtxa/items/K77QS285"],"itemData":{"id":8052,"type":"article-journal","abstract":"In vitro cell-line cytotoxicity is widely used in the experimental studies of potential antineoplastic agents and evaluation of safety in drug discovery. In silico estimation of cytotoxicity against hundreds of tumor cell lines and dozens of normal cell lines considerably reduces the time and costs of drug development and the assessment of new pharmaceutical agent perspectives. In 2018, we developed the first freely available web application (CLC-Pred) for the qualitative prediction of cytotoxicity against 278 tumor and 27 normal cell lines based on structural formulas of 59,882 compounds. Here, we present a new version of this web application: CLC-Pred 2.0. It also employs the PASS (Prediction of Activity Spectra for Substance) approach based on substructural atom centric MNA descriptors and a Bayesian algorithm. CLC-Pred 2.0 provides three types of qualitative prediction: (1) cytotoxicity against 391 tumor and 47 normal human cell lines based on ChEMBL and PubChem data (128,545 structures) with a mean accuracy of prediction (AUC), calculated by the leave-one-out (LOO CV) and the 20-fold cross-validation (20F CV) procedures, of 0.925 and 0.923, respectively; (2) cytotoxicity against an NCI60 tumor cell-line panel based on the Developmental Therapeutics Program’s NCI60 data (22,726 structures) with different thresholds of IG50 data (100, 10 and 1 nM) and a mean accuracy of prediction from 0.870 to 0.945 (LOO CV) and from 0.869 to 0.942 (20F CV), respectively; (3) 2170 molecular mechanisms of actions based on ChEMBL and PubChem data (656,011 structures) with a mean accuracy of prediction 0.979 (LOO CV) and 0.978 (20F CV). Therefore, CLC-Pred 2.0 is a significant extension of the capabilities of the initial web application.","container-title":"International Journal of Molecular Sciences","DOI":"10.3390/ijms24021689","ISSN":"1422-0067","issue":"2","language":"en","license":"http://creativecommons.org/licenses/by/3.0/","note":"number: 2","page":"1689","publisher":"Multidisciplinary Digital Publishing Institute","source":"www.mdpi.com","title":"CLC-Pred 2.0: A Freely Available Web Application for In Silico Prediction of Human Cell Line Cytotoxicity and Molecular Mechanisms of Action for Druglike Compounds","title-short":"CLC-Pred 2.0","volume":"24","author":[{"family":"Lagunin","given":"Alexey A."},{"family":"Rudik","given":"Anastasia V."},{"family":"Pogodin","given":"Pavel V."},{"family":"Savosina","given":"Polina I."},{"family":"Tarasova","given":"Olga A."},{"family":"Dmitriev","given":"Alexander V."},{"family":"Ivanov","given":"Sergey M."},{"family":"Biziukova","given":"Nadezhda Y."},{"family":"Druzhilovskiy","given":"Dmitry S."},{"family":"Filimonov","given":"Dmitry A."},{"family":"Poroikov","given":"Vladimir V."}],"issued":{"date-parts":[["2023",1]]}}}],"schema":"https://github.com/citation-style-language/schema/raw/master/csl-citation.json"}</w:instrText>
      </w:r>
      <w:r>
        <w:rPr>
          <w:sz w:val="24"/>
          <w:szCs w:val="24"/>
          <w:lang w:val="pt-BR"/>
        </w:rPr>
        <w:fldChar w:fldCharType="separate"/>
      </w:r>
      <w:r>
        <w:rPr>
          <w:sz w:val="24"/>
          <w:lang w:val="pt-BR"/>
        </w:rPr>
        <w:t>(Lagunin et al., 2023)</w:t>
      </w:r>
      <w:r>
        <w:rPr>
          <w:sz w:val="24"/>
          <w:szCs w:val="24"/>
          <w:lang w:val="pt-BR"/>
        </w:rPr>
        <w:fldChar w:fldCharType="end"/>
      </w:r>
      <w:r>
        <w:rPr>
          <w:sz w:val="24"/>
          <w:szCs w:val="24"/>
          <w:lang w:val="pt-BR"/>
        </w:rPr>
        <w:t xml:space="preserve"> representam uma alternativa rápida, de baixo custo e alinhada aos princípios dos 3Rs e da química verde, possibilitando a identificação precoce de moléculas com maior segurança ambiental.</w:t>
      </w:r>
    </w:p>
    <w:p w14:paraId="74946715" w14:textId="77777777" w:rsidR="00B71B8F" w:rsidRDefault="00000000">
      <w:pPr>
        <w:pStyle w:val="Corpodetexto"/>
        <w:spacing w:before="1" w:line="360" w:lineRule="auto"/>
        <w:ind w:firstLine="720"/>
        <w:jc w:val="both"/>
        <w:rPr>
          <w:sz w:val="24"/>
          <w:szCs w:val="24"/>
          <w:lang w:val="pt-BR"/>
        </w:rPr>
      </w:pPr>
      <w:proofErr w:type="spellStart"/>
      <w:r>
        <w:rPr>
          <w:i/>
          <w:iCs/>
          <w:sz w:val="24"/>
          <w:szCs w:val="24"/>
          <w:lang w:val="pt-BR"/>
        </w:rPr>
        <w:t>Uncaria</w:t>
      </w:r>
      <w:proofErr w:type="spellEnd"/>
      <w:r>
        <w:rPr>
          <w:i/>
          <w:iCs/>
          <w:sz w:val="24"/>
          <w:szCs w:val="24"/>
          <w:lang w:val="pt-BR"/>
        </w:rPr>
        <w:t xml:space="preserve"> guianensis </w:t>
      </w:r>
      <w:r>
        <w:fldChar w:fldCharType="begin"/>
      </w:r>
      <w:r>
        <w:rPr>
          <w:i/>
          <w:iCs/>
          <w:sz w:val="24"/>
          <w:szCs w:val="24"/>
          <w:lang w:val="pt-BR"/>
        </w:rPr>
        <w:instrText>ADDIN ZOTERO_ITEM CSL_CITATION {"citationID":"ycXL9w6S","properties":{"unsorted":false,"formattedCitation":"(Hon\\uc0\\u243{}rio et al., 2018)","plainCitation":"(Honório et al., 2018)","noteIndex":0},"citationItems":[{"id":8027,"uris":["http://zotero.org/users/local/jXvEOtxa/items/DHJHHGYN"],"itemData":{"id":8027,"type":"article-journal","abstract":"Uncaria guianensis is native to the Amazon and is used traditionally as an anti-inflammatory. Natural populations of the species have declined markedly in recent times because of strong anthropic pressure brought about by deforestation and indiscriminate collection. The aim of the present study was to assess the genetic and chemical diversity among eight natural populations of U. guianensis located in the Brazilian states of Acre, Amapá and Amazonas. A set of four primer combinations was employed in sequence-related amplified polymorphism (SRAP) amplifications of leaf DNA, and the fragments were analyzed in an LI-COR model 4300 DNA Analyzer. Genetic variability within the populations (81%) was substantially greater than that detected between them (19%). The highest percentage of polymorphic loci (90.21%) and the largest genetic variability were observed in the population located in Mazagão, Amapá. Genetic differentiation between populations was high (Fst = 0.188) and the studied populations formed three distinct genetic groups (K = 3). The population located in Assis Brasil, Acre, presented the highest average content of the mitraphylline (0.60 mg/g dry weight,). However, mitraphylline and isomitraphylline not detected in most individuals in the studied populations, and it is questionable whether they should be considered as chemical markers of the species. The genetic data confirm the urgent need for conservation programs for U. guianensis, and for further studies aimed at ascertaining the genetic basis and heritability of alkaloid accumulation.","container-title":"PloS One","DOI":"10.1371/journal.pone.0205667","ISSN":"1932-6203","issue":"10","journalAbbreviation":"PLoS One","language":"eng","page":"e0205667","PMID":"30365495","PMCID":"PMC6203251","source":"PubMed","title":"Genetic structure and chemical diversity in natural populations of Uncaria guianensis (Aubl.) J.F.Gmel. (Rubiaceae)","volume":"13","author":[{"family":"Honório","given":"Isabela Cristina G."},{"family":"Coppede","given":"Juliana S."},{"family":"Delprete","given":"Piero G."},{"family":"Costa","given":"Frederico Henrique S."},{"family":"Telles","given":"Mariana P. C."},{"family":"Braga","given":"Ramilla S."},{"family":"Diniz-Filho","given":"José Alexandre F."},{"family":"Correa","given":"Valéria S. C."},{"family":"França","given":"Suzelei C."},{"family":"Pereira","given":"Ana Maria S."},{"family":"Bertoni","given":"Bianca Waleria"}],"issued":{"date-parts":[["2018"]]}}}],"schema":"https://github.com/citation-style-language/schema/raw/master/csl-citation.json"}</w:instrText>
      </w:r>
      <w:r>
        <w:rPr>
          <w:i/>
          <w:iCs/>
          <w:sz w:val="24"/>
          <w:szCs w:val="24"/>
          <w:lang w:val="pt-BR"/>
        </w:rPr>
        <w:fldChar w:fldCharType="separate"/>
      </w:r>
      <w:r>
        <w:rPr>
          <w:sz w:val="24"/>
        </w:rPr>
        <w:t>(Honório et al., 2018)</w:t>
      </w:r>
      <w:r>
        <w:rPr>
          <w:i/>
          <w:iCs/>
          <w:sz w:val="24"/>
          <w:szCs w:val="24"/>
          <w:lang w:val="pt-BR"/>
        </w:rPr>
        <w:fldChar w:fldCharType="end"/>
      </w:r>
      <w:r>
        <w:rPr>
          <w:sz w:val="24"/>
          <w:szCs w:val="24"/>
          <w:lang w:val="pt-BR"/>
        </w:rPr>
        <w:t xml:space="preserve">, espécie medicinal amplamente distribuída na Amazônia, destaca-se pela presença de alcaloides </w:t>
      </w:r>
      <w:proofErr w:type="spellStart"/>
      <w:r>
        <w:rPr>
          <w:sz w:val="24"/>
          <w:szCs w:val="24"/>
          <w:lang w:val="pt-BR"/>
        </w:rPr>
        <w:t>oxindólicos</w:t>
      </w:r>
      <w:proofErr w:type="spellEnd"/>
      <w:r>
        <w:rPr>
          <w:sz w:val="24"/>
          <w:szCs w:val="24"/>
          <w:lang w:val="pt-BR"/>
        </w:rPr>
        <w:t xml:space="preserve">, flavonoides e derivados fenólicos associados a atividades anti-inflamatórias, antioxidantes, antimicrobianas e </w:t>
      </w:r>
      <w:proofErr w:type="spellStart"/>
      <w:r>
        <w:rPr>
          <w:sz w:val="24"/>
          <w:szCs w:val="24"/>
          <w:lang w:val="pt-BR"/>
        </w:rPr>
        <w:t>neuroprotetoras</w:t>
      </w:r>
      <w:proofErr w:type="spellEnd"/>
      <w:r>
        <w:rPr>
          <w:sz w:val="24"/>
          <w:szCs w:val="24"/>
          <w:lang w:val="pt-BR"/>
        </w:rPr>
        <w:t>. Apesar do elevado potencial farmacológico desses metabólitos, informações sobre seu comportamento ecotoxicológico permanecem escassas.</w:t>
      </w:r>
    </w:p>
    <w:p w14:paraId="7C4396D2" w14:textId="77777777" w:rsidR="00B71B8F" w:rsidRDefault="00000000">
      <w:pPr>
        <w:pStyle w:val="Corpodetexto"/>
        <w:spacing w:before="1" w:line="360" w:lineRule="auto"/>
        <w:ind w:firstLine="720"/>
        <w:jc w:val="both"/>
        <w:rPr>
          <w:sz w:val="24"/>
          <w:szCs w:val="24"/>
          <w:lang w:val="pt-BR"/>
        </w:rPr>
      </w:pPr>
      <w:r>
        <w:rPr>
          <w:sz w:val="24"/>
          <w:szCs w:val="24"/>
          <w:lang w:val="pt-BR"/>
        </w:rPr>
        <w:t xml:space="preserve">Diante desse cenário, o presente estudo teve como objetivo avaliar, por meio de modelos preditivos (Q)SAR, o potencial de bioacumulação e a toxicidade aquática dos principais metabólitos de </w:t>
      </w:r>
      <w:r>
        <w:rPr>
          <w:i/>
          <w:iCs/>
          <w:sz w:val="24"/>
          <w:szCs w:val="24"/>
          <w:lang w:val="pt-BR"/>
        </w:rPr>
        <w:t>U. guianensis</w:t>
      </w:r>
      <w:r>
        <w:rPr>
          <w:sz w:val="24"/>
          <w:szCs w:val="24"/>
          <w:lang w:val="pt-BR"/>
        </w:rPr>
        <w:t>, contribuindo para a identificação de compostos bioativos com maior segurança ambiental e para o desenvolvimento sustentável de novos medicamentos.</w:t>
      </w:r>
    </w:p>
    <w:p w14:paraId="47FE02C8" w14:textId="77777777" w:rsidR="00B71B8F" w:rsidRDefault="00B71B8F">
      <w:pPr>
        <w:pStyle w:val="Corpodetexto"/>
        <w:spacing w:before="1" w:line="360" w:lineRule="auto"/>
        <w:jc w:val="both"/>
        <w:rPr>
          <w:sz w:val="24"/>
          <w:szCs w:val="24"/>
        </w:rPr>
      </w:pPr>
    </w:p>
    <w:p w14:paraId="76BD7C4F" w14:textId="77777777" w:rsidR="00B71B8F" w:rsidRDefault="00000000">
      <w:pPr>
        <w:pStyle w:val="Corpodetexto"/>
        <w:spacing w:before="1" w:line="360" w:lineRule="auto"/>
        <w:jc w:val="both"/>
        <w:rPr>
          <w:b/>
          <w:bCs/>
          <w:sz w:val="28"/>
          <w:szCs w:val="28"/>
        </w:rPr>
      </w:pPr>
      <w:r>
        <w:rPr>
          <w:b/>
          <w:bCs/>
          <w:sz w:val="28"/>
          <w:szCs w:val="28"/>
        </w:rPr>
        <w:t>Metodologia</w:t>
      </w:r>
    </w:p>
    <w:p w14:paraId="5E56D1BE" w14:textId="77777777" w:rsidR="00B71B8F" w:rsidRDefault="00000000">
      <w:pPr>
        <w:pStyle w:val="Corpodetexto"/>
        <w:spacing w:before="1" w:line="360" w:lineRule="auto"/>
        <w:ind w:firstLine="720"/>
        <w:jc w:val="both"/>
        <w:rPr>
          <w:sz w:val="24"/>
          <w:szCs w:val="24"/>
          <w:lang w:val="pt-BR"/>
        </w:rPr>
      </w:pPr>
      <w:r>
        <w:rPr>
          <w:sz w:val="24"/>
          <w:szCs w:val="24"/>
          <w:lang w:val="pt-BR"/>
        </w:rPr>
        <w:t xml:space="preserve">Os metabólitos de </w:t>
      </w:r>
      <w:r>
        <w:rPr>
          <w:i/>
          <w:iCs/>
          <w:sz w:val="24"/>
          <w:szCs w:val="24"/>
          <w:lang w:val="pt-BR"/>
        </w:rPr>
        <w:t>U. guianensis</w:t>
      </w:r>
      <w:r>
        <w:rPr>
          <w:sz w:val="24"/>
          <w:szCs w:val="24"/>
          <w:lang w:val="pt-BR"/>
        </w:rPr>
        <w:t xml:space="preserve"> foram selecionados a partir de estudos fitoquímicos previamente publicados </w:t>
      </w:r>
      <w:r>
        <w:fldChar w:fldCharType="begin"/>
      </w:r>
      <w:r>
        <w:rPr>
          <w:sz w:val="24"/>
          <w:szCs w:val="24"/>
          <w:lang w:val="pt-BR"/>
        </w:rPr>
        <w:instrText>ADDIN ZOTERO_ITEM CSL_CITATION {"citationID":"QDXAjpQx","properties":{"unsorted":true,"formattedCitation":"(Y\\uc0\\u233{}pez et al., 1991; Valente et al., 2009; Hon\\uc0\\u243{}rio; Bertoni; Pereira, 2016; Hon\\uc0\\u243{}rio et al., 2018)","plainCitation":"(Yépez et al., 1991; Valente et al., 2009; Honório; Bertoni; Pereira, 2016; Honório et al., 2018)","noteIndex":0},"citationItems":[{"id":8115,"uris":["http://zotero.org/users/local/jXvEOtxa/items/INE58RNN"],"itemData":{"id":8115,"type":"article-journal","abstract":"From the bark of Uncaria guianensis, two new quinovic acid glycosides, quinovic acid 3 beta-O-beta-D-quinovopyranoside and quinovic acid 3 beta-O-beta-D-fucopyranosyl-(27----1)-beta-D-glucopyranosylester, have been isolated, in addition to known quinovic acid 3 beta-O-[beta-D-glucopyranosyl-(1----3)-beta-D-fucopyranosyl]-(27----1)- beta-D-glucopyranosylester and quinovic acid 3 beta-O-beta-D-fucopyranoside. Their structures were elucidated by spectral and chemical studies.","container-title":"Phytochemistry","DOI":"10.1016/0031-9422(91)84223-f","ISSN":"0031-9422","issue":"5","journalAbbreviation":"Phytochemistry","language":"eng","page":"1635-1637","PMID":"1367339","source":"PubMed","title":"Quinovic acid glycosides from Uncaria guianensis","volume":"30","author":[{"family":"Yépez","given":"A. M."},{"family":"Ugaz","given":"O. L.","non-dropping-particle":"de"},{"family":"Alvarez","given":"C. M."},{"family":"De Feo","given":"V."},{"family":"Aquino","given":"R."},{"family":"De Simone","given":"F."},{"family":"Pizza","given":"C."}],"issued":{"date-parts":[["1991"]]}}},{"id":8125,"uris":["http://zotero.org/users/local/jXvEOtxa/items/CXTHXH59"],"itemData":{"id":8125,"type":"article-journal","abstract":"Uncaria tomentosa (Willd.) DC. and U. guianensis (Aubl.) Gmel., known as cat's claw, are large woody vines native to the Amazonian and Central American rainforests. The species contain, in different proportions, indole and oxindole alkaloids, triterpenoid glycosides, sterols and proanthocyanidins. U. tomentosa can be chemically identified by its oxindole alkaloid profile and content, whereas U. guianensis has no satisfactorily established chemical markers. This work describes, for the first time, the isolation of kaempferol-3,7-O-(α)-dirhamnoside (kaempferitrin) in Uncaria species. Screening for this compound in leaves, stems or bark of both species through TLC and HPLC-DAD-MS showed the presence of kaempferitrin only in the leaves and stems of U. guianensis, at a ratio almost thirty six times greater in the leaves than in the stems. These results reveal the selectivity of U. guianensis to produce this bioactive flavonoid glycoside, and suggest this compound as a potential chemical marker for the species.","container-title":"Journal of the Brazilian Chemical Society","DOI":"https://doi.org/10.1590/S0103-50532009000600007","ISSN":"0103-5053, 1678-4790","journalAbbreviation":"J. Braz. Chem. Soc.","language":"en","page":"1041-1045","publisher":"Sociedade Brasileira de Química","source":"SciELO","title":"Kaempferitrin from Uncaria guianensis (Rubiaceae) and its potential as a chemical marker for the species","volume":"20","author":[{"family":"Valente","given":"Ligia M. M."},{"family":"Bizarri","given":"Carlos H. B."},{"family":"Liechocki","given":"Sally"},{"family":"Barboza","given":"Rodolfo S."},{"family":"Paixão","given":"Djavan","dropping-particle":"da"},{"family":"Almeida","given":"M. Beatriz S."},{"family":"Benevides","given":"Paulo J. C."},{"family":"Magalhães","given":"Alvicler"},{"family":"Siani","given":"Antonio C."}],"issued":{"date-parts":[["2009"]]}}},{"id":8030,"uris":["http://zotero.org/users/local/jXvEOtxa/items/ELXZS7KX"],"itemData":{"id":8030,"type":"article-journal","abstract":"ABSTRACT: TheUncaria tomentosa andUncaria guianensis species, which are endemic plants in the Amazonian region, are highlighted as medicinal plants mainly because of their anti-inflammatory activity. The vegetal drug and various types of extracts have been commercialized by pharmaceutical industries and distributed in several countries, thus configuring the economic potential of both species. The objective of the present research was to collect agronomical data published in PubMed, SciELO, and Scopus databases and analyze the main subjects that were either investigated or not investigated to enable the production chain of these species. The conclusion is that U. guianensis has been less studied thanU. tomentosa under all aspects evaluated. Both species have been exploited in an extractivistic way. However, no report was found on either sustainable management or conservation or domestication strategies or yet large scale production that can continuously attend the global demand of the pharmaceutic industry. Furthermore, the amount currently produced is insufficient to supply the program of the Ministry of Health, which intends to provide herbal drugs fromUncaria to all Brazilian cities.","container-title":"Ciência Rural","DOI":"https://doi.org/10.1590/0103-8478cr20150138","ISSN":"0103-8478, 1678-4596","journalAbbreviation":"Cienc. Rural","language":"en","page":"1401-1410","publisher":"Universidade Federal de Santa Maria","source":"SciELO","title":"Uncaria tomentosa and Uncaria guianensis an agronomic history to be written","volume":"46","author":[{"family":"Honório","given":"Isabela Cristina Gomes"},{"family":"Bertoni","given":"Bianca Waléria"},{"family":"Pereira","given":"Ana Maria Soares"}],"issued":{"date-parts":[["2016",8]]}}},{"id":8027,"uris":["http://zotero.org/users/local/jXvEOtxa/items/DHJHHGYN"],"itemData":{"id":8027,"type":"article-journal","abstract":"Uncaria guianensis is native to the Amazon and is used traditionally as an anti-inflammatory. Natural populations of the species have declined markedly in recent times because of strong anthropic pressure brought about by deforestation and indiscriminate collection. The aim of the present study was to assess the genetic and chemical diversity among eight natural populations of U. guianensis located in the Brazilian states of Acre, Amapá and Amazonas. A set of four primer combinations was employed in sequence-related amplified polymorphism (SRAP) amplifications of leaf DNA, and the fragments were analyzed in an LI-COR model 4300 DNA Analyzer. Genetic variability within the populations (81%) was substantially greater than that detected between them (19%). The highest percentage of polymorphic loci (90.21%) and the largest genetic variability were observed in the population located in Mazagão, Amapá. Genetic differentiation between populations was high (Fst = 0.188) and the studied populations formed three distinct genetic groups (K = 3). The population located in Assis Brasil, Acre, presented the highest average content of the mitraphylline (0.60 mg/g dry weight,). However, mitraphylline and isomitraphylline not detected in most individuals in the studied populations, and it is questionable whether they should be considered as chemical markers of the species. The genetic data confirm the urgent need for conservation programs for U. guianensis, and for further studies aimed at ascertaining the genetic basis and heritability of alkaloid accumulation.","container-title":"PloS One","DOI":"10.1371/journal.pone.0205667","ISSN":"1932-6203","issue":"10","journalAbbreviation":"PLoS One","language":"eng","page":"e0205667","PMID":"30365495","PMCID":"PMC6203251","source":"PubMed","title":"Genetic structure and chemical diversity in natural populations of Uncaria guianensis (Aubl.) J.F.Gmel. (Rubiaceae)","volume":"13","author":[{"family":"Honório","given":"Isabela Cristina G."},{"family":"Coppede","given":"Juliana S."},{"family":"Delprete","given":"Piero G."},{"family":"Costa","given":"Frederico Henrique S."},{"family":"Telles","given":"Mariana P. C."},{"family":"Braga","given":"Ramilla S."},{"family":"Diniz-Filho","given":"José Alexandre F."},{"family":"Correa","given":"Valéria S. C."},{"family":"França","given":"Suzelei C."},{"family":"Pereira","given":"Ana Maria S."},{"family":"Bertoni","given":"Bianca Waleria"}],"issued":{"date-parts":[["2018"]]}}}],"schema":"https://github.com/citation-style-language/schema/raw/master/csl-citation.json"}</w:instrText>
      </w:r>
      <w:r>
        <w:rPr>
          <w:sz w:val="24"/>
          <w:szCs w:val="24"/>
          <w:lang w:val="pt-BR"/>
        </w:rPr>
        <w:fldChar w:fldCharType="separate"/>
      </w:r>
      <w:r>
        <w:rPr>
          <w:sz w:val="24"/>
        </w:rPr>
        <w:t>(Yépez et al., 1991; Valente et al., 2009; Honório; Bertoni; Pereira, 2016; Honório et al., 2018)</w:t>
      </w:r>
      <w:r>
        <w:rPr>
          <w:sz w:val="24"/>
          <w:szCs w:val="24"/>
          <w:lang w:val="pt-BR"/>
        </w:rPr>
        <w:fldChar w:fldCharType="end"/>
      </w:r>
      <w:r>
        <w:rPr>
          <w:sz w:val="24"/>
          <w:szCs w:val="24"/>
          <w:lang w:val="pt-BR"/>
        </w:rPr>
        <w:t xml:space="preserve">, considerando sua representatividade na espécie, abundância relativa e potencial farmacológico. A seleção contemplou diferentes classes químicas, incluindo alcaloides </w:t>
      </w:r>
      <w:proofErr w:type="spellStart"/>
      <w:r>
        <w:rPr>
          <w:sz w:val="24"/>
          <w:szCs w:val="24"/>
          <w:lang w:val="pt-BR"/>
        </w:rPr>
        <w:t>oxindólicos</w:t>
      </w:r>
      <w:proofErr w:type="spellEnd"/>
      <w:r>
        <w:rPr>
          <w:sz w:val="24"/>
          <w:szCs w:val="24"/>
          <w:lang w:val="pt-BR"/>
        </w:rPr>
        <w:t xml:space="preserve"> (</w:t>
      </w:r>
      <w:proofErr w:type="spellStart"/>
      <w:r>
        <w:rPr>
          <w:sz w:val="24"/>
          <w:szCs w:val="24"/>
          <w:lang w:val="pt-BR"/>
        </w:rPr>
        <w:t>mitrafilina</w:t>
      </w:r>
      <w:proofErr w:type="spellEnd"/>
      <w:r>
        <w:rPr>
          <w:sz w:val="24"/>
          <w:szCs w:val="24"/>
          <w:lang w:val="pt-BR"/>
        </w:rPr>
        <w:t xml:space="preserve"> e </w:t>
      </w:r>
      <w:proofErr w:type="spellStart"/>
      <w:r>
        <w:rPr>
          <w:sz w:val="24"/>
          <w:szCs w:val="24"/>
          <w:lang w:val="pt-BR"/>
        </w:rPr>
        <w:t>rincofilina</w:t>
      </w:r>
      <w:proofErr w:type="spellEnd"/>
      <w:r>
        <w:rPr>
          <w:sz w:val="24"/>
          <w:szCs w:val="24"/>
          <w:lang w:val="pt-BR"/>
        </w:rPr>
        <w:t>), flavonoides (</w:t>
      </w:r>
      <w:proofErr w:type="spellStart"/>
      <w:r>
        <w:rPr>
          <w:sz w:val="24"/>
          <w:szCs w:val="24"/>
          <w:lang w:val="pt-BR"/>
        </w:rPr>
        <w:t>kaempferitrina</w:t>
      </w:r>
      <w:proofErr w:type="spellEnd"/>
      <w:r>
        <w:rPr>
          <w:sz w:val="24"/>
          <w:szCs w:val="24"/>
          <w:lang w:val="pt-BR"/>
        </w:rPr>
        <w:t xml:space="preserve">), triterpenos </w:t>
      </w:r>
      <w:proofErr w:type="spellStart"/>
      <w:r>
        <w:rPr>
          <w:sz w:val="24"/>
          <w:szCs w:val="24"/>
          <w:lang w:val="pt-BR"/>
        </w:rPr>
        <w:t>pentacíclicos</w:t>
      </w:r>
      <w:proofErr w:type="spellEnd"/>
      <w:r>
        <w:rPr>
          <w:sz w:val="24"/>
          <w:szCs w:val="24"/>
          <w:lang w:val="pt-BR"/>
        </w:rPr>
        <w:t xml:space="preserve"> (ácido </w:t>
      </w:r>
      <w:proofErr w:type="spellStart"/>
      <w:r>
        <w:rPr>
          <w:sz w:val="24"/>
          <w:szCs w:val="24"/>
          <w:lang w:val="pt-BR"/>
        </w:rPr>
        <w:t>quinóvico</w:t>
      </w:r>
      <w:proofErr w:type="spellEnd"/>
      <w:r>
        <w:rPr>
          <w:sz w:val="24"/>
          <w:szCs w:val="24"/>
          <w:lang w:val="pt-BR"/>
        </w:rPr>
        <w:t xml:space="preserve">) e derivados fenólicos (ácido </w:t>
      </w:r>
      <w:proofErr w:type="spellStart"/>
      <w:r>
        <w:rPr>
          <w:sz w:val="24"/>
          <w:szCs w:val="24"/>
          <w:lang w:val="pt-BR"/>
        </w:rPr>
        <w:t>quínico</w:t>
      </w:r>
      <w:proofErr w:type="spellEnd"/>
      <w:r>
        <w:rPr>
          <w:sz w:val="24"/>
          <w:szCs w:val="24"/>
          <w:lang w:val="pt-BR"/>
        </w:rPr>
        <w:t>, 3,5-di-</w:t>
      </w:r>
      <w:r>
        <w:rPr>
          <w:i/>
          <w:iCs/>
          <w:sz w:val="24"/>
          <w:szCs w:val="24"/>
          <w:lang w:val="pt-BR"/>
        </w:rPr>
        <w:t>O</w:t>
      </w:r>
      <w:r>
        <w:rPr>
          <w:sz w:val="24"/>
          <w:szCs w:val="24"/>
          <w:lang w:val="pt-BR"/>
        </w:rPr>
        <w:t>-cafeoilquínico e 4,5-di-</w:t>
      </w:r>
      <w:r>
        <w:rPr>
          <w:i/>
          <w:iCs/>
          <w:sz w:val="24"/>
          <w:szCs w:val="24"/>
          <w:lang w:val="pt-BR"/>
        </w:rPr>
        <w:t>O</w:t>
      </w:r>
      <w:r>
        <w:rPr>
          <w:sz w:val="24"/>
          <w:szCs w:val="24"/>
          <w:lang w:val="pt-BR"/>
        </w:rPr>
        <w:t xml:space="preserve">-cafeoilquínico), buscando representar a diversidade química dos metabólitos secundários presentes na espécie. As estruturas químicas foram obtidas em bases de dados públicas e convertidas para o formato SMILES, utilizado como entrada para as análises </w:t>
      </w:r>
      <w:r>
        <w:rPr>
          <w:sz w:val="24"/>
          <w:szCs w:val="24"/>
          <w:lang w:val="pt-BR"/>
        </w:rPr>
        <w:lastRenderedPageBreak/>
        <w:t>computacionais.</w:t>
      </w:r>
    </w:p>
    <w:p w14:paraId="43B9475B" w14:textId="77777777" w:rsidR="00B71B8F" w:rsidRDefault="00000000">
      <w:pPr>
        <w:pStyle w:val="Corpodetexto"/>
        <w:spacing w:before="1" w:line="360" w:lineRule="auto"/>
        <w:ind w:firstLine="720"/>
        <w:jc w:val="both"/>
        <w:rPr>
          <w:sz w:val="24"/>
          <w:szCs w:val="24"/>
          <w:lang w:val="pt-BR"/>
        </w:rPr>
      </w:pPr>
      <w:r>
        <w:rPr>
          <w:sz w:val="24"/>
          <w:szCs w:val="24"/>
          <w:lang w:val="pt-BR"/>
        </w:rPr>
        <w:t xml:space="preserve">A ecotoxicidade foi investigada por meio de modelos preditivos </w:t>
      </w:r>
      <w:r>
        <w:fldChar w:fldCharType="begin"/>
      </w:r>
      <w:r>
        <w:rPr>
          <w:sz w:val="24"/>
          <w:szCs w:val="24"/>
          <w:lang w:val="pt-BR"/>
        </w:rPr>
        <w:instrText>ADDIN ZOTERO_ITEM CSL_CITATION {"citationID":"R529qFoY","properties":{"unsorted":false,"formattedCitation":"(Lagunin et al., 2023; Nikolov; Wedebye, 2025)","plainCitation":"(Lagunin et al., 2023; Nikolov; Wedebye, 2025)","noteIndex":0},"citationItems":[{"id":8052,"uris":["http://zotero.org/users/local/jXvEOtxa/items/K77QS285"],"itemData":{"id":8052,"type":"article-journal","abstract":"In vitro cell-line cytotoxicity is widely used in the experimental studies of potential antineoplastic agents and evaluation of safety in drug discovery. In silico estimation of cytotoxicity against hundreds of tumor cell lines and dozens of normal cell lines considerably reduces the time and costs of drug development and the assessment of new pharmaceutical agent perspectives. In 2018, we developed the first freely available web application (CLC-Pred) for the qualitative prediction of cytotoxicity against 278 tumor and 27 normal cell lines based on structural formulas of 59,882 compounds. Here, we present a new version of this web application: CLC-Pred 2.0. It also employs the PASS (Prediction of Activity Spectra for Substance) approach based on substructural atom centric MNA descriptors and a Bayesian algorithm. CLC-Pred 2.0 provides three types of qualitative prediction: (1) cytotoxicity against 391 tumor and 47 normal human cell lines based on ChEMBL and PubChem data (128,545 structures) with a mean accuracy of prediction (AUC), calculated by the leave-one-out (LOO CV) and the 20-fold cross-validation (20F CV) procedures, of 0.925 and 0.923, respectively; (2) cytotoxicity against an NCI60 tumor cell-line panel based on the Developmental Therapeutics Program’s NCI60 data (22,726 structures) with different thresholds of IG50 data (100, 10 and 1 nM) and a mean accuracy of prediction from 0.870 to 0.945 (LOO CV) and from 0.869 to 0.942 (20F CV), respectively; (3) 2170 molecular mechanisms of actions based on ChEMBL and PubChem data (656,011 structures) with a mean accuracy of prediction 0.979 (LOO CV) and 0.978 (20F CV). Therefore, CLC-Pred 2.0 is a significant extension of the capabilities of the initial web application.","container-title":"International Journal of Molecular Sciences","DOI":"10.3390/ijms24021689","ISSN":"1422-0067","issue":"2","language":"en","license":"http://creativecommons.org/licenses/by/3.0/","note":"number: 2","page":"1689","publisher":"Multidisciplinary Digital Publishing Institute","source":"www.mdpi.com","title":"CLC-Pred 2.0: A Freely Available Web Application for In Silico Prediction of Human Cell Line Cytotoxicity and Molecular Mechanisms of Action for Druglike Compounds","title-short":"CLC-Pred 2.0","volume":"24","author":[{"family":"Lagunin","given":"Alexey A."},{"family":"Rudik","given":"Anastasia V."},{"family":"Pogodin","given":"Pavel V."},{"family":"Savosina","given":"Polina I."},{"family":"Tarasova","given":"Olga A."},{"family":"Dmitriev","given":"Alexander V."},{"family":"Ivanov","given":"Sergey M."},{"family":"Biziukova","given":"Nadezhda Y."},{"family":"Druzhilovskiy","given":"Dmitry S."},{"family":"Filimonov","given":"Dmitry A."},{"family":"Poroikov","given":"Vladimir V."}],"issued":{"date-parts":[["2023",1]]}}},{"id":8047,"uris":["http://zotero.org/users/local/jXvEOtxa/items/YV2RBCQG"],"itemData":{"id":8047,"type":"article-journal","abstract":"The trade-off between applicability domain size and prediction accuracy is a well-known phenomenon in QSAR. We have developed a modelling approach where multiple models with different applicability domain sizes and with different prediction accuracy are selected instead of a single best model. This approach is implemented in DanishQSAR, a new software for binary classification QSAR modelling, integrating descriptor calculation, descriptor selection, model development, validation and application. The various methods and options available in the software are automatically tested and efficiently combined during model development using a version of cross-validation-based grid search and post-hoc ensemble modelling. The resulting large and diverse pool of model candidates is then analysed to generate three hierarchies of models, optimized for sensitivity, specificity or balanced accuracy, respectively, for minimum to maximum coverage levels. When predicting a query compound, the system provides predictions from all models in the three hierarchies, at all coverage levels with user-defined steps, together with the individual model predictivity performances, producing a prediction profile rather than one prediction from a single model. Twenty data sets from the Danish (Q)SAR Database (https://qsar.food.dtu.dk) are used to demonstrate the performance. The developed binary classification models are highly accurate by cross- and external validation.","container-title":"SAR and QSAR in environmental research","DOI":"10.1080/1062936X.2025.2510964","ISSN":"1029-046X","issue":"5","journalAbbreviation":"SAR QSAR Environ Res","language":"eng","page":"365-391","PMID":"40462635","source":"PubMed","title":"High performance, large chemical coverage or both: DanishQSAR and hierarchies of post-hoc ensemble models optimized for sensitivity, specificity or balanced accuracy","title-short":"High performance, large chemical coverage or both","volume":"36","author":[{"family":"Nikolov","given":"N. G."},{"family":"Wedebye","given":"E. B."}],"issued":{"date-parts":[["2025",5]]}}}],"schema":"https://github.com/citation-style-language/schema/raw/master/csl-citation.json"}</w:instrText>
      </w:r>
      <w:r>
        <w:rPr>
          <w:sz w:val="24"/>
          <w:szCs w:val="24"/>
          <w:lang w:val="pt-BR"/>
        </w:rPr>
        <w:fldChar w:fldCharType="separate"/>
      </w:r>
      <w:r>
        <w:rPr>
          <w:sz w:val="24"/>
        </w:rPr>
        <w:t>(Lagunin et al., 2023; Nikolov; Wedebye, 2025)</w:t>
      </w:r>
      <w:r>
        <w:rPr>
          <w:sz w:val="24"/>
          <w:szCs w:val="24"/>
          <w:lang w:val="pt-BR"/>
        </w:rPr>
        <w:fldChar w:fldCharType="end"/>
      </w:r>
      <w:r>
        <w:rPr>
          <w:sz w:val="24"/>
          <w:szCs w:val="24"/>
        </w:rPr>
        <w:t xml:space="preserve"> </w:t>
      </w:r>
      <w:r>
        <w:rPr>
          <w:sz w:val="24"/>
          <w:szCs w:val="24"/>
          <w:lang w:val="pt-BR"/>
        </w:rPr>
        <w:t xml:space="preserve">baseados em relações quantitativas entre estrutura química e atividade ((Q)SAR), permitindo estimar o comportamento ambiental e a toxicidade aquática dos compostos sem a necessidade de ensaios experimentais. Foram avaliados parâmetros relacionados à toxicidade aguda em organismos-modelo amplamente empregados em estudos ecotoxicológicos, incluindo </w:t>
      </w:r>
      <w:proofErr w:type="spellStart"/>
      <w:r>
        <w:rPr>
          <w:i/>
          <w:iCs/>
          <w:sz w:val="24"/>
          <w:szCs w:val="24"/>
          <w:lang w:val="pt-BR"/>
        </w:rPr>
        <w:t>Daphnia</w:t>
      </w:r>
      <w:proofErr w:type="spellEnd"/>
      <w:r>
        <w:rPr>
          <w:i/>
          <w:iCs/>
          <w:sz w:val="24"/>
          <w:szCs w:val="24"/>
          <w:lang w:val="pt-BR"/>
        </w:rPr>
        <w:t xml:space="preserve"> magna</w:t>
      </w:r>
      <w:r>
        <w:rPr>
          <w:sz w:val="24"/>
          <w:szCs w:val="24"/>
          <w:lang w:val="pt-BR"/>
        </w:rPr>
        <w:t xml:space="preserve">, </w:t>
      </w:r>
      <w:proofErr w:type="spellStart"/>
      <w:r>
        <w:rPr>
          <w:i/>
          <w:iCs/>
          <w:sz w:val="24"/>
          <w:szCs w:val="24"/>
          <w:lang w:val="pt-BR"/>
        </w:rPr>
        <w:t>Pimephales</w:t>
      </w:r>
      <w:proofErr w:type="spellEnd"/>
      <w:r>
        <w:rPr>
          <w:i/>
          <w:iCs/>
          <w:sz w:val="24"/>
          <w:szCs w:val="24"/>
          <w:lang w:val="pt-BR"/>
        </w:rPr>
        <w:t xml:space="preserve"> </w:t>
      </w:r>
      <w:proofErr w:type="spellStart"/>
      <w:r>
        <w:rPr>
          <w:i/>
          <w:iCs/>
          <w:sz w:val="24"/>
          <w:szCs w:val="24"/>
          <w:lang w:val="pt-BR"/>
        </w:rPr>
        <w:t>promelas</w:t>
      </w:r>
      <w:proofErr w:type="spellEnd"/>
      <w:r>
        <w:rPr>
          <w:sz w:val="24"/>
          <w:szCs w:val="24"/>
          <w:lang w:val="pt-BR"/>
        </w:rPr>
        <w:t xml:space="preserve"> (</w:t>
      </w:r>
      <w:proofErr w:type="spellStart"/>
      <w:r>
        <w:rPr>
          <w:i/>
          <w:iCs/>
          <w:sz w:val="24"/>
          <w:szCs w:val="24"/>
          <w:lang w:val="pt-BR"/>
        </w:rPr>
        <w:t>fathead</w:t>
      </w:r>
      <w:proofErr w:type="spellEnd"/>
      <w:r>
        <w:rPr>
          <w:i/>
          <w:iCs/>
          <w:sz w:val="24"/>
          <w:szCs w:val="24"/>
          <w:lang w:val="pt-BR"/>
        </w:rPr>
        <w:t xml:space="preserve"> </w:t>
      </w:r>
      <w:proofErr w:type="spellStart"/>
      <w:r>
        <w:rPr>
          <w:i/>
          <w:iCs/>
          <w:sz w:val="24"/>
          <w:szCs w:val="24"/>
          <w:lang w:val="pt-BR"/>
        </w:rPr>
        <w:t>minnow</w:t>
      </w:r>
      <w:proofErr w:type="spellEnd"/>
      <w:r>
        <w:rPr>
          <w:sz w:val="24"/>
          <w:szCs w:val="24"/>
          <w:lang w:val="pt-BR"/>
        </w:rPr>
        <w:t xml:space="preserve">) e </w:t>
      </w:r>
      <w:proofErr w:type="spellStart"/>
      <w:r>
        <w:rPr>
          <w:i/>
          <w:iCs/>
          <w:sz w:val="24"/>
          <w:szCs w:val="24"/>
          <w:lang w:val="pt-BR"/>
        </w:rPr>
        <w:t>Tetrahymena</w:t>
      </w:r>
      <w:proofErr w:type="spellEnd"/>
      <w:r>
        <w:rPr>
          <w:i/>
          <w:iCs/>
          <w:sz w:val="24"/>
          <w:szCs w:val="24"/>
          <w:lang w:val="pt-BR"/>
        </w:rPr>
        <w:t xml:space="preserve"> </w:t>
      </w:r>
      <w:proofErr w:type="spellStart"/>
      <w:r>
        <w:rPr>
          <w:i/>
          <w:iCs/>
          <w:sz w:val="24"/>
          <w:szCs w:val="24"/>
          <w:lang w:val="pt-BR"/>
        </w:rPr>
        <w:t>pyriformis</w:t>
      </w:r>
      <w:proofErr w:type="spellEnd"/>
      <w:r>
        <w:rPr>
          <w:sz w:val="24"/>
          <w:szCs w:val="24"/>
          <w:lang w:val="pt-BR"/>
        </w:rPr>
        <w:t>. As predições foram realizadas a partir das estruturas moleculares em formato SMILES, sendo os resultados expressos conforme os desfechos quantitativos e critérios de classificação adotados pelas plataformas computacionais utilizadas, subsidiando a identificação precoce de metabólitos com menor potencial de impacto sobre ecossistemas aquáticos e contribuindo para estratégias de conservação da biodiversidade.</w:t>
      </w:r>
    </w:p>
    <w:p w14:paraId="35F34606" w14:textId="77777777" w:rsidR="00B71B8F" w:rsidRDefault="00B71B8F">
      <w:pPr>
        <w:pStyle w:val="Corpodetexto"/>
        <w:spacing w:before="1" w:line="360" w:lineRule="auto"/>
        <w:rPr>
          <w:sz w:val="24"/>
          <w:szCs w:val="24"/>
          <w:lang w:val="pt-BR"/>
        </w:rPr>
      </w:pPr>
    </w:p>
    <w:p w14:paraId="50D23775" w14:textId="77777777" w:rsidR="00B71B8F" w:rsidRDefault="00000000">
      <w:pPr>
        <w:pStyle w:val="Corpodetexto"/>
        <w:spacing w:before="1" w:line="360" w:lineRule="auto"/>
        <w:jc w:val="both"/>
        <w:rPr>
          <w:b/>
          <w:bCs/>
          <w:sz w:val="28"/>
          <w:szCs w:val="28"/>
        </w:rPr>
      </w:pPr>
      <w:r>
        <w:rPr>
          <w:b/>
          <w:bCs/>
          <w:sz w:val="28"/>
          <w:szCs w:val="28"/>
        </w:rPr>
        <w:t>Resultados e Discussão</w:t>
      </w:r>
    </w:p>
    <w:p w14:paraId="2BA67732" w14:textId="77777777" w:rsidR="00B71B8F" w:rsidRDefault="00000000">
      <w:pPr>
        <w:spacing w:line="360" w:lineRule="auto"/>
        <w:ind w:firstLine="851"/>
        <w:jc w:val="both"/>
        <w:rPr>
          <w:sz w:val="24"/>
          <w:szCs w:val="24"/>
        </w:rPr>
      </w:pPr>
      <w:r>
        <w:rPr>
          <w:sz w:val="24"/>
          <w:szCs w:val="24"/>
        </w:rPr>
        <w:t>Quanto ao potencial de bioacumulação (Figura 1), os metabólitos apresentaram valores baixos a moderados (0,37–0,78 Log</w:t>
      </w:r>
      <w:r>
        <w:rPr>
          <w:sz w:val="24"/>
          <w:szCs w:val="24"/>
          <w:vertAlign w:val="superscript"/>
        </w:rPr>
        <w:t xml:space="preserve">10 </w:t>
      </w:r>
      <w:r>
        <w:rPr>
          <w:sz w:val="24"/>
          <w:szCs w:val="24"/>
        </w:rPr>
        <w:t>BCF), com destaque para C2 (0,78 Log</w:t>
      </w:r>
      <w:r>
        <w:rPr>
          <w:sz w:val="24"/>
          <w:szCs w:val="24"/>
          <w:vertAlign w:val="superscript"/>
        </w:rPr>
        <w:t xml:space="preserve">10 </w:t>
      </w:r>
      <w:r>
        <w:rPr>
          <w:sz w:val="24"/>
          <w:szCs w:val="24"/>
        </w:rPr>
        <w:t>BCF) como o maior valor entre os compostos naturais. O controle CT1 (2,236 Log</w:t>
      </w:r>
      <w:r>
        <w:rPr>
          <w:sz w:val="24"/>
          <w:szCs w:val="24"/>
          <w:vertAlign w:val="superscript"/>
        </w:rPr>
        <w:t xml:space="preserve">10 </w:t>
      </w:r>
      <w:r>
        <w:rPr>
          <w:sz w:val="24"/>
          <w:szCs w:val="24"/>
        </w:rPr>
        <w:t>BCF) demonstrou tendência superior à bioacumulação, enquanto CT2 (0,553) apresentou comportamento semelhante aos metabólitos.</w:t>
      </w:r>
    </w:p>
    <w:p w14:paraId="2C377E06" w14:textId="77777777" w:rsidR="00B71B8F" w:rsidRDefault="00B71B8F">
      <w:pPr>
        <w:jc w:val="both"/>
        <w:rPr>
          <w:b/>
          <w:bCs/>
          <w:sz w:val="20"/>
          <w:szCs w:val="20"/>
        </w:rPr>
      </w:pPr>
    </w:p>
    <w:p w14:paraId="67EA833F" w14:textId="77777777" w:rsidR="00B71B8F" w:rsidRDefault="00000000">
      <w:pPr>
        <w:jc w:val="both"/>
        <w:rPr>
          <w:b/>
          <w:bCs/>
          <w:sz w:val="20"/>
          <w:szCs w:val="20"/>
        </w:rPr>
      </w:pPr>
      <w:r>
        <w:rPr>
          <w:b/>
          <w:bCs/>
          <w:sz w:val="20"/>
          <w:szCs w:val="20"/>
        </w:rPr>
        <w:t xml:space="preserve">Figura 1. Potencial de bioacumulação dos metabolitos de </w:t>
      </w:r>
      <w:r>
        <w:rPr>
          <w:b/>
          <w:bCs/>
          <w:i/>
          <w:iCs/>
          <w:sz w:val="20"/>
          <w:szCs w:val="20"/>
        </w:rPr>
        <w:t xml:space="preserve">Uncaria guianensis </w:t>
      </w:r>
      <w:r>
        <w:rPr>
          <w:b/>
          <w:bCs/>
          <w:sz w:val="20"/>
          <w:szCs w:val="20"/>
        </w:rPr>
        <w:t xml:space="preserve">C1 (mitrafilina), C2 (rincofilina), C3 (kaempferitrina), C4 (ácidos quinóvico), C5 (ácido quínico), C6 (3,5-diCQA) e C7 (4,5D-cafeoil) em predição </w:t>
      </w:r>
      <w:r>
        <w:rPr>
          <w:b/>
          <w:bCs/>
          <w:i/>
          <w:iCs/>
          <w:sz w:val="20"/>
          <w:szCs w:val="20"/>
        </w:rPr>
        <w:t>in silico</w:t>
      </w:r>
      <w:r>
        <w:rPr>
          <w:b/>
          <w:bCs/>
          <w:sz w:val="20"/>
          <w:szCs w:val="20"/>
        </w:rPr>
        <w:t>, frente a controles CT1 (diclofenaco) e CT2 (atrazine) obtidos na plataforma GUSAR Way2Drug. Os valores representam predições pontuais geradas por modelos QSAR e não incluem medidas de dispersão estatística.</w:t>
      </w:r>
    </w:p>
    <w:p w14:paraId="2AB9E446" w14:textId="77777777" w:rsidR="00B71B8F" w:rsidRDefault="00000000">
      <w:pPr>
        <w:spacing w:line="360" w:lineRule="auto"/>
        <w:jc w:val="center"/>
        <w:rPr>
          <w:sz w:val="24"/>
          <w:szCs w:val="24"/>
        </w:rPr>
      </w:pPr>
      <w:r>
        <w:pict w14:anchorId="18497E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2" o:spid="_x0000_s1033" type="#_x0000_t75" style="position:absolute;left:0;text-align:left;margin-left:0;margin-top:0;width:50pt;height:50pt;z-index:251656192;visibility:hidden">
            <o:lock v:ext="edit" selection="t"/>
          </v:shape>
        </w:pict>
      </w:r>
      <w:r>
        <w:object w:dxaOrig="7197" w:dyaOrig="3885" w14:anchorId="567750FC">
          <v:shape id="ole_rId2" o:spid="_x0000_i1025" type="#_x0000_t75" style="width:224.25pt;height:124.5pt;visibility:visible;mso-wrap-distance-right:0" o:ole="">
            <v:imagedata r:id="rId7" o:title=""/>
          </v:shape>
          <o:OLEObject Type="Embed" ProgID="Prism8.Document" ShapeID="ole_rId2" DrawAspect="Content" ObjectID="_1847282624" r:id="rId8"/>
        </w:object>
      </w:r>
    </w:p>
    <w:p w14:paraId="387729D9" w14:textId="77777777" w:rsidR="00B71B8F" w:rsidRDefault="00000000">
      <w:pPr>
        <w:spacing w:line="360" w:lineRule="auto"/>
        <w:ind w:firstLine="851"/>
        <w:jc w:val="both"/>
        <w:rPr>
          <w:sz w:val="24"/>
          <w:szCs w:val="24"/>
        </w:rPr>
      </w:pPr>
      <w:r>
        <w:rPr>
          <w:sz w:val="24"/>
          <w:szCs w:val="24"/>
        </w:rPr>
        <w:t xml:space="preserve">Para </w:t>
      </w:r>
      <w:r>
        <w:rPr>
          <w:i/>
          <w:iCs/>
          <w:sz w:val="24"/>
          <w:szCs w:val="24"/>
        </w:rPr>
        <w:t xml:space="preserve">D. magna </w:t>
      </w:r>
      <w:r>
        <w:rPr>
          <w:sz w:val="24"/>
          <w:szCs w:val="24"/>
        </w:rPr>
        <w:t>(Figura 2), os metabólitos variaram de 3,00 LC</w:t>
      </w:r>
      <w:r>
        <w:rPr>
          <w:sz w:val="24"/>
          <w:szCs w:val="24"/>
          <w:vertAlign w:val="subscript"/>
        </w:rPr>
        <w:t>50</w:t>
      </w:r>
      <w:r>
        <w:rPr>
          <w:sz w:val="24"/>
          <w:szCs w:val="24"/>
        </w:rPr>
        <w:t xml:space="preserve"> -Log</w:t>
      </w:r>
      <w:r>
        <w:rPr>
          <w:sz w:val="24"/>
          <w:szCs w:val="24"/>
          <w:vertAlign w:val="superscript"/>
        </w:rPr>
        <w:t>10</w:t>
      </w:r>
      <w:r>
        <w:rPr>
          <w:sz w:val="24"/>
          <w:szCs w:val="24"/>
        </w:rPr>
        <w:t>(mol/L) (C5) a 3,59 LC</w:t>
      </w:r>
      <w:r>
        <w:rPr>
          <w:sz w:val="24"/>
          <w:szCs w:val="24"/>
          <w:vertAlign w:val="subscript"/>
        </w:rPr>
        <w:t>50</w:t>
      </w:r>
      <w:r>
        <w:rPr>
          <w:sz w:val="24"/>
          <w:szCs w:val="24"/>
        </w:rPr>
        <w:t xml:space="preserve"> -Log</w:t>
      </w:r>
      <w:r>
        <w:rPr>
          <w:sz w:val="24"/>
          <w:szCs w:val="24"/>
          <w:vertAlign w:val="superscript"/>
        </w:rPr>
        <w:t>10</w:t>
      </w:r>
      <w:r>
        <w:rPr>
          <w:sz w:val="24"/>
          <w:szCs w:val="24"/>
        </w:rPr>
        <w:t>(mol/L) (C2), indicando toxicidade aquática moderada e relativamente homogênea. Ambos os controles apresentaram valores mais elevados (CT1 = 5,529 LC</w:t>
      </w:r>
      <w:r>
        <w:rPr>
          <w:sz w:val="24"/>
          <w:szCs w:val="24"/>
          <w:vertAlign w:val="subscript"/>
        </w:rPr>
        <w:t>50</w:t>
      </w:r>
      <w:r>
        <w:rPr>
          <w:sz w:val="24"/>
          <w:szCs w:val="24"/>
        </w:rPr>
        <w:t xml:space="preserve"> -Log</w:t>
      </w:r>
      <w:r>
        <w:rPr>
          <w:sz w:val="24"/>
          <w:szCs w:val="24"/>
          <w:vertAlign w:val="superscript"/>
        </w:rPr>
        <w:t>10</w:t>
      </w:r>
      <w:r>
        <w:rPr>
          <w:sz w:val="24"/>
          <w:szCs w:val="24"/>
        </w:rPr>
        <w:t>(mol/L); CT2 = 4,607 LC</w:t>
      </w:r>
      <w:r>
        <w:rPr>
          <w:sz w:val="24"/>
          <w:szCs w:val="24"/>
          <w:vertAlign w:val="subscript"/>
        </w:rPr>
        <w:t>50</w:t>
      </w:r>
      <w:r>
        <w:rPr>
          <w:sz w:val="24"/>
          <w:szCs w:val="24"/>
        </w:rPr>
        <w:t xml:space="preserve"> -Log</w:t>
      </w:r>
      <w:r>
        <w:rPr>
          <w:sz w:val="24"/>
          <w:szCs w:val="24"/>
          <w:vertAlign w:val="superscript"/>
        </w:rPr>
        <w:t>10</w:t>
      </w:r>
      <w:r>
        <w:rPr>
          <w:sz w:val="24"/>
          <w:szCs w:val="24"/>
        </w:rPr>
        <w:t xml:space="preserve">(mol/L)), sugerindo maior toxicidade predita em </w:t>
      </w:r>
      <w:r>
        <w:rPr>
          <w:sz w:val="24"/>
          <w:szCs w:val="24"/>
        </w:rPr>
        <w:lastRenderedPageBreak/>
        <w:t>comparação aos compostos naturais.</w:t>
      </w:r>
    </w:p>
    <w:p w14:paraId="4E8D2A32" w14:textId="77777777" w:rsidR="00B71B8F" w:rsidRDefault="00B71B8F">
      <w:pPr>
        <w:jc w:val="both"/>
        <w:rPr>
          <w:b/>
          <w:bCs/>
          <w:sz w:val="20"/>
          <w:szCs w:val="20"/>
        </w:rPr>
      </w:pPr>
    </w:p>
    <w:p w14:paraId="18989B21" w14:textId="77777777" w:rsidR="00B71B8F" w:rsidRDefault="00B71B8F">
      <w:pPr>
        <w:jc w:val="both"/>
        <w:rPr>
          <w:b/>
          <w:bCs/>
          <w:sz w:val="20"/>
          <w:szCs w:val="20"/>
        </w:rPr>
      </w:pPr>
    </w:p>
    <w:p w14:paraId="31840819" w14:textId="77777777" w:rsidR="00B71B8F" w:rsidRDefault="00000000">
      <w:pPr>
        <w:jc w:val="both"/>
        <w:rPr>
          <w:b/>
          <w:bCs/>
          <w:sz w:val="20"/>
          <w:szCs w:val="20"/>
        </w:rPr>
      </w:pPr>
      <w:r>
        <w:rPr>
          <w:b/>
          <w:bCs/>
          <w:sz w:val="20"/>
          <w:szCs w:val="20"/>
        </w:rPr>
        <w:t xml:space="preserve">Figura 2. Potencial de toxicidade aquática sobre </w:t>
      </w:r>
      <w:r>
        <w:rPr>
          <w:b/>
          <w:bCs/>
          <w:i/>
          <w:iCs/>
          <w:sz w:val="20"/>
          <w:szCs w:val="20"/>
        </w:rPr>
        <w:t>Daphnia magna</w:t>
      </w:r>
      <w:r>
        <w:rPr>
          <w:b/>
          <w:bCs/>
          <w:sz w:val="20"/>
          <w:szCs w:val="20"/>
        </w:rPr>
        <w:t xml:space="preserve"> dos metabolitos de </w:t>
      </w:r>
      <w:r>
        <w:rPr>
          <w:b/>
          <w:bCs/>
          <w:i/>
          <w:iCs/>
          <w:sz w:val="20"/>
          <w:szCs w:val="20"/>
        </w:rPr>
        <w:t xml:space="preserve">Uncaria guianensis </w:t>
      </w:r>
      <w:r>
        <w:rPr>
          <w:b/>
          <w:bCs/>
          <w:sz w:val="20"/>
          <w:szCs w:val="20"/>
        </w:rPr>
        <w:t xml:space="preserve">C1 (mitrafilina), C2 (rincofilina), C3 (kaempferitrina), C4 (ácidos quinóvico), C5 (ácido quínico), C6 (3,5-diCQA) e C7 (4,5D-cafeoil) em predição </w:t>
      </w:r>
      <w:r>
        <w:rPr>
          <w:b/>
          <w:bCs/>
          <w:i/>
          <w:iCs/>
          <w:sz w:val="20"/>
          <w:szCs w:val="20"/>
        </w:rPr>
        <w:t>in silico</w:t>
      </w:r>
      <w:r>
        <w:rPr>
          <w:b/>
          <w:bCs/>
          <w:sz w:val="20"/>
          <w:szCs w:val="20"/>
        </w:rPr>
        <w:t>, frente a controles CT1 (diclofenaco) e CT2 (atrazine) obtidos na plataforma GUSAR Way2Drug. Os valores representam predições pontuais geradas por modelos QSAR e não incluem medidas de dispersão estatística.</w:t>
      </w:r>
    </w:p>
    <w:p w14:paraId="31376905" w14:textId="77777777" w:rsidR="00B71B8F" w:rsidRDefault="00000000">
      <w:pPr>
        <w:spacing w:line="360" w:lineRule="auto"/>
        <w:jc w:val="center"/>
        <w:rPr>
          <w:sz w:val="24"/>
          <w:szCs w:val="24"/>
        </w:rPr>
      </w:pPr>
      <w:r>
        <w:pict w14:anchorId="3A6AAD76">
          <v:shape id="_x0000_tole_rId4" o:spid="_x0000_s1031" type="#_x0000_t75" style="position:absolute;left:0;text-align:left;margin-left:0;margin-top:0;width:50pt;height:50pt;z-index:251657216;visibility:hidden">
            <o:lock v:ext="edit" selection="t"/>
          </v:shape>
        </w:pict>
      </w:r>
      <w:r>
        <w:object w:dxaOrig="7015" w:dyaOrig="3885" w14:anchorId="298D6082">
          <v:shape id="ole_rId4" o:spid="_x0000_i1026" type="#_x0000_t75" style="width:225pt;height:127.5pt;visibility:visible;mso-wrap-distance-right:0" o:ole="">
            <v:imagedata r:id="rId9" o:title=""/>
          </v:shape>
          <o:OLEObject Type="Embed" ProgID="Prism8.Document" ShapeID="ole_rId4" DrawAspect="Content" ObjectID="_1847282625" r:id="rId10"/>
        </w:object>
      </w:r>
    </w:p>
    <w:p w14:paraId="35C4B8AA" w14:textId="77777777" w:rsidR="00B71B8F" w:rsidRDefault="00000000">
      <w:pPr>
        <w:spacing w:line="360" w:lineRule="auto"/>
        <w:ind w:firstLine="851"/>
        <w:jc w:val="both"/>
        <w:rPr>
          <w:sz w:val="24"/>
          <w:szCs w:val="24"/>
        </w:rPr>
      </w:pPr>
      <w:r>
        <w:rPr>
          <w:sz w:val="24"/>
          <w:szCs w:val="24"/>
        </w:rPr>
        <w:t xml:space="preserve">No modelo de </w:t>
      </w:r>
      <w:r>
        <w:rPr>
          <w:i/>
          <w:iCs/>
          <w:sz w:val="24"/>
          <w:szCs w:val="24"/>
        </w:rPr>
        <w:t xml:space="preserve">F. minnow </w:t>
      </w:r>
      <w:r>
        <w:rPr>
          <w:sz w:val="24"/>
          <w:szCs w:val="24"/>
        </w:rPr>
        <w:t>(Figura 3), os metabólitos exibiram valores entre 4,39 LC</w:t>
      </w:r>
      <w:r>
        <w:rPr>
          <w:sz w:val="24"/>
          <w:szCs w:val="24"/>
          <w:vertAlign w:val="subscript"/>
        </w:rPr>
        <w:t>50</w:t>
      </w:r>
      <w:r>
        <w:rPr>
          <w:sz w:val="24"/>
          <w:szCs w:val="24"/>
        </w:rPr>
        <w:t xml:space="preserve"> Log</w:t>
      </w:r>
      <w:r>
        <w:rPr>
          <w:sz w:val="24"/>
          <w:szCs w:val="24"/>
          <w:vertAlign w:val="superscript"/>
        </w:rPr>
        <w:t>10</w:t>
      </w:r>
      <w:r>
        <w:rPr>
          <w:sz w:val="24"/>
          <w:szCs w:val="24"/>
        </w:rPr>
        <w:t>(mmol/L) (C5) e 5,06 LC</w:t>
      </w:r>
      <w:r>
        <w:rPr>
          <w:sz w:val="24"/>
          <w:szCs w:val="24"/>
          <w:vertAlign w:val="subscript"/>
        </w:rPr>
        <w:t>50</w:t>
      </w:r>
      <w:r>
        <w:rPr>
          <w:sz w:val="24"/>
          <w:szCs w:val="24"/>
        </w:rPr>
        <w:t xml:space="preserve"> Log</w:t>
      </w:r>
      <w:r>
        <w:rPr>
          <w:sz w:val="24"/>
          <w:szCs w:val="24"/>
          <w:vertAlign w:val="superscript"/>
        </w:rPr>
        <w:t>10</w:t>
      </w:r>
      <w:r>
        <w:rPr>
          <w:sz w:val="24"/>
          <w:szCs w:val="24"/>
        </w:rPr>
        <w:t>(mmol/L) (C2), indicando potencial tóxico moderado a elevado para peixes. Em contraste, os controles apresentaram valores negativos (CT1 = -2,578 LC</w:t>
      </w:r>
      <w:r>
        <w:rPr>
          <w:sz w:val="24"/>
          <w:szCs w:val="24"/>
          <w:vertAlign w:val="subscript"/>
        </w:rPr>
        <w:t>50</w:t>
      </w:r>
      <w:r>
        <w:rPr>
          <w:sz w:val="24"/>
          <w:szCs w:val="24"/>
        </w:rPr>
        <w:t xml:space="preserve"> Log</w:t>
      </w:r>
      <w:r>
        <w:rPr>
          <w:sz w:val="24"/>
          <w:szCs w:val="24"/>
          <w:vertAlign w:val="superscript"/>
        </w:rPr>
        <w:t>10</w:t>
      </w:r>
      <w:r>
        <w:rPr>
          <w:sz w:val="24"/>
          <w:szCs w:val="24"/>
        </w:rPr>
        <w:t>(mmol/L); CT2 = -0,787 LC</w:t>
      </w:r>
      <w:r>
        <w:rPr>
          <w:sz w:val="24"/>
          <w:szCs w:val="24"/>
          <w:vertAlign w:val="subscript"/>
        </w:rPr>
        <w:t>50</w:t>
      </w:r>
      <w:r>
        <w:rPr>
          <w:sz w:val="24"/>
          <w:szCs w:val="24"/>
        </w:rPr>
        <w:t xml:space="preserve"> Log</w:t>
      </w:r>
      <w:r>
        <w:rPr>
          <w:sz w:val="24"/>
          <w:szCs w:val="24"/>
          <w:vertAlign w:val="superscript"/>
        </w:rPr>
        <w:t>10</w:t>
      </w:r>
      <w:r>
        <w:rPr>
          <w:sz w:val="24"/>
          <w:szCs w:val="24"/>
        </w:rPr>
        <w:t>(mmol/L)), sugerindo menor toxicidade predita nesse organismo.</w:t>
      </w:r>
    </w:p>
    <w:p w14:paraId="56ED0F0C" w14:textId="77777777" w:rsidR="00B71B8F" w:rsidRDefault="00B71B8F">
      <w:pPr>
        <w:jc w:val="both"/>
        <w:rPr>
          <w:b/>
          <w:bCs/>
          <w:sz w:val="20"/>
          <w:szCs w:val="20"/>
        </w:rPr>
      </w:pPr>
    </w:p>
    <w:p w14:paraId="5F672F87" w14:textId="77777777" w:rsidR="00B71B8F" w:rsidRDefault="00000000">
      <w:pPr>
        <w:jc w:val="both"/>
        <w:rPr>
          <w:b/>
          <w:bCs/>
          <w:sz w:val="20"/>
          <w:szCs w:val="20"/>
        </w:rPr>
      </w:pPr>
      <w:r>
        <w:rPr>
          <w:b/>
          <w:bCs/>
          <w:sz w:val="20"/>
          <w:szCs w:val="20"/>
        </w:rPr>
        <w:t xml:space="preserve">Figura 3. Potencial toxicidade aquática sobre </w:t>
      </w:r>
      <w:r>
        <w:rPr>
          <w:b/>
          <w:bCs/>
          <w:i/>
          <w:iCs/>
          <w:sz w:val="20"/>
          <w:szCs w:val="20"/>
        </w:rPr>
        <w:t>Fathead minnow</w:t>
      </w:r>
      <w:r>
        <w:rPr>
          <w:b/>
          <w:bCs/>
          <w:sz w:val="20"/>
          <w:szCs w:val="20"/>
        </w:rPr>
        <w:t xml:space="preserve"> dos metabolitos de </w:t>
      </w:r>
      <w:r>
        <w:rPr>
          <w:b/>
          <w:bCs/>
          <w:i/>
          <w:iCs/>
          <w:sz w:val="20"/>
          <w:szCs w:val="20"/>
        </w:rPr>
        <w:t xml:space="preserve">Uncaria guianensis </w:t>
      </w:r>
      <w:r>
        <w:rPr>
          <w:b/>
          <w:bCs/>
          <w:sz w:val="20"/>
          <w:szCs w:val="20"/>
        </w:rPr>
        <w:t xml:space="preserve">C1 (mitrafilina), C2 (rincofilina), C3 (kaempferitrina), C4 (ácidos quinóvico), C5 (ácido quínico), C6 (3,5-diCQA) e C7 (4,5D-cafeoil) em predição </w:t>
      </w:r>
      <w:r>
        <w:rPr>
          <w:b/>
          <w:bCs/>
          <w:i/>
          <w:iCs/>
          <w:sz w:val="20"/>
          <w:szCs w:val="20"/>
        </w:rPr>
        <w:t>in silico</w:t>
      </w:r>
      <w:r>
        <w:rPr>
          <w:b/>
          <w:bCs/>
          <w:sz w:val="20"/>
          <w:szCs w:val="20"/>
        </w:rPr>
        <w:t>, frente a controles CT1 (diclofenaco) e CT2 (atrazine) obtidos na plataforma GUSAR Way2Drug. Os valores representam predições pontuais geradas por modelos QSAR e não incluem medidas de dispersão estatística.</w:t>
      </w:r>
    </w:p>
    <w:p w14:paraId="149724AA" w14:textId="77777777" w:rsidR="00B71B8F" w:rsidRDefault="00000000">
      <w:pPr>
        <w:spacing w:line="360" w:lineRule="auto"/>
        <w:jc w:val="center"/>
        <w:rPr>
          <w:sz w:val="24"/>
          <w:szCs w:val="24"/>
        </w:rPr>
      </w:pPr>
      <w:r>
        <w:pict w14:anchorId="2FBC307F">
          <v:shape id="_x0000_tole_rId6" o:spid="_x0000_s1029" type="#_x0000_t75" style="position:absolute;left:0;text-align:left;margin-left:0;margin-top:0;width:50pt;height:50pt;z-index:251658240;visibility:hidden">
            <o:lock v:ext="edit" selection="t"/>
          </v:shape>
        </w:pict>
      </w:r>
      <w:r>
        <w:object w:dxaOrig="7087" w:dyaOrig="3885" w14:anchorId="619D46BC">
          <v:shape id="ole_rId6" o:spid="_x0000_i1027" type="#_x0000_t75" style="width:225.75pt;height:126pt;visibility:visible;mso-wrap-distance-right:0" o:ole="">
            <v:imagedata r:id="rId11" o:title=""/>
          </v:shape>
          <o:OLEObject Type="Embed" ProgID="Prism8.Document" ShapeID="ole_rId6" DrawAspect="Content" ObjectID="_1847282626" r:id="rId12"/>
        </w:object>
      </w:r>
    </w:p>
    <w:p w14:paraId="05664057" w14:textId="77777777" w:rsidR="00B71B8F" w:rsidRDefault="00000000">
      <w:pPr>
        <w:spacing w:line="360" w:lineRule="auto"/>
        <w:ind w:firstLine="851"/>
        <w:jc w:val="both"/>
        <w:rPr>
          <w:sz w:val="24"/>
          <w:szCs w:val="24"/>
        </w:rPr>
      </w:pPr>
      <w:r>
        <w:rPr>
          <w:sz w:val="24"/>
          <w:szCs w:val="24"/>
        </w:rPr>
        <w:t xml:space="preserve">Para </w:t>
      </w:r>
      <w:r>
        <w:rPr>
          <w:i/>
          <w:iCs/>
          <w:sz w:val="24"/>
          <w:szCs w:val="24"/>
        </w:rPr>
        <w:t xml:space="preserve">T. piriformis </w:t>
      </w:r>
      <w:r>
        <w:rPr>
          <w:sz w:val="24"/>
          <w:szCs w:val="24"/>
        </w:rPr>
        <w:t xml:space="preserve">(Figura 4), os metabólitos variaram de 3,73 </w:t>
      </w:r>
      <w:bookmarkStart w:id="1" w:name="OLE_LINK1"/>
      <w:r>
        <w:rPr>
          <w:sz w:val="24"/>
          <w:szCs w:val="24"/>
        </w:rPr>
        <w:t>IGC</w:t>
      </w:r>
      <w:r>
        <w:rPr>
          <w:sz w:val="24"/>
          <w:szCs w:val="24"/>
          <w:vertAlign w:val="subscript"/>
        </w:rPr>
        <w:t>50</w:t>
      </w:r>
      <w:r>
        <w:rPr>
          <w:sz w:val="24"/>
          <w:szCs w:val="24"/>
        </w:rPr>
        <w:t xml:space="preserve"> -Log</w:t>
      </w:r>
      <w:r>
        <w:rPr>
          <w:sz w:val="24"/>
          <w:szCs w:val="24"/>
          <w:vertAlign w:val="superscript"/>
        </w:rPr>
        <w:t>10</w:t>
      </w:r>
      <w:r>
        <w:rPr>
          <w:sz w:val="24"/>
          <w:szCs w:val="24"/>
        </w:rPr>
        <w:t>(mol/L)</w:t>
      </w:r>
      <w:bookmarkEnd w:id="1"/>
      <w:r>
        <w:rPr>
          <w:sz w:val="24"/>
          <w:szCs w:val="24"/>
        </w:rPr>
        <w:t xml:space="preserve"> (C5) a 4,59 IGC</w:t>
      </w:r>
      <w:r>
        <w:rPr>
          <w:sz w:val="24"/>
          <w:szCs w:val="24"/>
          <w:vertAlign w:val="subscript"/>
        </w:rPr>
        <w:t>50</w:t>
      </w:r>
      <w:r>
        <w:rPr>
          <w:sz w:val="24"/>
          <w:szCs w:val="24"/>
        </w:rPr>
        <w:t xml:space="preserve"> -Log</w:t>
      </w:r>
      <w:r>
        <w:rPr>
          <w:sz w:val="24"/>
          <w:szCs w:val="24"/>
          <w:vertAlign w:val="superscript"/>
        </w:rPr>
        <w:t>10</w:t>
      </w:r>
      <w:r>
        <w:rPr>
          <w:sz w:val="24"/>
          <w:szCs w:val="24"/>
        </w:rPr>
        <w:t>(mol/L) (C7), novamente indicando toxicidade moderada. Os controles apresentaram valores inferiores (CT1 = 1,563 IGC</w:t>
      </w:r>
      <w:r>
        <w:rPr>
          <w:sz w:val="24"/>
          <w:szCs w:val="24"/>
          <w:vertAlign w:val="subscript"/>
        </w:rPr>
        <w:t>50</w:t>
      </w:r>
      <w:r>
        <w:rPr>
          <w:sz w:val="24"/>
          <w:szCs w:val="24"/>
        </w:rPr>
        <w:t xml:space="preserve"> -Log</w:t>
      </w:r>
      <w:r>
        <w:rPr>
          <w:sz w:val="24"/>
          <w:szCs w:val="24"/>
          <w:vertAlign w:val="superscript"/>
        </w:rPr>
        <w:t>10</w:t>
      </w:r>
      <w:r>
        <w:rPr>
          <w:sz w:val="24"/>
          <w:szCs w:val="24"/>
        </w:rPr>
        <w:t>(mol/L); CT2 = 0,618 IGC</w:t>
      </w:r>
      <w:r>
        <w:rPr>
          <w:sz w:val="24"/>
          <w:szCs w:val="24"/>
          <w:vertAlign w:val="subscript"/>
        </w:rPr>
        <w:t>50</w:t>
      </w:r>
      <w:r>
        <w:rPr>
          <w:sz w:val="24"/>
          <w:szCs w:val="24"/>
        </w:rPr>
        <w:t xml:space="preserve"> -Log</w:t>
      </w:r>
      <w:r>
        <w:rPr>
          <w:sz w:val="24"/>
          <w:szCs w:val="24"/>
          <w:vertAlign w:val="superscript"/>
        </w:rPr>
        <w:t>10</w:t>
      </w:r>
      <w:r>
        <w:rPr>
          <w:sz w:val="24"/>
          <w:szCs w:val="24"/>
        </w:rPr>
        <w:t>(mol/L)).</w:t>
      </w:r>
    </w:p>
    <w:p w14:paraId="3EBEEE05" w14:textId="77777777" w:rsidR="00B71B8F" w:rsidRDefault="00B71B8F">
      <w:pPr>
        <w:jc w:val="both"/>
        <w:rPr>
          <w:b/>
          <w:bCs/>
          <w:sz w:val="20"/>
          <w:szCs w:val="20"/>
        </w:rPr>
      </w:pPr>
    </w:p>
    <w:p w14:paraId="3DBE1A4C" w14:textId="77777777" w:rsidR="00B71B8F" w:rsidRDefault="00000000">
      <w:pPr>
        <w:jc w:val="both"/>
        <w:rPr>
          <w:b/>
          <w:bCs/>
          <w:sz w:val="20"/>
          <w:szCs w:val="20"/>
        </w:rPr>
      </w:pPr>
      <w:r>
        <w:rPr>
          <w:b/>
          <w:bCs/>
          <w:sz w:val="20"/>
          <w:szCs w:val="20"/>
        </w:rPr>
        <w:t xml:space="preserve">Figura 4. Potencial de toxicidade aquática sobre </w:t>
      </w:r>
      <w:proofErr w:type="spellStart"/>
      <w:r>
        <w:rPr>
          <w:b/>
          <w:bCs/>
          <w:i/>
          <w:iCs/>
          <w:sz w:val="20"/>
          <w:szCs w:val="20"/>
          <w:lang w:val="pt-BR"/>
        </w:rPr>
        <w:t>Tetrahymena</w:t>
      </w:r>
      <w:proofErr w:type="spellEnd"/>
      <w:r>
        <w:rPr>
          <w:b/>
          <w:bCs/>
          <w:i/>
          <w:iCs/>
          <w:sz w:val="20"/>
          <w:szCs w:val="20"/>
          <w:lang w:val="pt-BR"/>
        </w:rPr>
        <w:t xml:space="preserve"> </w:t>
      </w:r>
      <w:proofErr w:type="spellStart"/>
      <w:r>
        <w:rPr>
          <w:b/>
          <w:bCs/>
          <w:i/>
          <w:iCs/>
          <w:sz w:val="20"/>
          <w:szCs w:val="20"/>
          <w:lang w:val="pt-BR"/>
        </w:rPr>
        <w:t>pyriformis</w:t>
      </w:r>
      <w:proofErr w:type="spellEnd"/>
      <w:r>
        <w:rPr>
          <w:b/>
          <w:bCs/>
          <w:sz w:val="20"/>
          <w:szCs w:val="20"/>
        </w:rPr>
        <w:t xml:space="preserve"> dos metabolitos de </w:t>
      </w:r>
      <w:r>
        <w:rPr>
          <w:b/>
          <w:bCs/>
          <w:i/>
          <w:iCs/>
          <w:sz w:val="20"/>
          <w:szCs w:val="20"/>
        </w:rPr>
        <w:t xml:space="preserve">Uncaria guianensis </w:t>
      </w:r>
      <w:r>
        <w:rPr>
          <w:b/>
          <w:bCs/>
          <w:sz w:val="20"/>
          <w:szCs w:val="20"/>
        </w:rPr>
        <w:t xml:space="preserve">C1 (mitrafilina), C2 (rincofilina), C3 (kaempferitrina), C4 (ácidos quinóvico), C5 (ácido quínico), C6 (3,5-diCQA) e C7 (4,5D-cafeoil) em predição </w:t>
      </w:r>
      <w:r>
        <w:rPr>
          <w:b/>
          <w:bCs/>
          <w:i/>
          <w:iCs/>
          <w:sz w:val="20"/>
          <w:szCs w:val="20"/>
        </w:rPr>
        <w:t>in silico</w:t>
      </w:r>
      <w:r>
        <w:rPr>
          <w:b/>
          <w:bCs/>
          <w:sz w:val="20"/>
          <w:szCs w:val="20"/>
        </w:rPr>
        <w:t xml:space="preserve">, frente a controles CT1 (diclofenaco) e CT2 (atrazine) obtidos na plataforma GUSAR Way2Drug. Os valores representam predições pontuais geradas </w:t>
      </w:r>
      <w:r>
        <w:rPr>
          <w:b/>
          <w:bCs/>
          <w:sz w:val="20"/>
          <w:szCs w:val="20"/>
        </w:rPr>
        <w:lastRenderedPageBreak/>
        <w:t>por modelos QSAR e não incluem medidas de dispersão estatística.</w:t>
      </w:r>
    </w:p>
    <w:p w14:paraId="41039F57" w14:textId="77777777" w:rsidR="00B71B8F" w:rsidRDefault="00000000">
      <w:pPr>
        <w:jc w:val="center"/>
        <w:rPr>
          <w:sz w:val="24"/>
          <w:szCs w:val="24"/>
        </w:rPr>
      </w:pPr>
      <w:r>
        <w:pict w14:anchorId="69AF88E4">
          <v:shape id="_x0000_tole_rId8" o:spid="_x0000_s1027" type="#_x0000_t75" style="position:absolute;left:0;text-align:left;margin-left:0;margin-top:0;width:50pt;height:50pt;z-index:251659264;visibility:hidden">
            <o:lock v:ext="edit" selection="t"/>
          </v:shape>
        </w:pict>
      </w:r>
      <w:r>
        <w:object w:dxaOrig="7015" w:dyaOrig="3885" w14:anchorId="0E237091">
          <v:shape id="ole_rId8" o:spid="_x0000_i1028" type="#_x0000_t75" style="width:225pt;height:127.5pt;visibility:visible;mso-wrap-distance-right:0" o:ole="">
            <v:imagedata r:id="rId13" o:title=""/>
          </v:shape>
          <o:OLEObject Type="Embed" ProgID="Prism8.Document" ShapeID="ole_rId8" DrawAspect="Content" ObjectID="_1847282627" r:id="rId14"/>
        </w:object>
      </w:r>
    </w:p>
    <w:p w14:paraId="43049C41" w14:textId="77777777" w:rsidR="00B71B8F" w:rsidRDefault="00000000">
      <w:pPr>
        <w:spacing w:line="360" w:lineRule="auto"/>
        <w:ind w:firstLine="709"/>
        <w:jc w:val="both"/>
        <w:rPr>
          <w:sz w:val="24"/>
          <w:szCs w:val="24"/>
        </w:rPr>
      </w:pPr>
      <w:r>
        <w:rPr>
          <w:sz w:val="24"/>
          <w:szCs w:val="24"/>
        </w:rPr>
        <w:t xml:space="preserve">Os resultados indicam que os principais metabólitos de </w:t>
      </w:r>
      <w:r>
        <w:rPr>
          <w:i/>
          <w:iCs/>
          <w:sz w:val="24"/>
          <w:szCs w:val="24"/>
        </w:rPr>
        <w:t>U. guianensis</w:t>
      </w:r>
      <w:r>
        <w:rPr>
          <w:sz w:val="24"/>
          <w:szCs w:val="24"/>
        </w:rPr>
        <w:t xml:space="preserve"> apresentam baixo potencial de bioacumulação, sugerindo reduzido risco de biomagnificação em ecossistemas aquáticos, possivelmente em decorrência da elevada polaridade conferida por grupos hidroxila e carboxila presentes em grande parte das moléculas </w:t>
      </w:r>
      <w:r>
        <w:fldChar w:fldCharType="begin"/>
      </w:r>
      <w:r>
        <w:rPr>
          <w:sz w:val="24"/>
          <w:szCs w:val="24"/>
        </w:rPr>
        <w:instrText>ADDIN ZOTERO_ITEM CSL_CITATION {"citationID":"G60f3qQ0","properties":{"unsorted":false,"formattedCitation":"(De Meester; Declerck; Ger, 2023)","plainCitation":"(De Meester; Declerck; Ger, 2023)","noteIndex":0},"citationItems":[{"id":9546,"uris":["http://zotero.org/users/local/jXvEOtxa/items/Y5GG5PCE"],"itemData":{"id":9546,"type":"article-journal","abstract":"Zooplankton plays a pivotal role in lentic water bodies, linking planktonic primary producers to higher trophic levels and being a cornerstone of the planktonic food web of ponds and lakes. Because of its ease of culture, large size, rich ecology, abundance in northern temperate lakes where limnology is rooted, and the ability to work with clones, Daphnia has, in the last centuries grown to become a key model system in ecology, evolution, and ecotoxicology. Consequently, a vast majority of freshwater zooplankton ecology focuses on the role of Daphnia. While generating essential insights, this has also deviated attention from the broad ecological impact of other zooplankton. Here, we emphasize how other zooplankton taxa have an important impact in nature - often in qualitatively different ways than Daphnia. We illustrate this point by focusing on two key zooplankton functions (herbivory and stoichiometry) and suggest research to capitalize on the success story of mechanistic ecological, eco-evolutionary, and genomic Daphnia work to develop a richer set of model organisms. We currently have the tools to do so and integrating mechanistic insights in multispecies settings would foster a better understanding of the rich diversity and ecology of freshwater zooplankton.","container-title":"Hydrobiologia","DOI":"10.1007/s10750-023-05217-3","ISSN":"1573-5117","issue":"21","journalAbbreviation":"Hydrobiologia","language":"en","page":"4693-4703","source":"Springer Link","title":"Beyond Daphnia: a plea for a more inclusive and unifying approach to freshwater zooplankton ecology","title-short":"Beyond Daphnia","volume":"850","author":[{"family":"De Meester","given":"Luc"},{"family":"Declerck","given":"Steven A. J."},{"family":"Ger","given":"Kemal Ali"}],"issued":{"date-parts":[["2023",12,1]]}}}],"schema":"https://github.com/citation-style-language/schema/raw/master/csl-citation.json"}</w:instrText>
      </w:r>
      <w:r>
        <w:rPr>
          <w:sz w:val="24"/>
          <w:szCs w:val="24"/>
        </w:rPr>
        <w:fldChar w:fldCharType="separate"/>
      </w:r>
      <w:r>
        <w:rPr>
          <w:sz w:val="24"/>
        </w:rPr>
        <w:t>(De Meester; Declerck; Ger, 2023)</w:t>
      </w:r>
      <w:r>
        <w:rPr>
          <w:sz w:val="24"/>
          <w:szCs w:val="24"/>
        </w:rPr>
        <w:fldChar w:fldCharType="end"/>
      </w:r>
      <w:r>
        <w:rPr>
          <w:sz w:val="24"/>
          <w:szCs w:val="24"/>
        </w:rPr>
        <w:t xml:space="preserve">. Apesar desse perfil favorável, diferenças consistentes entre as classes químicas foram observadas. A rincofilina destacou-se por apresentar as maiores estimativas de bioacumulação e toxicidade para </w:t>
      </w:r>
      <w:r>
        <w:rPr>
          <w:i/>
          <w:iCs/>
          <w:sz w:val="24"/>
          <w:szCs w:val="24"/>
        </w:rPr>
        <w:t>D. magna</w:t>
      </w:r>
      <w:r>
        <w:rPr>
          <w:sz w:val="24"/>
          <w:szCs w:val="24"/>
        </w:rPr>
        <w:t xml:space="preserve">, indicando que alcaloides oxindólicos podem representar a fração de maior potencial ecotoxicológico da espécie </w:t>
      </w:r>
      <w:r>
        <w:fldChar w:fldCharType="begin"/>
      </w:r>
      <w:r>
        <w:rPr>
          <w:sz w:val="24"/>
          <w:szCs w:val="24"/>
        </w:rPr>
        <w:instrText>ADDIN ZOTERO_ITEM CSL_CITATION {"citationID":"57G1yuuY","properties":{"unsorted":false,"formattedCitation":"(Chen; Liu; Xie, 2024)","plainCitation":"(Chen; Liu; Xie, 2024)","noteIndex":0},"citationItems":[{"id":9547,"uris":["http://zotero.org/users/local/jXvEOtxa/items/6MGI26GW"],"itemData":{"id":9547,"type":"article-journal","abstract":"With the intensification of aging population, the prevention or treatment of neurodegenerative diseases, such as Parkinson's disease and Alzheimer's disease, have drawn more and more attentions. As a long used traditional Chinese medicine, Uncaria rhynchophylla (Miq.) Jacks., named Gouteng in Chinese, has been reported to have an effective neuroprotective role in neurodegenerative diseases. In this review, the beneficial pharmacological effects and signaling pathways of herbal formulas containing Uncaria rhynchophylla, especially major compounds identified from Uncaria rhynchophylla, including corynoxine B, corynoxine, rhynchophylline, isorhynchophylline, in neurodegenerative diseases were summarized, which not only provide an overview of Uncaria rhynchophylla for the prevention or treatment of neurodegenerative diseases, but also give some perspective to development new drugs from traditional Chinese medicine.","container-title":"Frontiers in Pharmacology","DOI":"10.3389/fphar.2024.1436481","ISSN":"1663-9812","journalAbbreviation":"Front. Pharmacol.","language":"English","publisher":"Frontiers","source":"Frontiers","title":"The beneficial pharmacological effects of Uncaria rhynchophylla in neurodegenerative diseases: focus on alkaloids","title-short":"The beneficial pharmacological effects of Uncaria rhynchophylla in neurodegenerative diseases","URL":"https://www.frontiersin.org/journals/pharmacology/articles/10.3389/fphar.2024.1436481/full","volume":"15","author":[{"family":"Chen","given":"Leilei"},{"family":"Liu","given":"Yingjuan"},{"family":"Xie","given":"Junxia"}],"accessed":{"date-parts":[["2026",6,27]]},"issued":{"date-parts":[["2024",7,31]]}}}],"schema":"https://github.com/citation-style-language/schema/raw/master/csl-citation.json"}</w:instrText>
      </w:r>
      <w:r>
        <w:rPr>
          <w:sz w:val="24"/>
          <w:szCs w:val="24"/>
        </w:rPr>
        <w:fldChar w:fldCharType="separate"/>
      </w:r>
      <w:r>
        <w:rPr>
          <w:sz w:val="24"/>
        </w:rPr>
        <w:t>(Chen; Liu; Xie, 2024)</w:t>
      </w:r>
      <w:r>
        <w:rPr>
          <w:sz w:val="24"/>
          <w:szCs w:val="24"/>
        </w:rPr>
        <w:fldChar w:fldCharType="end"/>
      </w:r>
      <w:r>
        <w:rPr>
          <w:sz w:val="24"/>
          <w:szCs w:val="24"/>
        </w:rPr>
        <w:t xml:space="preserve">. </w:t>
      </w:r>
    </w:p>
    <w:p w14:paraId="22EB46AD" w14:textId="77777777" w:rsidR="00B71B8F" w:rsidRDefault="00000000">
      <w:pPr>
        <w:spacing w:line="360" w:lineRule="auto"/>
        <w:ind w:firstLine="709"/>
        <w:jc w:val="both"/>
        <w:rPr>
          <w:sz w:val="24"/>
          <w:szCs w:val="24"/>
        </w:rPr>
      </w:pPr>
      <w:r>
        <w:rPr>
          <w:sz w:val="24"/>
          <w:szCs w:val="24"/>
        </w:rPr>
        <w:t xml:space="preserve">Em contrapartida, o ácido quínico apresentou baixa toxicidade em todos os organismos avaliados, enquanto os derivados cafeoilquínicos exibiram maior sensibilidade frente a </w:t>
      </w:r>
      <w:r>
        <w:rPr>
          <w:i/>
          <w:iCs/>
          <w:sz w:val="24"/>
          <w:szCs w:val="24"/>
        </w:rPr>
        <w:t>T. pyriformis</w:t>
      </w:r>
      <w:r>
        <w:rPr>
          <w:sz w:val="24"/>
          <w:szCs w:val="24"/>
        </w:rPr>
        <w:t xml:space="preserve">, sugerindo respostas dependentes da estrutura química e do organismo-teste </w:t>
      </w:r>
      <w:r>
        <w:fldChar w:fldCharType="begin"/>
      </w:r>
      <w:r>
        <w:rPr>
          <w:sz w:val="24"/>
          <w:szCs w:val="24"/>
        </w:rPr>
        <w:instrText>ADDIN ZOTERO_ITEM CSL_CITATION {"citationID":"LP3a2ymB","properties":{"unsorted":false,"formattedCitation":"(Rapiya; Slayi; Truter, 2025)","plainCitation":"(Rapiya; Slayi; Truter, 2025)","noteIndex":0},"citationItems":[{"id":9549,"uris":["http://zotero.org/users/local/jXvEOtxa/items/ZZ59LIZT"],"itemData":{"id":9549,"type":"article-journal","abstract":"Phenolic compounds are common environmental pollutants found in water sources near grazing areas. They originate from natural sources like plants and pollen, as well as human activities such as industry, agriculture, and waste disposal. These chemicals can accumulate in water and sediments, especially during rainy seasons or after land management practices, and pose risks to livestock health. Exposure to phenolics can cause toxicity, reproductive problems, and other health issues in animals, but some phenolics also have beneficial antioxidant and antimicrobial properties when used properly. Therefore, the objective of this study is to examine phenolic compounds in water bodies around grazing areas. Detecting and monitoring phenolic compounds require sensitive techniques like high-performance liquid chromatography (HPLC) and microextraction methods, which can be costly and complex. Seasonal changes, land use, and pollution from fertilizers, pesticides, and animal waste influence phenolic levels in water bodies. Regular water quality assessments are essential to identify contamination, evaluate health risks, and develop effective management strategies. Controlling industrial discharges, promoting sustainable farming practices, and improving waste management are vital to reducing phenolic pollution. Collaboration among policymakers, farmers, industry, and communities is necessary to implement regulations, raise awareness, and protect water resources. This study highlights the importance of understanding phenolic sources, their behaviour in water environments, and the need for advanced monitoring tools to ensure the safety of grazing animals and the sustainability of ecosystems. Future efforts should focus on improving detection methods, reducing pollution sources, and promoting sustainable land and water management to safeguard environmental and public health.","container-title":"Discover Water","DOI":"10.1007/s43832-025-00280-4","ISSN":"2730-647X","issue":"1","journalAbbreviation":"Discov Water","language":"en","page":"69","source":"Springer Link","title":"A review of phenolic compounds in water bodies of grazing areas","volume":"5","author":[{"family":"Rapiya","given":"Monde"},{"family":"Slayi","given":"Mhlangabezi"},{"family":"Truter","given":"Wayne"}],"issued":{"date-parts":[["2025",8,14]]}}}],"schema":"https://github.com/citation-style-language/schema/raw/master/csl-citation.json"}</w:instrText>
      </w:r>
      <w:r>
        <w:rPr>
          <w:sz w:val="24"/>
          <w:szCs w:val="24"/>
        </w:rPr>
        <w:fldChar w:fldCharType="separate"/>
      </w:r>
      <w:r>
        <w:rPr>
          <w:sz w:val="24"/>
        </w:rPr>
        <w:t>(Rapiya; Slayi; Truter, 2025)</w:t>
      </w:r>
      <w:r>
        <w:rPr>
          <w:sz w:val="24"/>
          <w:szCs w:val="24"/>
        </w:rPr>
        <w:fldChar w:fldCharType="end"/>
      </w:r>
      <w:r>
        <w:rPr>
          <w:sz w:val="24"/>
          <w:szCs w:val="24"/>
        </w:rPr>
        <w:t xml:space="preserve">. </w:t>
      </w:r>
    </w:p>
    <w:p w14:paraId="37032541" w14:textId="77777777" w:rsidR="00B71B8F" w:rsidRDefault="00000000">
      <w:pPr>
        <w:spacing w:line="360" w:lineRule="auto"/>
        <w:ind w:firstLine="709"/>
        <w:jc w:val="both"/>
        <w:rPr>
          <w:sz w:val="28"/>
          <w:szCs w:val="28"/>
        </w:rPr>
      </w:pPr>
      <w:r>
        <w:rPr>
          <w:sz w:val="24"/>
          <w:szCs w:val="24"/>
        </w:rPr>
        <w:t xml:space="preserve">Em conjunto, esses achados demonstram que, embora </w:t>
      </w:r>
      <w:r>
        <w:rPr>
          <w:i/>
          <w:iCs/>
          <w:sz w:val="24"/>
          <w:szCs w:val="24"/>
        </w:rPr>
        <w:t>U. guianensis</w:t>
      </w:r>
      <w:r>
        <w:rPr>
          <w:sz w:val="24"/>
          <w:szCs w:val="24"/>
        </w:rPr>
        <w:t xml:space="preserve"> apresente perfil ecotoxicológico globalmente favorável, determinados metabólitos bioativos merecem atenção em estudos ambientais futuros. Esses resultados evidenciam que diferenças estruturais entre metabólitos naturais podem influenciar significativamente o risco ecológico potencial, reforçando a importância da triagem computacional como ferramenta de apoio à conservação da biodiversidade aquática e à identificação precoce de compostos ambientalmente mais seguros </w:t>
      </w:r>
      <w:r>
        <w:fldChar w:fldCharType="begin"/>
      </w:r>
      <w:r>
        <w:rPr>
          <w:sz w:val="24"/>
          <w:szCs w:val="24"/>
        </w:rPr>
        <w:instrText>ADDIN ZOTERO_ITEM CSL_CITATION {"citationID":"ypNFGz88","properties":{"unsorted":false,"formattedCitation":"(Zhang et al., 2022)","plainCitation":"(Zhang et al., 2022)","noteIndex":0},"citationItems":[{"id":9551,"uris":["http://zotero.org/users/local/jXvEOtxa/items/JCJYU4JL"],"itemData":{"id":9551,"type":"article-journal","abstract":"Phenolic compounds are the most abundant secondary metabolites in plants, showing a wide range of distinct biological activities, have received more and more attention in recent years. This review aims to gather and systematize available information on the phenolic compounds from plants by discussing different types of phenolic compounds, extraction, and analysis methods, with an emphasis on their potential biological activities. The research direction and problems that should be paid attention to in the future are also put forward to provide some references for the further study of phenolic compounds.","container-title":"Natural Product Communications","DOI":"10.1177/1934578X211069721","ISSN":"1934-578X","issue":"1","language":"EN","page":"1934578X211069721","publisher":"SAGE Publications Inc","source":"SAGE Journals","title":"A Brief Review of Phenolic Compounds Identified from Plants: Their Extraction, Analysis, and Biological Activity","title-short":"A Brief Review of Phenolic Compounds Identified from Plants","volume":"17","author":[{"family":"Zhang","given":"Yuanyuan"},{"family":"Cai","given":"Ping"},{"family":"Cheng","given":"Guanghui"},{"family":"Zhang","given":"Yongqiang"}],"issued":{"date-parts":[["2022",1,1]]}}}],"schema":"https://github.com/citation-style-language/schema/raw/master/csl-citation.json"}</w:instrText>
      </w:r>
      <w:r>
        <w:rPr>
          <w:sz w:val="24"/>
          <w:szCs w:val="24"/>
        </w:rPr>
        <w:fldChar w:fldCharType="separate"/>
      </w:r>
      <w:r>
        <w:rPr>
          <w:sz w:val="24"/>
        </w:rPr>
        <w:t>(Zhang et al., 2022)</w:t>
      </w:r>
      <w:r>
        <w:rPr>
          <w:sz w:val="24"/>
          <w:szCs w:val="24"/>
        </w:rPr>
        <w:fldChar w:fldCharType="end"/>
      </w:r>
      <w:r>
        <w:rPr>
          <w:sz w:val="24"/>
          <w:szCs w:val="24"/>
        </w:rPr>
        <w:t>.</w:t>
      </w:r>
    </w:p>
    <w:p w14:paraId="0EB8F041" w14:textId="77777777" w:rsidR="00B71B8F" w:rsidRDefault="00B71B8F">
      <w:pPr>
        <w:pStyle w:val="Corpodetexto"/>
        <w:spacing w:line="360" w:lineRule="auto"/>
        <w:jc w:val="both"/>
        <w:rPr>
          <w:sz w:val="24"/>
          <w:szCs w:val="24"/>
        </w:rPr>
      </w:pPr>
    </w:p>
    <w:p w14:paraId="67E5A595" w14:textId="77777777" w:rsidR="00B71B8F" w:rsidRDefault="00000000">
      <w:pPr>
        <w:pStyle w:val="Corpodetexto"/>
        <w:spacing w:line="360" w:lineRule="auto"/>
        <w:jc w:val="both"/>
        <w:rPr>
          <w:b/>
          <w:bCs/>
          <w:sz w:val="28"/>
          <w:szCs w:val="28"/>
        </w:rPr>
      </w:pPr>
      <w:r>
        <w:rPr>
          <w:b/>
          <w:bCs/>
          <w:sz w:val="28"/>
          <w:szCs w:val="28"/>
        </w:rPr>
        <w:t>Conclusão</w:t>
      </w:r>
    </w:p>
    <w:p w14:paraId="700E3944" w14:textId="77777777" w:rsidR="00B71B8F" w:rsidRDefault="00000000">
      <w:pPr>
        <w:pStyle w:val="Corpodetexto"/>
        <w:spacing w:line="360" w:lineRule="auto"/>
        <w:ind w:firstLine="720"/>
        <w:jc w:val="both"/>
        <w:rPr>
          <w:sz w:val="24"/>
          <w:szCs w:val="24"/>
        </w:rPr>
      </w:pPr>
      <w:r>
        <w:rPr>
          <w:sz w:val="24"/>
          <w:szCs w:val="24"/>
        </w:rPr>
        <w:t xml:space="preserve">Os metabólitos de </w:t>
      </w:r>
      <w:r>
        <w:rPr>
          <w:i/>
          <w:iCs/>
          <w:sz w:val="24"/>
          <w:szCs w:val="24"/>
        </w:rPr>
        <w:t>U. guianensis</w:t>
      </w:r>
      <w:r>
        <w:rPr>
          <w:sz w:val="24"/>
          <w:szCs w:val="24"/>
        </w:rPr>
        <w:t xml:space="preserve"> apresentaram, de modo geral, baixo potencial de bioacumulação e perfil ecotoxicológico favorável, indicando reduzido risco de biomagnificação em ambientes aquáticos. Entretanto, diferenças entre as classes químicas evidenciaram que determinados alcaloides, especialmente a rincofilina, merecem atenção em avaliações ambientais futuras. Os resultados reforçam a importância da ecotoxicidade preditiva como </w:t>
      </w:r>
      <w:r>
        <w:rPr>
          <w:sz w:val="24"/>
          <w:szCs w:val="24"/>
        </w:rPr>
        <w:lastRenderedPageBreak/>
        <w:t>ferramenta complementar no desenvolvimento de novos medicamentos, conciliando potencial farmacológico e menor risco ambiental durante as etapas iniciais de novos fitofármacos.</w:t>
      </w:r>
    </w:p>
    <w:p w14:paraId="6CB7D45F" w14:textId="77777777" w:rsidR="00B71B8F" w:rsidRDefault="00B71B8F">
      <w:pPr>
        <w:pStyle w:val="Corpodetexto"/>
        <w:spacing w:line="360" w:lineRule="auto"/>
        <w:jc w:val="both"/>
        <w:rPr>
          <w:sz w:val="24"/>
          <w:szCs w:val="24"/>
        </w:rPr>
      </w:pPr>
    </w:p>
    <w:p w14:paraId="635B254A" w14:textId="77777777" w:rsidR="00B71B8F" w:rsidRDefault="00000000">
      <w:pPr>
        <w:pStyle w:val="Corpodetexto"/>
        <w:spacing w:line="360" w:lineRule="auto"/>
        <w:jc w:val="both"/>
        <w:rPr>
          <w:sz w:val="24"/>
          <w:szCs w:val="24"/>
        </w:rPr>
      </w:pPr>
      <w:r>
        <w:rPr>
          <w:b/>
          <w:bCs/>
          <w:sz w:val="28"/>
          <w:szCs w:val="28"/>
        </w:rPr>
        <w:t>Referências</w:t>
      </w:r>
    </w:p>
    <w:p w14:paraId="3AB26D90" w14:textId="77777777" w:rsidR="00B71B8F" w:rsidRDefault="00000000">
      <w:pPr>
        <w:pStyle w:val="Bibliografia"/>
        <w:rPr>
          <w:lang w:val="en-US"/>
        </w:rPr>
      </w:pPr>
      <w:r>
        <w:fldChar w:fldCharType="begin"/>
      </w:r>
      <w:r>
        <w:rPr>
          <w:szCs w:val="24"/>
        </w:rPr>
        <w:instrText>ADDIN ZOTERO_BIBL {"uncited":[],"omitted":[],"custom":[]} CSL_BIBLIOGRAPHY</w:instrText>
      </w:r>
      <w:r>
        <w:rPr>
          <w:szCs w:val="24"/>
        </w:rPr>
        <w:fldChar w:fldCharType="separate"/>
      </w:r>
      <w:r>
        <w:t xml:space="preserve">AFONSO, Sandra; FERREIRA, Verónica; MOREIRA-SANTOS, Matilde. </w:t>
      </w:r>
      <w:r>
        <w:rPr>
          <w:lang w:val="en-US"/>
        </w:rPr>
        <w:t xml:space="preserve">Comparing the sensitivity of aquatic organisms relative to Daphnia sp. toward essential oils and crude extracts: A meta-analysis. </w:t>
      </w:r>
      <w:r>
        <w:rPr>
          <w:b/>
          <w:bCs/>
          <w:lang w:val="en-US"/>
        </w:rPr>
        <w:t>The Science of the Total Environment</w:t>
      </w:r>
      <w:r>
        <w:rPr>
          <w:lang w:val="en-US"/>
        </w:rPr>
        <w:t xml:space="preserve">, v. 908, p. 168467, 15 jan. 2024. </w:t>
      </w:r>
    </w:p>
    <w:p w14:paraId="6A21F371" w14:textId="77777777" w:rsidR="00B71B8F" w:rsidRDefault="00000000">
      <w:pPr>
        <w:pStyle w:val="Bibliografia"/>
        <w:rPr>
          <w:lang w:val="en-US"/>
        </w:rPr>
      </w:pPr>
      <w:r>
        <w:rPr>
          <w:lang w:val="en-US"/>
        </w:rPr>
        <w:t xml:space="preserve">CALLEGARO, Sarah </w:t>
      </w:r>
      <w:r>
        <w:rPr>
          <w:i/>
          <w:iCs/>
          <w:lang w:val="en-US"/>
        </w:rPr>
        <w:t>et al.</w:t>
      </w:r>
      <w:r>
        <w:rPr>
          <w:lang w:val="en-US"/>
        </w:rPr>
        <w:t xml:space="preserve"> Effects of alginate on stability and ecotoxicity of nano-TiO2 in artificial seawater. </w:t>
      </w:r>
      <w:r>
        <w:rPr>
          <w:b/>
          <w:bCs/>
          <w:lang w:val="en-US"/>
        </w:rPr>
        <w:t>Ecotoxicology and Environmental Safety</w:t>
      </w:r>
      <w:r>
        <w:rPr>
          <w:lang w:val="en-US"/>
        </w:rPr>
        <w:t xml:space="preserve">, v. 117, p. 107–114, jul. 2015. </w:t>
      </w:r>
    </w:p>
    <w:p w14:paraId="338536DB" w14:textId="77777777" w:rsidR="00B71B8F" w:rsidRDefault="00000000">
      <w:pPr>
        <w:pStyle w:val="Bibliografia"/>
        <w:rPr>
          <w:lang w:val="en-US"/>
        </w:rPr>
      </w:pPr>
      <w:r>
        <w:rPr>
          <w:lang w:val="en-US"/>
        </w:rPr>
        <w:t xml:space="preserve">CHEN, Leilei; LIU, Yingjuan; XIE, Junxia. The beneficial pharmacological effects of Uncaria rhynchophylla in neurodegenerative diseases: focus on alkaloids. </w:t>
      </w:r>
      <w:r>
        <w:rPr>
          <w:b/>
          <w:bCs/>
          <w:lang w:val="en-US"/>
        </w:rPr>
        <w:t>Frontiers in Pharmacology</w:t>
      </w:r>
      <w:r>
        <w:rPr>
          <w:lang w:val="en-US"/>
        </w:rPr>
        <w:t xml:space="preserve">, v. 15, 31 jul. 2024. </w:t>
      </w:r>
    </w:p>
    <w:p w14:paraId="18962C41" w14:textId="77777777" w:rsidR="00B71B8F" w:rsidRDefault="00000000">
      <w:pPr>
        <w:pStyle w:val="Bibliografia"/>
        <w:rPr>
          <w:lang w:val="en-US"/>
        </w:rPr>
      </w:pPr>
      <w:r>
        <w:rPr>
          <w:lang w:val="en-US"/>
        </w:rPr>
        <w:t xml:space="preserve">DE ALMEIDA-JUNIOR, Silvio </w:t>
      </w:r>
      <w:r>
        <w:rPr>
          <w:i/>
          <w:iCs/>
          <w:lang w:val="en-US"/>
        </w:rPr>
        <w:t>et al.</w:t>
      </w:r>
      <w:r>
        <w:rPr>
          <w:lang w:val="en-US"/>
        </w:rPr>
        <w:t xml:space="preserve"> Advances in the phytochemical screening and biological potential of propolis. </w:t>
      </w:r>
      <w:r>
        <w:rPr>
          <w:b/>
          <w:bCs/>
          <w:lang w:val="en-US"/>
        </w:rPr>
        <w:t>Fundamental &amp; Clinical Pharmacology</w:t>
      </w:r>
      <w:r>
        <w:rPr>
          <w:lang w:val="en-US"/>
        </w:rPr>
        <w:t xml:space="preserve">, v. 37, n. 5, p. 886–899, out. 2023. </w:t>
      </w:r>
    </w:p>
    <w:p w14:paraId="542C7209" w14:textId="77777777" w:rsidR="00B71B8F" w:rsidRDefault="00000000">
      <w:pPr>
        <w:pStyle w:val="Bibliografia"/>
      </w:pPr>
      <w:r>
        <w:rPr>
          <w:lang w:val="en-US"/>
        </w:rPr>
        <w:t xml:space="preserve">DE MEESTER, Luc; DECLERCK, Steven A. J.; GER, Kemal Ali. Beyond Daphnia: a plea for a more inclusive and unifying approach to freshwater zooplankton ecology. </w:t>
      </w:r>
      <w:r>
        <w:rPr>
          <w:b/>
          <w:bCs/>
        </w:rPr>
        <w:t>Hydrobiologia</w:t>
      </w:r>
      <w:r>
        <w:t xml:space="preserve">, v. 850, n. 21, p. 4693–4703, 1 dez. 2023. </w:t>
      </w:r>
    </w:p>
    <w:p w14:paraId="481F947E" w14:textId="77777777" w:rsidR="00B71B8F" w:rsidRDefault="00000000">
      <w:pPr>
        <w:pStyle w:val="Bibliografia"/>
      </w:pPr>
      <w:r>
        <w:t xml:space="preserve">HONÓRIO, Isabela Cristina G. </w:t>
      </w:r>
      <w:r>
        <w:rPr>
          <w:i/>
          <w:iCs/>
        </w:rPr>
        <w:t>et al.</w:t>
      </w:r>
      <w:r>
        <w:t xml:space="preserve"> </w:t>
      </w:r>
      <w:r>
        <w:rPr>
          <w:lang w:val="en-US"/>
        </w:rPr>
        <w:t xml:space="preserve">Genetic structure and chemical diversity in natural populations of Uncaria guianensis (Aubl.) J.F.Gmel. (Rubiaceae). </w:t>
      </w:r>
      <w:r>
        <w:rPr>
          <w:b/>
          <w:bCs/>
        </w:rPr>
        <w:t>PloS One</w:t>
      </w:r>
      <w:r>
        <w:t xml:space="preserve">, v. 13, n. 10, p. e0205667, 2018. </w:t>
      </w:r>
    </w:p>
    <w:p w14:paraId="7E907BB6" w14:textId="77777777" w:rsidR="00B71B8F" w:rsidRDefault="00000000">
      <w:pPr>
        <w:pStyle w:val="Bibliografia"/>
        <w:rPr>
          <w:lang w:val="en-US"/>
        </w:rPr>
      </w:pPr>
      <w:r>
        <w:t xml:space="preserve">HONÓRIO, Isabela Cristina Gomes; BERTONI, Bianca Waléria; PEREIRA, Ana Maria Soares. </w:t>
      </w:r>
      <w:r>
        <w:rPr>
          <w:lang w:val="en-US"/>
        </w:rPr>
        <w:t xml:space="preserve">Uncaria tomentosa and Uncaria guianensis an agronomic history to be written. </w:t>
      </w:r>
      <w:r>
        <w:rPr>
          <w:b/>
          <w:bCs/>
          <w:lang w:val="en-US"/>
        </w:rPr>
        <w:t>Ciência Rural</w:t>
      </w:r>
      <w:r>
        <w:rPr>
          <w:lang w:val="en-US"/>
        </w:rPr>
        <w:t xml:space="preserve">, v. 46, p. 1401–1410, ago. 2016. </w:t>
      </w:r>
    </w:p>
    <w:p w14:paraId="07E70270" w14:textId="77777777" w:rsidR="00B71B8F" w:rsidRDefault="00000000">
      <w:pPr>
        <w:pStyle w:val="Bibliografia"/>
        <w:rPr>
          <w:lang w:val="en-US"/>
        </w:rPr>
      </w:pPr>
      <w:r>
        <w:rPr>
          <w:lang w:val="en-US"/>
        </w:rPr>
        <w:t xml:space="preserve">LAGUNIN, Alexey A. </w:t>
      </w:r>
      <w:r>
        <w:rPr>
          <w:i/>
          <w:iCs/>
          <w:lang w:val="en-US"/>
        </w:rPr>
        <w:t>et al.</w:t>
      </w:r>
      <w:r>
        <w:rPr>
          <w:lang w:val="en-US"/>
        </w:rPr>
        <w:t xml:space="preserve"> CLC-Pred 2.0: A Freely Available Web Application for In Silico Prediction of Human Cell Line Cytotoxicity and Molecular Mechanisms of Action for Druglike Compounds. </w:t>
      </w:r>
      <w:r>
        <w:rPr>
          <w:b/>
          <w:bCs/>
          <w:lang w:val="en-US"/>
        </w:rPr>
        <w:t>International Journal of Molecular Sciences</w:t>
      </w:r>
      <w:r>
        <w:rPr>
          <w:lang w:val="en-US"/>
        </w:rPr>
        <w:t xml:space="preserve">, v. 24, n. 2, p. 1689, jan. 2023. </w:t>
      </w:r>
    </w:p>
    <w:p w14:paraId="445525FB" w14:textId="77777777" w:rsidR="00B71B8F" w:rsidRDefault="00000000">
      <w:pPr>
        <w:pStyle w:val="Bibliografia"/>
        <w:rPr>
          <w:lang w:val="en-US"/>
        </w:rPr>
      </w:pPr>
      <w:r>
        <w:rPr>
          <w:lang w:val="en-US"/>
        </w:rPr>
        <w:t xml:space="preserve">NIKOLOV, N. G.; WEDEBYE, E. B. High performance, large chemical coverage or both: DanishQSAR and hierarchies of post-hoc ensemble models optimized for sensitivity, specificity or balanced accuracy. </w:t>
      </w:r>
      <w:r>
        <w:rPr>
          <w:b/>
          <w:bCs/>
          <w:lang w:val="en-US"/>
        </w:rPr>
        <w:t>SAR and QSAR in environmental research</w:t>
      </w:r>
      <w:r>
        <w:rPr>
          <w:lang w:val="en-US"/>
        </w:rPr>
        <w:t xml:space="preserve">, v. 36, n. 5, p. 365–391, maio 2025. </w:t>
      </w:r>
    </w:p>
    <w:p w14:paraId="119ED6DE" w14:textId="77777777" w:rsidR="00B71B8F" w:rsidRDefault="00000000">
      <w:pPr>
        <w:pStyle w:val="Bibliografia"/>
        <w:rPr>
          <w:lang w:val="en-US"/>
        </w:rPr>
      </w:pPr>
      <w:r>
        <w:rPr>
          <w:lang w:val="en-US"/>
        </w:rPr>
        <w:t xml:space="preserve">RAPIYA, Monde; SLAYI, Mhlangabezi; TRUTER, Wayne. A review of phenolic compounds in water bodies of grazing areas. </w:t>
      </w:r>
      <w:r>
        <w:rPr>
          <w:b/>
          <w:bCs/>
          <w:lang w:val="en-US"/>
        </w:rPr>
        <w:t>Discover Water</w:t>
      </w:r>
      <w:r>
        <w:rPr>
          <w:lang w:val="en-US"/>
        </w:rPr>
        <w:t xml:space="preserve">, v. 5, n. 1, p. 69, 14 ago. 2025. </w:t>
      </w:r>
    </w:p>
    <w:p w14:paraId="15A5BD78" w14:textId="77777777" w:rsidR="00B71B8F" w:rsidRDefault="00000000">
      <w:pPr>
        <w:pStyle w:val="Bibliografia"/>
        <w:rPr>
          <w:lang w:val="en-US"/>
        </w:rPr>
      </w:pPr>
      <w:r>
        <w:rPr>
          <w:lang w:val="en-US"/>
        </w:rPr>
        <w:t xml:space="preserve">VALENTE, Ligia M. M. </w:t>
      </w:r>
      <w:r>
        <w:rPr>
          <w:i/>
          <w:iCs/>
          <w:lang w:val="en-US"/>
        </w:rPr>
        <w:t>et al.</w:t>
      </w:r>
      <w:r>
        <w:rPr>
          <w:lang w:val="en-US"/>
        </w:rPr>
        <w:t xml:space="preserve"> Kaempferitrin from Uncaria guianensis (Rubiaceae) and its potential as a chemical marker for the species. </w:t>
      </w:r>
      <w:r>
        <w:rPr>
          <w:b/>
          <w:bCs/>
          <w:lang w:val="en-US"/>
        </w:rPr>
        <w:t>Journal of the Brazilian Chemical Society</w:t>
      </w:r>
      <w:r>
        <w:rPr>
          <w:lang w:val="en-US"/>
        </w:rPr>
        <w:t xml:space="preserve">, v. 20, p. 1041–1045, 2009. </w:t>
      </w:r>
    </w:p>
    <w:p w14:paraId="12626EA0" w14:textId="77777777" w:rsidR="00B71B8F" w:rsidRDefault="00000000">
      <w:pPr>
        <w:pStyle w:val="Bibliografia"/>
        <w:rPr>
          <w:lang w:val="en-US"/>
        </w:rPr>
      </w:pPr>
      <w:r>
        <w:rPr>
          <w:lang w:val="en-US"/>
        </w:rPr>
        <w:t xml:space="preserve">YÉPEZ, A. M. </w:t>
      </w:r>
      <w:r>
        <w:rPr>
          <w:i/>
          <w:iCs/>
          <w:lang w:val="en-US"/>
        </w:rPr>
        <w:t>et al.</w:t>
      </w:r>
      <w:r>
        <w:rPr>
          <w:lang w:val="en-US"/>
        </w:rPr>
        <w:t xml:space="preserve"> </w:t>
      </w:r>
      <w:r>
        <w:t xml:space="preserve">Quinovic acid glycosides from Uncaria guianensis. </w:t>
      </w:r>
      <w:r>
        <w:rPr>
          <w:b/>
          <w:bCs/>
          <w:lang w:val="en-US"/>
        </w:rPr>
        <w:t>Phytochemistry</w:t>
      </w:r>
      <w:r>
        <w:rPr>
          <w:lang w:val="en-US"/>
        </w:rPr>
        <w:t xml:space="preserve">, v. 30, n. 5, p. 1635–1637, 1991. </w:t>
      </w:r>
    </w:p>
    <w:p w14:paraId="653AB548" w14:textId="77777777" w:rsidR="00B71B8F" w:rsidRDefault="00000000">
      <w:pPr>
        <w:pStyle w:val="Bibliografia"/>
        <w:rPr>
          <w:sz w:val="24"/>
          <w:szCs w:val="24"/>
        </w:rPr>
      </w:pPr>
      <w:r>
        <w:rPr>
          <w:lang w:val="en-US"/>
        </w:rPr>
        <w:t xml:space="preserve">ZHANG, Yuanyuan </w:t>
      </w:r>
      <w:r>
        <w:rPr>
          <w:i/>
          <w:iCs/>
          <w:lang w:val="en-US"/>
        </w:rPr>
        <w:t>et al.</w:t>
      </w:r>
      <w:r>
        <w:rPr>
          <w:lang w:val="en-US"/>
        </w:rPr>
        <w:t xml:space="preserve"> A Brief Review of Phenolic Compounds Identified from Plants: Their Extraction, Analysis, and Biological Activity. </w:t>
      </w:r>
      <w:r>
        <w:rPr>
          <w:b/>
          <w:bCs/>
        </w:rPr>
        <w:t>Natural Product Communications</w:t>
      </w:r>
      <w:r>
        <w:t xml:space="preserve">, v. 17, n. 1, p. 1934578X211069721, 1 jan. 2022. </w:t>
      </w:r>
      <w:r>
        <w:rPr>
          <w:szCs w:val="24"/>
        </w:rPr>
        <w:fldChar w:fldCharType="end"/>
      </w:r>
    </w:p>
    <w:sectPr w:rsidR="00B71B8F">
      <w:headerReference w:type="even" r:id="rId15"/>
      <w:headerReference w:type="default" r:id="rId16"/>
      <w:footerReference w:type="even" r:id="rId17"/>
      <w:footerReference w:type="default" r:id="rId18"/>
      <w:headerReference w:type="first" r:id="rId19"/>
      <w:footerReference w:type="first" r:id="rId20"/>
      <w:pgSz w:w="11906" w:h="16838"/>
      <w:pgMar w:top="1701" w:right="1134" w:bottom="1471" w:left="1701" w:header="0" w:footer="1414"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40596D" w14:textId="77777777" w:rsidR="002951A2" w:rsidRDefault="002951A2">
      <w:r>
        <w:separator/>
      </w:r>
    </w:p>
  </w:endnote>
  <w:endnote w:type="continuationSeparator" w:id="0">
    <w:p w14:paraId="18126F36" w14:textId="77777777" w:rsidR="002951A2" w:rsidRDefault="002951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0334F" w14:textId="77777777" w:rsidR="00B71B8F" w:rsidRDefault="00B71B8F">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A154E" w14:textId="77777777" w:rsidR="00B71B8F" w:rsidRDefault="00B71B8F">
    <w:pPr>
      <w:pStyle w:val="Corpodetexto"/>
      <w:spacing w:line="14"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B425F" w14:textId="77777777" w:rsidR="00B71B8F" w:rsidRDefault="00B71B8F">
    <w:pPr>
      <w:pStyle w:val="Corpodetexto"/>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6685D4" w14:textId="77777777" w:rsidR="002951A2" w:rsidRDefault="002951A2">
      <w:r>
        <w:separator/>
      </w:r>
    </w:p>
  </w:footnote>
  <w:footnote w:type="continuationSeparator" w:id="0">
    <w:p w14:paraId="3657F5EC" w14:textId="77777777" w:rsidR="002951A2" w:rsidRDefault="002951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D2439" w14:textId="77777777" w:rsidR="00B71B8F" w:rsidRDefault="00B71B8F">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2E4FE" w14:textId="77777777" w:rsidR="00B71B8F" w:rsidRDefault="00000000">
    <w:pPr>
      <w:pStyle w:val="Cabealho"/>
    </w:pPr>
    <w:r>
      <w:rPr>
        <w:noProof/>
      </w:rPr>
      <w:drawing>
        <wp:anchor distT="0" distB="0" distL="0" distR="0" simplePos="0" relativeHeight="251657216" behindDoc="1" locked="0" layoutInCell="0" allowOverlap="1" wp14:anchorId="120F2253" wp14:editId="69A48AD0">
          <wp:simplePos x="0" y="0"/>
          <wp:positionH relativeFrom="page">
            <wp:posOffset>6350</wp:posOffset>
          </wp:positionH>
          <wp:positionV relativeFrom="page">
            <wp:posOffset>0</wp:posOffset>
          </wp:positionV>
          <wp:extent cx="7556500" cy="1060450"/>
          <wp:effectExtent l="0" t="0" r="0" b="0"/>
          <wp:wrapNone/>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4"/>
                  <pic:cNvPicPr>
                    <a:picLocks noChangeAspect="1" noChangeArrowheads="1"/>
                  </pic:cNvPicPr>
                </pic:nvPicPr>
                <pic:blipFill>
                  <a:blip r:embed="rId1"/>
                  <a:stretch>
                    <a:fillRect/>
                  </a:stretch>
                </pic:blipFill>
                <pic:spPr bwMode="auto">
                  <a:xfrm>
                    <a:off x="0" y="0"/>
                    <a:ext cx="7556500" cy="1060450"/>
                  </a:xfrm>
                  <a:prstGeom prst="rect">
                    <a:avLst/>
                  </a:prstGeom>
                  <a:noFill/>
                </pic:spPr>
              </pic:pic>
            </a:graphicData>
          </a:graphic>
        </wp:anchor>
      </w:drawing>
    </w:r>
    <w:r>
      <w:rPr>
        <w:noProof/>
      </w:rPr>
      <w:drawing>
        <wp:inline distT="0" distB="0" distL="0" distR="0" wp14:anchorId="686E4466" wp14:editId="6942DA0A">
          <wp:extent cx="5753100" cy="996950"/>
          <wp:effectExtent l="0" t="0" r="0" b="0"/>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pic:cNvPicPr>
                    <a:picLocks noChangeAspect="1" noChangeArrowheads="1"/>
                  </pic:cNvPicPr>
                </pic:nvPicPr>
                <pic:blipFill>
                  <a:blip r:embed="rId2"/>
                  <a:stretch>
                    <a:fillRect/>
                  </a:stretch>
                </pic:blipFill>
                <pic:spPr bwMode="auto">
                  <a:xfrm>
                    <a:off x="0" y="0"/>
                    <a:ext cx="5753100" cy="99695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3FC19" w14:textId="77777777" w:rsidR="00B71B8F" w:rsidRDefault="00000000">
    <w:pPr>
      <w:pStyle w:val="Cabealho"/>
    </w:pPr>
    <w:r>
      <w:rPr>
        <w:noProof/>
      </w:rPr>
      <w:drawing>
        <wp:anchor distT="0" distB="0" distL="0" distR="0" simplePos="0" relativeHeight="251658240" behindDoc="1" locked="0" layoutInCell="0" allowOverlap="1" wp14:anchorId="44B39B6E" wp14:editId="395EB715">
          <wp:simplePos x="0" y="0"/>
          <wp:positionH relativeFrom="page">
            <wp:posOffset>6350</wp:posOffset>
          </wp:positionH>
          <wp:positionV relativeFrom="page">
            <wp:posOffset>0</wp:posOffset>
          </wp:positionV>
          <wp:extent cx="7556500" cy="1060450"/>
          <wp:effectExtent l="0" t="0" r="0" b="0"/>
          <wp:wrapNone/>
          <wp:docPr id="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4"/>
                  <pic:cNvPicPr>
                    <a:picLocks noChangeAspect="1" noChangeArrowheads="1"/>
                  </pic:cNvPicPr>
                </pic:nvPicPr>
                <pic:blipFill>
                  <a:blip r:embed="rId1"/>
                  <a:stretch>
                    <a:fillRect/>
                  </a:stretch>
                </pic:blipFill>
                <pic:spPr bwMode="auto">
                  <a:xfrm>
                    <a:off x="0" y="0"/>
                    <a:ext cx="7556500" cy="1060450"/>
                  </a:xfrm>
                  <a:prstGeom prst="rect">
                    <a:avLst/>
                  </a:prstGeom>
                  <a:noFill/>
                </pic:spPr>
              </pic:pic>
            </a:graphicData>
          </a:graphic>
        </wp:anchor>
      </w:drawing>
    </w:r>
    <w:r>
      <w:rPr>
        <w:noProof/>
      </w:rPr>
      <w:drawing>
        <wp:inline distT="0" distB="0" distL="0" distR="0" wp14:anchorId="01A27E98" wp14:editId="51DF3827">
          <wp:extent cx="5753100" cy="996950"/>
          <wp:effectExtent l="0" t="0" r="0" b="0"/>
          <wp:docPr id="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1"/>
                  <pic:cNvPicPr>
                    <a:picLocks noChangeAspect="1" noChangeArrowheads="1"/>
                  </pic:cNvPicPr>
                </pic:nvPicPr>
                <pic:blipFill>
                  <a:blip r:embed="rId2"/>
                  <a:stretch>
                    <a:fillRect/>
                  </a:stretch>
                </pic:blipFill>
                <pic:spPr bwMode="auto">
                  <a:xfrm>
                    <a:off x="0" y="0"/>
                    <a:ext cx="5753100" cy="99695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B8F"/>
    <w:rsid w:val="000508BD"/>
    <w:rsid w:val="002951A2"/>
    <w:rsid w:val="00B71B8F"/>
    <w:rsid w:val="00C54822"/>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1454A690"/>
  <w15:docId w15:val="{2F2E6B6E-60C6-4ECF-A171-2F724837B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Times New Roman" w:eastAsia="Times New Roman" w:hAnsi="Times New Roman" w:cs="Times New Roman"/>
      <w:lang w:val="pt-PT"/>
    </w:rPr>
  </w:style>
  <w:style w:type="paragraph" w:styleId="Ttulo1">
    <w:name w:val="heading 1"/>
    <w:basedOn w:val="Normal"/>
    <w:uiPriority w:val="9"/>
    <w:qFormat/>
    <w:pPr>
      <w:outlineLvl w:val="0"/>
    </w:pPr>
    <w:rPr>
      <w:b/>
      <w:bCs/>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36697E"/>
    <w:rPr>
      <w:rFonts w:ascii="Times New Roman" w:eastAsia="Times New Roman" w:hAnsi="Times New Roman" w:cs="Times New Roman"/>
      <w:lang w:val="pt-PT"/>
    </w:rPr>
  </w:style>
  <w:style w:type="character" w:customStyle="1" w:styleId="RodapChar">
    <w:name w:val="Rodapé Char"/>
    <w:basedOn w:val="Fontepargpadro"/>
    <w:link w:val="Rodap"/>
    <w:uiPriority w:val="99"/>
    <w:qFormat/>
    <w:rsid w:val="0036697E"/>
    <w:rPr>
      <w:rFonts w:ascii="Times New Roman" w:eastAsia="Times New Roman" w:hAnsi="Times New Roman" w:cs="Times New Roman"/>
      <w:lang w:val="pt-PT"/>
    </w:rPr>
  </w:style>
  <w:style w:type="character" w:styleId="Refdecomentrio">
    <w:name w:val="annotation reference"/>
    <w:basedOn w:val="Fontepargpadro"/>
    <w:uiPriority w:val="99"/>
    <w:semiHidden/>
    <w:unhideWhenUsed/>
    <w:qFormat/>
    <w:rsid w:val="0036697E"/>
    <w:rPr>
      <w:sz w:val="16"/>
      <w:szCs w:val="16"/>
    </w:rPr>
  </w:style>
  <w:style w:type="character" w:customStyle="1" w:styleId="TextodecomentrioChar">
    <w:name w:val="Texto de comentário Char"/>
    <w:basedOn w:val="Fontepargpadro"/>
    <w:link w:val="Textodecomentrio"/>
    <w:uiPriority w:val="99"/>
    <w:qFormat/>
    <w:rsid w:val="0036697E"/>
    <w:rPr>
      <w:rFonts w:ascii="Times New Roman" w:eastAsia="Times New Roman" w:hAnsi="Times New Roman" w:cs="Times New Roman"/>
      <w:sz w:val="20"/>
      <w:szCs w:val="20"/>
      <w:lang w:val="pt-PT"/>
    </w:rPr>
  </w:style>
  <w:style w:type="character" w:customStyle="1" w:styleId="AssuntodocomentrioChar">
    <w:name w:val="Assunto do comentário Char"/>
    <w:basedOn w:val="TextodecomentrioChar"/>
    <w:link w:val="Assuntodocomentrio"/>
    <w:uiPriority w:val="99"/>
    <w:semiHidden/>
    <w:qFormat/>
    <w:rsid w:val="0036697E"/>
    <w:rPr>
      <w:rFonts w:ascii="Times New Roman" w:eastAsia="Times New Roman" w:hAnsi="Times New Roman" w:cs="Times New Roman"/>
      <w:b/>
      <w:bCs/>
      <w:sz w:val="20"/>
      <w:szCs w:val="20"/>
      <w:lang w:val="pt-PT"/>
    </w:rPr>
  </w:style>
  <w:style w:type="character" w:styleId="Hyperlink">
    <w:name w:val="Hyperlink"/>
    <w:basedOn w:val="Fontepargpadro"/>
    <w:uiPriority w:val="99"/>
    <w:unhideWhenUsed/>
    <w:rsid w:val="000076A1"/>
    <w:rPr>
      <w:color w:val="0000FF" w:themeColor="hyperlink"/>
      <w:u w:val="single"/>
    </w:rPr>
  </w:style>
  <w:style w:type="character" w:styleId="MenoPendente">
    <w:name w:val="Unresolved Mention"/>
    <w:basedOn w:val="Fontepargpadro"/>
    <w:uiPriority w:val="99"/>
    <w:semiHidden/>
    <w:unhideWhenUsed/>
    <w:qFormat/>
    <w:rsid w:val="000076A1"/>
    <w:rPr>
      <w:color w:val="605E5C"/>
      <w:shd w:val="clear" w:color="auto" w:fill="E1DFDD"/>
    </w:rPr>
  </w:style>
  <w:style w:type="character" w:styleId="Forte">
    <w:name w:val="Strong"/>
    <w:basedOn w:val="Fontepargpadro"/>
    <w:uiPriority w:val="22"/>
    <w:qFormat/>
    <w:rsid w:val="007B34E6"/>
    <w:rPr>
      <w:b/>
      <w:bCs/>
    </w:rPr>
  </w:style>
  <w:style w:type="character" w:styleId="nfase">
    <w:name w:val="Emphasis"/>
    <w:basedOn w:val="Fontepargpadro"/>
    <w:uiPriority w:val="20"/>
    <w:qFormat/>
    <w:rsid w:val="007C3DD0"/>
    <w:rPr>
      <w:i/>
      <w:iCs/>
    </w:rPr>
  </w:style>
  <w:style w:type="paragraph" w:styleId="Ttulo">
    <w:name w:val="Title"/>
    <w:basedOn w:val="Normal"/>
    <w:next w:val="Corpodetexto"/>
    <w:uiPriority w:val="10"/>
    <w:qFormat/>
    <w:pPr>
      <w:spacing w:before="367"/>
      <w:ind w:left="75" w:right="209"/>
      <w:jc w:val="center"/>
    </w:pPr>
    <w:rPr>
      <w:b/>
      <w:bCs/>
      <w:sz w:val="32"/>
      <w:szCs w:val="32"/>
    </w:rPr>
  </w:style>
  <w:style w:type="paragraph" w:styleId="Corpodetexto">
    <w:name w:val="Body Text"/>
    <w:basedOn w:val="Normal"/>
    <w:uiPriority w:val="1"/>
    <w:qFormat/>
    <w:rPr>
      <w:sz w:val="20"/>
      <w:szCs w:val="20"/>
    </w:r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customStyle="1" w:styleId="Cabealhoerodap">
    <w:name w:val="Cabeçalho e rodapé"/>
    <w:basedOn w:val="Normal"/>
    <w:qFormat/>
  </w:style>
  <w:style w:type="paragraph" w:styleId="Cabealho">
    <w:name w:val="header"/>
    <w:basedOn w:val="Normal"/>
    <w:link w:val="CabealhoChar"/>
    <w:uiPriority w:val="99"/>
    <w:unhideWhenUsed/>
    <w:rsid w:val="0036697E"/>
    <w:pPr>
      <w:tabs>
        <w:tab w:val="center" w:pos="4252"/>
        <w:tab w:val="right" w:pos="8504"/>
      </w:tabs>
    </w:pPr>
  </w:style>
  <w:style w:type="paragraph" w:styleId="Rodap">
    <w:name w:val="footer"/>
    <w:basedOn w:val="Normal"/>
    <w:link w:val="RodapChar"/>
    <w:uiPriority w:val="99"/>
    <w:unhideWhenUsed/>
    <w:rsid w:val="0036697E"/>
    <w:pPr>
      <w:tabs>
        <w:tab w:val="center" w:pos="4252"/>
        <w:tab w:val="right" w:pos="8504"/>
      </w:tabs>
    </w:pPr>
  </w:style>
  <w:style w:type="paragraph" w:styleId="Textodecomentrio">
    <w:name w:val="annotation text"/>
    <w:basedOn w:val="Normal"/>
    <w:link w:val="TextodecomentrioChar"/>
    <w:uiPriority w:val="99"/>
    <w:unhideWhenUsed/>
    <w:rsid w:val="0036697E"/>
    <w:rPr>
      <w:sz w:val="20"/>
      <w:szCs w:val="20"/>
    </w:rPr>
  </w:style>
  <w:style w:type="paragraph" w:styleId="Assuntodocomentrio">
    <w:name w:val="annotation subject"/>
    <w:basedOn w:val="Textodecomentrio"/>
    <w:next w:val="Textodecomentrio"/>
    <w:link w:val="AssuntodocomentrioChar"/>
    <w:uiPriority w:val="99"/>
    <w:semiHidden/>
    <w:unhideWhenUsed/>
    <w:qFormat/>
    <w:rsid w:val="0036697E"/>
    <w:rPr>
      <w:b/>
      <w:bCs/>
    </w:rPr>
  </w:style>
  <w:style w:type="paragraph" w:styleId="Bibliografia">
    <w:name w:val="Bibliography"/>
    <w:basedOn w:val="Normal"/>
    <w:next w:val="Normal"/>
    <w:uiPriority w:val="37"/>
    <w:unhideWhenUsed/>
    <w:qFormat/>
    <w:rsid w:val="00B15F5F"/>
    <w:pPr>
      <w:spacing w:after="240"/>
    </w:pPr>
  </w:style>
  <w:style w:type="paragraph" w:customStyle="1" w:styleId="pdq2pgselectionanchorcontainer">
    <w:name w:val="pdq2pg_selectionanchorcontainer"/>
    <w:basedOn w:val="Normal"/>
    <w:qFormat/>
    <w:rsid w:val="007B34E6"/>
    <w:pPr>
      <w:widowControl/>
      <w:spacing w:beforeAutospacing="1" w:afterAutospacing="1"/>
    </w:pPr>
    <w:rPr>
      <w:sz w:val="24"/>
      <w:szCs w:val="24"/>
      <w:lang w:val="pt-BR" w:eastAsia="pt-BR"/>
    </w:rPr>
  </w:style>
  <w:style w:type="paragraph" w:styleId="NormalWeb">
    <w:name w:val="Normal (Web)"/>
    <w:basedOn w:val="Normal"/>
    <w:uiPriority w:val="99"/>
    <w:semiHidden/>
    <w:unhideWhenUsed/>
    <w:qFormat/>
    <w:rsid w:val="007B34E6"/>
    <w:pPr>
      <w:widowControl/>
      <w:spacing w:beforeAutospacing="1" w:afterAutospacing="1"/>
    </w:pPr>
    <w:rPr>
      <w:sz w:val="24"/>
      <w:szCs w:val="24"/>
      <w:lang w:val="pt-BR" w:eastAsia="pt-BR"/>
    </w:rPr>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emf"/><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oleObject" Target="embeddings/oleObject3.bin"/><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oleObject" Target="embeddings/oleObject2.bin"/><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oleObject" Target="embeddings/oleObject4.bin"/><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80A56D-EE9E-460C-8785-CB1D759D1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6</Pages>
  <Words>8345</Words>
  <Characters>45069</Characters>
  <Application>Microsoft Office Word</Application>
  <DocSecurity>0</DocSecurity>
  <Lines>375</Lines>
  <Paragraphs>106</Paragraphs>
  <ScaleCrop>false</ScaleCrop>
  <Company/>
  <LinksUpToDate>false</LinksUpToDate>
  <CharactersWithSpaces>53308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cristiano poleto</dc:creator>
  <dc:description/>
  <cp:lastModifiedBy>Joao Lucas Rezende Santos</cp:lastModifiedBy>
  <cp:revision>10</cp:revision>
  <dcterms:created xsi:type="dcterms:W3CDTF">2026-06-28T02:35:00Z</dcterms:created>
  <dcterms:modified xsi:type="dcterms:W3CDTF">2026-08-03T20:17:00Z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2026-01-27T00:00:00Z</vt:filetime>
  </property>
  <property fmtid="{D5CDD505-2E9C-101B-9397-08002B2CF9AE}" pid="3" name="Creator">
    <vt:lpwstr>Microsoft Word</vt:lpwstr>
  </property>
  <property fmtid="{D5CDD505-2E9C-101B-9397-08002B2CF9AE}" pid="4" name="LastSaved">
    <vt:filetime>2026-01-27T00:00:00Z</vt:filetime>
  </property>
  <property fmtid="{D5CDD505-2E9C-101B-9397-08002B2CF9AE}" pid="5" name="ZOTERO_PREF_1">
    <vt:lpwstr>&lt;data data-version="3" zotero-version="9.0.5"&gt;&lt;session id="W4EftRzR"/&gt;&lt;style id="http://www.zotero.org/styles/associacao-brasileira-de-normas-tecnicas" hasBibliography="1" bibliographyStyleHasBeenSet="1"/&gt;&lt;prefs&gt;&lt;pref name="fieldType" value="Field"/&gt;&lt;/pre</vt:lpwstr>
  </property>
  <property fmtid="{D5CDD505-2E9C-101B-9397-08002B2CF9AE}" pid="6" name="ZOTERO_PREF_2">
    <vt:lpwstr>fs&gt;&lt;/data&gt;</vt:lpwstr>
  </property>
</Properties>
</file>