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2F771" w14:textId="2912A306" w:rsidR="004834A1" w:rsidRDefault="00000000">
      <w:pPr>
        <w:spacing w:after="120"/>
        <w:jc w:val="center"/>
      </w:pPr>
      <w:r>
        <w:rPr>
          <w:b/>
          <w:sz w:val="32"/>
        </w:rPr>
        <w:t>ANÁLISE TEMPORAL DO USO E OCUPAÇÃO D</w:t>
      </w:r>
      <w:r w:rsidR="00D25B88">
        <w:rPr>
          <w:b/>
          <w:sz w:val="32"/>
        </w:rPr>
        <w:t>A</w:t>
      </w:r>
      <w:r>
        <w:rPr>
          <w:b/>
          <w:sz w:val="32"/>
        </w:rPr>
        <w:t xml:space="preserve"> </w:t>
      </w:r>
      <w:r w:rsidR="00D25B88">
        <w:rPr>
          <w:b/>
          <w:sz w:val="32"/>
        </w:rPr>
        <w:t>TERRA</w:t>
      </w:r>
      <w:r>
        <w:rPr>
          <w:b/>
          <w:sz w:val="32"/>
        </w:rPr>
        <w:t xml:space="preserve"> NA BACIA HIDROGRÁFICA DO CÓRREGO PÂNTANO, FRONTEIRA-MG E FRUTAL-MG, ENTRE 1985 E 2023</w:t>
      </w:r>
    </w:p>
    <w:p w14:paraId="426B731B" w14:textId="77777777" w:rsidR="004834A1" w:rsidRDefault="00000000">
      <w:pPr>
        <w:spacing w:after="40"/>
        <w:jc w:val="center"/>
      </w:pPr>
      <w:r>
        <w:rPr>
          <w:b/>
        </w:rPr>
        <w:t>João Paulo Antunes</w:t>
      </w:r>
      <w:r>
        <w:rPr>
          <w:b/>
          <w:sz w:val="16"/>
          <w:vertAlign w:val="superscript"/>
        </w:rPr>
        <w:t>1</w:t>
      </w:r>
      <w:r>
        <w:rPr>
          <w:b/>
        </w:rPr>
        <w:t>, Marcos Vinícius Bohrer Monteiro Siqueira</w:t>
      </w:r>
      <w:r>
        <w:rPr>
          <w:b/>
          <w:sz w:val="16"/>
          <w:vertAlign w:val="superscript"/>
        </w:rPr>
        <w:t>2</w:t>
      </w:r>
    </w:p>
    <w:p w14:paraId="2F2BB078" w14:textId="77777777" w:rsidR="004834A1" w:rsidRDefault="00000000">
      <w:pPr>
        <w:jc w:val="center"/>
      </w:pPr>
      <w:r>
        <w:rPr>
          <w:sz w:val="14"/>
          <w:vertAlign w:val="superscript"/>
        </w:rPr>
        <w:t>1</w:t>
      </w:r>
      <w:r>
        <w:rPr>
          <w:i/>
          <w:sz w:val="20"/>
        </w:rPr>
        <w:t>Programa de Pós-Graduação em Ciências Ambientais, Universidade do Estado de Minas Gerais - Unidade Frutal, e-mail: jotape.antunes@gmail.com</w:t>
      </w:r>
    </w:p>
    <w:p w14:paraId="3A1DC762" w14:textId="77777777" w:rsidR="004834A1" w:rsidRDefault="00000000">
      <w:pPr>
        <w:jc w:val="center"/>
      </w:pPr>
      <w:r>
        <w:rPr>
          <w:sz w:val="14"/>
          <w:vertAlign w:val="superscript"/>
        </w:rPr>
        <w:t>2</w:t>
      </w:r>
      <w:r>
        <w:rPr>
          <w:i/>
          <w:sz w:val="20"/>
        </w:rPr>
        <w:t>Coorientador, Prof. Dr., Universidade do Estado de Minas Gerais - Unidade Frutal, e-mail: marcos.siqueira@uemg.br</w:t>
      </w:r>
    </w:p>
    <w:p w14:paraId="2376C1A3" w14:textId="77777777" w:rsidR="004834A1" w:rsidRDefault="00000000">
      <w:pPr>
        <w:jc w:val="right"/>
      </w:pPr>
      <w:r>
        <w:rPr>
          <w:b/>
        </w:rPr>
        <w:t xml:space="preserve">Grupo Temático: </w:t>
      </w:r>
      <w:r>
        <w:rPr>
          <w:i/>
        </w:rPr>
        <w:t>Geotecnologias e Planejamento Ambiental</w:t>
      </w:r>
    </w:p>
    <w:p w14:paraId="1DEF4530" w14:textId="77777777" w:rsidR="004834A1" w:rsidRDefault="00000000">
      <w:pPr>
        <w:jc w:val="right"/>
      </w:pPr>
      <w:r>
        <w:rPr>
          <w:b/>
        </w:rPr>
        <w:t xml:space="preserve">Eixo: </w:t>
      </w:r>
      <w:r>
        <w:rPr>
          <w:i/>
        </w:rPr>
        <w:t>Sensoriamento Remoto, Geoprocessamento e Gestão Ambiental</w:t>
      </w:r>
    </w:p>
    <w:p w14:paraId="7F3DF409" w14:textId="77777777" w:rsidR="004834A1" w:rsidRDefault="00000000">
      <w:pPr>
        <w:keepNext/>
        <w:spacing w:before="160" w:after="80"/>
        <w:jc w:val="center"/>
      </w:pPr>
      <w:r>
        <w:rPr>
          <w:b/>
          <w:sz w:val="28"/>
        </w:rPr>
        <w:t>Resumo</w:t>
      </w:r>
    </w:p>
    <w:p w14:paraId="06C806EB" w14:textId="25F582A8" w:rsidR="004834A1" w:rsidRDefault="00000000">
      <w:pPr>
        <w:spacing w:after="80"/>
        <w:jc w:val="both"/>
      </w:pPr>
      <w:r>
        <w:t>As mudanças de uso da terra em bacias hidrográficas indicam pressões sobre vegetação, solo, água e sistemas produtivos. O estudo analisou a dinâmica temporal do uso e ocupação d</w:t>
      </w:r>
      <w:r w:rsidR="00D25B88">
        <w:t>a</w:t>
      </w:r>
      <w:r>
        <w:t xml:space="preserve"> </w:t>
      </w:r>
      <w:r w:rsidR="00D25B88">
        <w:t>terra</w:t>
      </w:r>
      <w:r>
        <w:t xml:space="preserve"> na Bacia Hidrográfica do Córrego Pântano, situada entre Fronteira e Frutal, Minas Gerais, nos anos de 1985, 2003 e 2023. A pesquisa adotou abordagem quantitativa e descritiva, com mapas anuais do Projeto MapBiomas, Coleção 10, processados no QGIS 3.40. Os </w:t>
      </w:r>
      <w:r>
        <w:rPr>
          <w:i/>
        </w:rPr>
        <w:t>rasters</w:t>
      </w:r>
      <w:r>
        <w:t xml:space="preserve"> foram recortados pelo limite vetorial da bacia e quantificados por Histograma Zonal, com conversão dos </w:t>
      </w:r>
      <w:r>
        <w:rPr>
          <w:i/>
        </w:rPr>
        <w:t>pixels</w:t>
      </w:r>
      <w:r>
        <w:t xml:space="preserve"> de 30 m para hectares. Os resultados evidenciaram redução de 61,1% da pastagem e perda de 42,4% da formação florestal. As lavouras temporárias passaram de 788,8 ha para 4.724,0 ha, enquanto o mosaico de usos cresceu 39,6%. Conclui-se que a área estudada sofreu reestruturação produtiva intensa, com avanço agrícola sobre a matriz anterior e necessidade de monitoramento ambiental contínuo.</w:t>
      </w:r>
    </w:p>
    <w:p w14:paraId="42BE0C69" w14:textId="77777777" w:rsidR="004834A1" w:rsidRDefault="00000000">
      <w:pPr>
        <w:spacing w:after="120"/>
        <w:jc w:val="both"/>
      </w:pPr>
      <w:r>
        <w:rPr>
          <w:b/>
        </w:rPr>
        <w:t xml:space="preserve">Palavras-chave: </w:t>
      </w:r>
      <w:r>
        <w:t>Cerrado; Dinâmica agrícola; Geotecnologias; Planejamento ambiental; Triângulo Mineiro.</w:t>
      </w:r>
    </w:p>
    <w:p w14:paraId="0FEEE3FA" w14:textId="77777777" w:rsidR="004834A1" w:rsidRDefault="00000000">
      <w:pPr>
        <w:keepNext/>
        <w:spacing w:before="160" w:after="80"/>
      </w:pPr>
      <w:r>
        <w:rPr>
          <w:b/>
          <w:sz w:val="28"/>
        </w:rPr>
        <w:t>Introdução</w:t>
      </w:r>
    </w:p>
    <w:p w14:paraId="5AAC9A67" w14:textId="77777777" w:rsidR="004834A1" w:rsidRDefault="00000000">
      <w:pPr>
        <w:spacing w:after="120"/>
        <w:ind w:firstLine="709"/>
        <w:jc w:val="both"/>
      </w:pPr>
      <w:r>
        <w:t>O uso e a cobertura da terra expressam a forma como a paisagem é apropriada, transformada e reorganizada ao longo do tempo. Em bacias hidrográficas, essa leitura é especialmente relevante porque a conversão de vegetação nativa, pastagens e áreas agrícolas interfere na proteção do solo, na dinâmica hídrica e na conectividade entre remanescentes naturais (IBGE, 2020; Souza Junior et al., 2020).</w:t>
      </w:r>
    </w:p>
    <w:p w14:paraId="2AAC3E2E" w14:textId="77777777" w:rsidR="004834A1" w:rsidRDefault="00000000">
      <w:pPr>
        <w:spacing w:after="120"/>
        <w:ind w:firstLine="709"/>
        <w:jc w:val="both"/>
      </w:pPr>
      <w:r>
        <w:t>No Cerrado, a reorganização da paisagem resulta da intensificação agrícola, da substituição de áreas de pastagem e da pressão sobre remanescentes naturais. Esse processo tem sido descrito em diferentes escalas, tanto pela expansão de lavouras e da soja sobre áreas previamente antropizadas quanto pela necessidade de conciliar produção agropecuária e conservação ambiental (Sano et al., 2019; Colman et al., 2024).</w:t>
      </w:r>
    </w:p>
    <w:p w14:paraId="2CDA3F9B" w14:textId="49B11E7D" w:rsidR="004834A1" w:rsidRDefault="00000000">
      <w:pPr>
        <w:spacing w:after="120"/>
        <w:ind w:firstLine="709"/>
        <w:jc w:val="both"/>
      </w:pPr>
      <w:r>
        <w:t>Nesse contexto, pergunta-se como a matriz de uso e cobertura d</w:t>
      </w:r>
      <w:r w:rsidR="00D25B88">
        <w:t>a</w:t>
      </w:r>
      <w:r>
        <w:t xml:space="preserve"> </w:t>
      </w:r>
      <w:r w:rsidR="00D25B88">
        <w:t>terra</w:t>
      </w:r>
      <w:r>
        <w:t xml:space="preserve"> da Bacia Hidrográfica do Córrego Pântano se modificou entre 1985, 2003 e 2023. A justificativa do estudo está na importância de produzir evidências locais para o planejamento ambiental, pois a bacia reúne drenagem, produção agropecuária e remanescentes vegetais em uma mesma unidade territorial. Assim, o objetivo foi quantificar e interpretar as mudanças temporais do uso e ocupação d</w:t>
      </w:r>
      <w:r w:rsidR="00D25B88">
        <w:t>a</w:t>
      </w:r>
      <w:r>
        <w:t xml:space="preserve"> </w:t>
      </w:r>
      <w:r w:rsidR="00D25B88">
        <w:t>terra</w:t>
      </w:r>
      <w:r>
        <w:t xml:space="preserve"> na área estudada.</w:t>
      </w:r>
    </w:p>
    <w:p w14:paraId="4BC6EF6E" w14:textId="77777777" w:rsidR="004834A1" w:rsidRDefault="00000000">
      <w:pPr>
        <w:keepNext/>
        <w:spacing w:before="160" w:after="80"/>
      </w:pPr>
      <w:r>
        <w:rPr>
          <w:b/>
          <w:sz w:val="28"/>
        </w:rPr>
        <w:t>Metodologia</w:t>
      </w:r>
    </w:p>
    <w:p w14:paraId="29DC2BCC" w14:textId="77777777" w:rsidR="004834A1" w:rsidRDefault="00000000">
      <w:pPr>
        <w:spacing w:after="120"/>
        <w:ind w:firstLine="709"/>
        <w:jc w:val="both"/>
      </w:pPr>
      <w:r>
        <w:t xml:space="preserve">A pesquisa caracteriza-se como quantitativa e descritiva. A área de estudo corresponde à Bacia Hidrográfica do Córrego Pântano, localizada entre os municípios de Fronteira e Frutal, </w:t>
      </w:r>
      <w:r>
        <w:lastRenderedPageBreak/>
        <w:t>no Triângulo Mineiro. A contextualização espacial utilizou limites cartográficos do IBGE e o polígono vetorial da bacia, no sistema SIRGAS 2000 / UTM Zona 22S.</w:t>
      </w:r>
    </w:p>
    <w:p w14:paraId="7E890CF8" w14:textId="77777777" w:rsidR="004834A1" w:rsidRDefault="00000000">
      <w:pPr>
        <w:spacing w:after="120"/>
        <w:ind w:firstLine="709"/>
        <w:jc w:val="both"/>
      </w:pPr>
      <w:r>
        <w:t xml:space="preserve">A análise temporal considerou os mapas anuais de cobertura e uso da terra do Projeto MapBiomas, Coleção 10, referentes a 1985, 2003 e 2023. O processamento ocorreu no QGIS 3.40, com recorte dos </w:t>
      </w:r>
      <w:r>
        <w:rPr>
          <w:i/>
        </w:rPr>
        <w:t>rasters</w:t>
      </w:r>
      <w:r>
        <w:t xml:space="preserve"> pelo limite da bacia, padronização cartográfica e extração das áreas por classe por meio do Histograma Zonal. Como os dados possuem resolução espacial de 30 m, cada </w:t>
      </w:r>
      <w:r>
        <w:rPr>
          <w:i/>
        </w:rPr>
        <w:t>pixel</w:t>
      </w:r>
      <w:r>
        <w:t xml:space="preserve"> foi convertido para 0,09 ha, permitindo organizar os resultados em tabela e comparar a evolução das classes analisadas (QGIS Development Team, 2024; Projeto MapBiomas, 2025).</w:t>
      </w:r>
    </w:p>
    <w:p w14:paraId="6AC37A75" w14:textId="77777777" w:rsidR="004834A1" w:rsidRDefault="00000000">
      <w:pPr>
        <w:keepNext/>
        <w:spacing w:before="160" w:after="80"/>
      </w:pPr>
      <w:r>
        <w:rPr>
          <w:b/>
          <w:sz w:val="28"/>
        </w:rPr>
        <w:t>Resultados e Discussão</w:t>
      </w:r>
    </w:p>
    <w:p w14:paraId="683DB7CA" w14:textId="77777777" w:rsidR="004834A1" w:rsidRDefault="00000000">
      <w:pPr>
        <w:spacing w:after="120"/>
        <w:ind w:firstLine="709"/>
        <w:jc w:val="both"/>
      </w:pPr>
      <w:r>
        <w:t>A localização da bacia evidencia sua inserção em uma porção do oeste mineiro marcada por ocupação agropecuária consolidada. A Figura 1 situa a área de estudo no Brasil, em Minas Gerais e no recorte municipal de Fronteira e Frutal, permitindo reconhecer o contexto espacial em que ocorrem as mudanças analisadas.</w:t>
      </w:r>
    </w:p>
    <w:p w14:paraId="22C09FB2" w14:textId="77777777" w:rsidR="004834A1" w:rsidRDefault="00000000">
      <w:pPr>
        <w:keepNext/>
        <w:spacing w:before="60" w:after="40"/>
        <w:jc w:val="center"/>
      </w:pPr>
      <w:r>
        <w:rPr>
          <w:b/>
          <w:sz w:val="20"/>
        </w:rPr>
        <w:t>Figura 1 - Localização da Bacia Hidrográfica do Córrego Pântano, Fronteira-MG e Frutal-MG.</w:t>
      </w:r>
    </w:p>
    <w:p w14:paraId="52BB24F0" w14:textId="77777777" w:rsidR="004834A1" w:rsidRDefault="00000000">
      <w:pPr>
        <w:jc w:val="center"/>
      </w:pPr>
      <w:r>
        <w:rPr>
          <w:noProof/>
        </w:rPr>
        <w:drawing>
          <wp:inline distT="0" distB="0" distL="0" distR="0" wp14:anchorId="68285E64" wp14:editId="6FBA048E">
            <wp:extent cx="4617720" cy="32648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326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4EAA5" w14:textId="6311625E" w:rsidR="004834A1" w:rsidRDefault="00000000">
      <w:pPr>
        <w:spacing w:before="20" w:after="80"/>
      </w:pPr>
      <w:r>
        <w:rPr>
          <w:sz w:val="20"/>
        </w:rPr>
        <w:t xml:space="preserve">Fonte: IBGE (2025); MapBiomas, Coleção </w:t>
      </w:r>
      <w:r w:rsidR="00783064">
        <w:rPr>
          <w:sz w:val="20"/>
        </w:rPr>
        <w:t>10</w:t>
      </w:r>
      <w:r>
        <w:rPr>
          <w:sz w:val="20"/>
        </w:rPr>
        <w:t>; elaboração de João Paulo Antunes (2026).</w:t>
      </w:r>
    </w:p>
    <w:p w14:paraId="362AA584" w14:textId="1434F90B" w:rsidR="004834A1" w:rsidRDefault="00000000">
      <w:pPr>
        <w:spacing w:after="120"/>
        <w:ind w:firstLine="709"/>
        <w:jc w:val="both"/>
      </w:pPr>
      <w:r>
        <w:t>Essa posição territorial ajuda a compreender a pressão exercida sobre a paisagem, pois a bacia se encontra em região de alta aptidão produtiva. A leitura espacial prepara a comparação dos mapas de uso e ocupação d</w:t>
      </w:r>
      <w:r w:rsidR="00D25B88">
        <w:t>a</w:t>
      </w:r>
      <w:r>
        <w:t xml:space="preserve"> </w:t>
      </w:r>
      <w:r w:rsidR="00D25B88">
        <w:t>terra</w:t>
      </w:r>
      <w:r>
        <w:t xml:space="preserve"> nos três anos analisados e permite relacionar as alterações observadas às formas de ocupação rural e ao aproveitamento produtivo da paisagem.</w:t>
      </w:r>
    </w:p>
    <w:p w14:paraId="1D1C903F" w14:textId="0C9F4645" w:rsidR="004834A1" w:rsidRDefault="00000000">
      <w:pPr>
        <w:spacing w:after="120"/>
        <w:ind w:firstLine="709"/>
        <w:jc w:val="both"/>
      </w:pPr>
      <w:r>
        <w:t>A Figura 2 reúne os mapas anuais de uso e ocupação d</w:t>
      </w:r>
      <w:r w:rsidR="00D25B88">
        <w:t>a</w:t>
      </w:r>
      <w:r>
        <w:t xml:space="preserve"> </w:t>
      </w:r>
      <w:r w:rsidR="00D25B88">
        <w:t>terra</w:t>
      </w:r>
      <w:r>
        <w:t xml:space="preserve"> de 1985, 2003 e 2023. A leitura conjunta evidencia a passagem de uma matriz com predomínio de pastagem para uma configuração com maior participação de lavouras temporárias, mosaico de usos e áreas de soja.</w:t>
      </w:r>
    </w:p>
    <w:p w14:paraId="6BD68BD0" w14:textId="3560A918" w:rsidR="004834A1" w:rsidRDefault="00000000">
      <w:pPr>
        <w:keepNext/>
        <w:spacing w:before="60" w:after="40"/>
        <w:jc w:val="center"/>
      </w:pPr>
      <w:r>
        <w:rPr>
          <w:b/>
          <w:sz w:val="20"/>
        </w:rPr>
        <w:lastRenderedPageBreak/>
        <w:t>Figura 2 - Uso e ocupação d</w:t>
      </w:r>
      <w:r w:rsidR="00D25B88">
        <w:rPr>
          <w:b/>
          <w:sz w:val="20"/>
        </w:rPr>
        <w:t>a</w:t>
      </w:r>
      <w:r>
        <w:rPr>
          <w:b/>
          <w:sz w:val="20"/>
        </w:rPr>
        <w:t xml:space="preserve"> </w:t>
      </w:r>
      <w:r w:rsidR="00D25B88">
        <w:rPr>
          <w:b/>
          <w:sz w:val="20"/>
        </w:rPr>
        <w:t>terra</w:t>
      </w:r>
      <w:r>
        <w:rPr>
          <w:b/>
          <w:sz w:val="20"/>
        </w:rPr>
        <w:t xml:space="preserve"> na Bacia Hidrográfica do Córrego Pântano em 1985, 2003 e 2023.</w:t>
      </w:r>
    </w:p>
    <w:p w14:paraId="20BE9CFB" w14:textId="77777777" w:rsidR="004834A1" w:rsidRDefault="00000000">
      <w:pPr>
        <w:jc w:val="center"/>
      </w:pPr>
      <w:r>
        <w:rPr>
          <w:noProof/>
        </w:rPr>
        <w:drawing>
          <wp:inline distT="0" distB="0" distL="0" distR="0" wp14:anchorId="4E4DC0CF" wp14:editId="3B82BAB3">
            <wp:extent cx="4617720" cy="351095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17886" cy="351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90ABF" w14:textId="77777777" w:rsidR="004834A1" w:rsidRDefault="00000000">
      <w:pPr>
        <w:spacing w:before="20" w:after="80"/>
      </w:pPr>
      <w:r>
        <w:rPr>
          <w:sz w:val="20"/>
        </w:rPr>
        <w:t>Fonte: MapBiomas, Coleção 10 (1985, 2003 e 2023); elaboração de João Paulo Antunes (2026).</w:t>
      </w:r>
    </w:p>
    <w:p w14:paraId="493E18C1" w14:textId="77777777" w:rsidR="004834A1" w:rsidRDefault="00000000">
      <w:pPr>
        <w:spacing w:after="120"/>
        <w:ind w:firstLine="709"/>
        <w:jc w:val="both"/>
      </w:pPr>
      <w:r>
        <w:t>A comparação dos três mapas indica mudança gradual na matriz produtiva. A quantificação das classes dimensiona essa transformação e permite identificar os usos que mais cresceram ou diminuíram entre 1985 e 2023. O que se observa é uma reorganização ampla da paisagem, marcada pela redução das pastagens, pelo avanço das lavouras temporárias e pela permanência expressiva do mosaico de usos.</w:t>
      </w:r>
    </w:p>
    <w:p w14:paraId="6E487602" w14:textId="658070B1" w:rsidR="004834A1" w:rsidRDefault="00000000">
      <w:pPr>
        <w:spacing w:after="120"/>
        <w:ind w:firstLine="709"/>
        <w:jc w:val="both"/>
      </w:pPr>
      <w:r>
        <w:t>A Tabela 1 sistematiza a distribuição das classes de uso e cobertura d</w:t>
      </w:r>
      <w:r w:rsidR="00D25B88">
        <w:t>a</w:t>
      </w:r>
      <w:r>
        <w:t xml:space="preserve"> </w:t>
      </w:r>
      <w:r w:rsidR="00D25B88">
        <w:t>terra</w:t>
      </w:r>
      <w:r>
        <w:t xml:space="preserve"> em hectares. Os valores permitem comparar permanências, perdas e expansões ao longo dos 38 anos avaliados, especialmente nas classes que concentram maior peso territorial.</w:t>
      </w:r>
    </w:p>
    <w:p w14:paraId="6CE41905" w14:textId="2635C633" w:rsidR="004834A1" w:rsidRDefault="00000000">
      <w:pPr>
        <w:keepNext/>
        <w:spacing w:before="60" w:after="40"/>
        <w:jc w:val="center"/>
      </w:pPr>
      <w:r>
        <w:rPr>
          <w:b/>
          <w:sz w:val="20"/>
        </w:rPr>
        <w:t>Tabela 1 - Distribuição das classes de uso e cobertura d</w:t>
      </w:r>
      <w:r w:rsidR="00D25B88">
        <w:rPr>
          <w:b/>
          <w:sz w:val="20"/>
        </w:rPr>
        <w:t>a</w:t>
      </w:r>
      <w:r>
        <w:rPr>
          <w:b/>
          <w:sz w:val="20"/>
        </w:rPr>
        <w:t xml:space="preserve"> </w:t>
      </w:r>
      <w:r w:rsidR="00D25B88">
        <w:rPr>
          <w:b/>
          <w:sz w:val="20"/>
        </w:rPr>
        <w:t>terra</w:t>
      </w:r>
      <w:r>
        <w:rPr>
          <w:b/>
          <w:sz w:val="20"/>
        </w:rPr>
        <w:t xml:space="preserve"> na bacia, em hectares.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1134"/>
        <w:gridCol w:w="1134"/>
        <w:gridCol w:w="1134"/>
        <w:gridCol w:w="1190"/>
        <w:gridCol w:w="1190"/>
      </w:tblGrid>
      <w:tr w:rsidR="004834A1" w:rsidRPr="00193534" w14:paraId="3A1BF3A6" w14:textId="77777777">
        <w:trPr>
          <w:trHeight w:val="220"/>
          <w:jc w:val="center"/>
        </w:trPr>
        <w:tc>
          <w:tcPr>
            <w:tcW w:w="2381" w:type="dxa"/>
            <w:shd w:val="clear" w:color="auto" w:fill="D9D9D9"/>
            <w:vAlign w:val="center"/>
          </w:tcPr>
          <w:p w14:paraId="05A0BD0C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b/>
                <w:sz w:val="18"/>
                <w:szCs w:val="32"/>
              </w:rPr>
              <w:t>Classe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2811BF4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b/>
                <w:sz w:val="18"/>
                <w:szCs w:val="32"/>
              </w:rPr>
              <w:t>1985 (ha)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E1A01A9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b/>
                <w:sz w:val="18"/>
                <w:szCs w:val="32"/>
              </w:rPr>
              <w:t>2003 (ha)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6BE75B5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b/>
                <w:sz w:val="18"/>
                <w:szCs w:val="32"/>
              </w:rPr>
              <w:t>2023 (ha)</w:t>
            </w:r>
          </w:p>
        </w:tc>
        <w:tc>
          <w:tcPr>
            <w:tcW w:w="1190" w:type="dxa"/>
            <w:shd w:val="clear" w:color="auto" w:fill="D9D9D9"/>
            <w:vAlign w:val="center"/>
          </w:tcPr>
          <w:p w14:paraId="43B66BE8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b/>
                <w:sz w:val="18"/>
                <w:szCs w:val="32"/>
              </w:rPr>
              <w:t>Variação (ha)</w:t>
            </w:r>
          </w:p>
        </w:tc>
        <w:tc>
          <w:tcPr>
            <w:tcW w:w="1190" w:type="dxa"/>
            <w:shd w:val="clear" w:color="auto" w:fill="D9D9D9"/>
            <w:vAlign w:val="center"/>
          </w:tcPr>
          <w:p w14:paraId="4856843D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b/>
                <w:sz w:val="18"/>
                <w:szCs w:val="32"/>
              </w:rPr>
              <w:t>Variação (%)</w:t>
            </w:r>
          </w:p>
        </w:tc>
      </w:tr>
      <w:tr w:rsidR="004834A1" w:rsidRPr="00193534" w14:paraId="3141E3B7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5D5EF8D3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Formação Florestal</w:t>
            </w:r>
          </w:p>
        </w:tc>
        <w:tc>
          <w:tcPr>
            <w:tcW w:w="1134" w:type="dxa"/>
            <w:vAlign w:val="center"/>
          </w:tcPr>
          <w:p w14:paraId="1F7CA879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1.588,5</w:t>
            </w:r>
          </w:p>
        </w:tc>
        <w:tc>
          <w:tcPr>
            <w:tcW w:w="1134" w:type="dxa"/>
            <w:vAlign w:val="center"/>
          </w:tcPr>
          <w:p w14:paraId="0C57DA11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952,5</w:t>
            </w:r>
          </w:p>
        </w:tc>
        <w:tc>
          <w:tcPr>
            <w:tcW w:w="1134" w:type="dxa"/>
            <w:vAlign w:val="center"/>
          </w:tcPr>
          <w:p w14:paraId="215562D1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915,1</w:t>
            </w:r>
          </w:p>
        </w:tc>
        <w:tc>
          <w:tcPr>
            <w:tcW w:w="1190" w:type="dxa"/>
            <w:vAlign w:val="center"/>
          </w:tcPr>
          <w:p w14:paraId="63BCBEF2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-673,4</w:t>
            </w:r>
          </w:p>
        </w:tc>
        <w:tc>
          <w:tcPr>
            <w:tcW w:w="1190" w:type="dxa"/>
            <w:vAlign w:val="center"/>
          </w:tcPr>
          <w:p w14:paraId="5AF62DA4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-42,4</w:t>
            </w:r>
          </w:p>
        </w:tc>
      </w:tr>
      <w:tr w:rsidR="004834A1" w:rsidRPr="00193534" w14:paraId="2E0475FD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47C9B5FA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Formação Savânica</w:t>
            </w:r>
          </w:p>
        </w:tc>
        <w:tc>
          <w:tcPr>
            <w:tcW w:w="1134" w:type="dxa"/>
            <w:vAlign w:val="center"/>
          </w:tcPr>
          <w:p w14:paraId="20571123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10,4</w:t>
            </w:r>
          </w:p>
        </w:tc>
        <w:tc>
          <w:tcPr>
            <w:tcW w:w="1134" w:type="dxa"/>
            <w:vAlign w:val="center"/>
          </w:tcPr>
          <w:p w14:paraId="473932F9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3,6</w:t>
            </w:r>
          </w:p>
        </w:tc>
        <w:tc>
          <w:tcPr>
            <w:tcW w:w="1134" w:type="dxa"/>
            <w:vAlign w:val="center"/>
          </w:tcPr>
          <w:p w14:paraId="78654A54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17,6</w:t>
            </w:r>
          </w:p>
        </w:tc>
        <w:tc>
          <w:tcPr>
            <w:tcW w:w="1190" w:type="dxa"/>
            <w:vAlign w:val="center"/>
          </w:tcPr>
          <w:p w14:paraId="60E16A7B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7,2</w:t>
            </w:r>
          </w:p>
        </w:tc>
        <w:tc>
          <w:tcPr>
            <w:tcW w:w="1190" w:type="dxa"/>
            <w:vAlign w:val="center"/>
          </w:tcPr>
          <w:p w14:paraId="42BED52A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69,0</w:t>
            </w:r>
          </w:p>
        </w:tc>
      </w:tr>
      <w:tr w:rsidR="004834A1" w:rsidRPr="00193534" w14:paraId="164858BB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7C2F3A8E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Campo Alagado/Pantanoso</w:t>
            </w:r>
          </w:p>
        </w:tc>
        <w:tc>
          <w:tcPr>
            <w:tcW w:w="1134" w:type="dxa"/>
            <w:vAlign w:val="center"/>
          </w:tcPr>
          <w:p w14:paraId="3AE65D03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1.177,6</w:t>
            </w:r>
          </w:p>
        </w:tc>
        <w:tc>
          <w:tcPr>
            <w:tcW w:w="1134" w:type="dxa"/>
            <w:vAlign w:val="center"/>
          </w:tcPr>
          <w:p w14:paraId="328B06A5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1.113,8</w:t>
            </w:r>
          </w:p>
        </w:tc>
        <w:tc>
          <w:tcPr>
            <w:tcW w:w="1134" w:type="dxa"/>
            <w:vAlign w:val="center"/>
          </w:tcPr>
          <w:p w14:paraId="1A8AB785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1.265,1</w:t>
            </w:r>
          </w:p>
        </w:tc>
        <w:tc>
          <w:tcPr>
            <w:tcW w:w="1190" w:type="dxa"/>
            <w:vAlign w:val="center"/>
          </w:tcPr>
          <w:p w14:paraId="56AF190B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87,6</w:t>
            </w:r>
          </w:p>
        </w:tc>
        <w:tc>
          <w:tcPr>
            <w:tcW w:w="1190" w:type="dxa"/>
            <w:vAlign w:val="center"/>
          </w:tcPr>
          <w:p w14:paraId="1660AFE3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7,4</w:t>
            </w:r>
          </w:p>
        </w:tc>
      </w:tr>
      <w:tr w:rsidR="004834A1" w:rsidRPr="00193534" w14:paraId="0863D366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7080B96D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Formação Campestre</w:t>
            </w:r>
          </w:p>
        </w:tc>
        <w:tc>
          <w:tcPr>
            <w:tcW w:w="1134" w:type="dxa"/>
            <w:vAlign w:val="center"/>
          </w:tcPr>
          <w:p w14:paraId="15566CFB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3,7</w:t>
            </w:r>
          </w:p>
        </w:tc>
        <w:tc>
          <w:tcPr>
            <w:tcW w:w="1134" w:type="dxa"/>
            <w:vAlign w:val="center"/>
          </w:tcPr>
          <w:p w14:paraId="2F9F9FB1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1,0</w:t>
            </w:r>
          </w:p>
        </w:tc>
        <w:tc>
          <w:tcPr>
            <w:tcW w:w="1134" w:type="dxa"/>
            <w:vAlign w:val="center"/>
          </w:tcPr>
          <w:p w14:paraId="19BE2038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50,0</w:t>
            </w:r>
          </w:p>
        </w:tc>
        <w:tc>
          <w:tcPr>
            <w:tcW w:w="1190" w:type="dxa"/>
            <w:vAlign w:val="center"/>
          </w:tcPr>
          <w:p w14:paraId="2DE6D2CC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46,3</w:t>
            </w:r>
          </w:p>
        </w:tc>
        <w:tc>
          <w:tcPr>
            <w:tcW w:w="1190" w:type="dxa"/>
            <w:vAlign w:val="center"/>
          </w:tcPr>
          <w:p w14:paraId="0B319668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1.253,7</w:t>
            </w:r>
          </w:p>
        </w:tc>
      </w:tr>
      <w:tr w:rsidR="004834A1" w:rsidRPr="00193534" w14:paraId="0E2928BC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78B1ABB2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Pastagem</w:t>
            </w:r>
          </w:p>
        </w:tc>
        <w:tc>
          <w:tcPr>
            <w:tcW w:w="1134" w:type="dxa"/>
            <w:vAlign w:val="center"/>
          </w:tcPr>
          <w:p w14:paraId="5314BBFB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6.940,0</w:t>
            </w:r>
          </w:p>
        </w:tc>
        <w:tc>
          <w:tcPr>
            <w:tcW w:w="1134" w:type="dxa"/>
            <w:vAlign w:val="center"/>
          </w:tcPr>
          <w:p w14:paraId="5D7C70D0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5.139,3</w:t>
            </w:r>
          </w:p>
        </w:tc>
        <w:tc>
          <w:tcPr>
            <w:tcW w:w="1134" w:type="dxa"/>
            <w:vAlign w:val="center"/>
          </w:tcPr>
          <w:p w14:paraId="0A00B33B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2.702,2</w:t>
            </w:r>
          </w:p>
        </w:tc>
        <w:tc>
          <w:tcPr>
            <w:tcW w:w="1190" w:type="dxa"/>
            <w:vAlign w:val="center"/>
          </w:tcPr>
          <w:p w14:paraId="57E8A5D7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-4.237,8</w:t>
            </w:r>
          </w:p>
        </w:tc>
        <w:tc>
          <w:tcPr>
            <w:tcW w:w="1190" w:type="dxa"/>
            <w:vAlign w:val="center"/>
          </w:tcPr>
          <w:p w14:paraId="132F06EB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-61,1</w:t>
            </w:r>
          </w:p>
        </w:tc>
      </w:tr>
      <w:tr w:rsidR="004834A1" w:rsidRPr="00193534" w14:paraId="087561E9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5C0C7316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Lavoura Temporária</w:t>
            </w:r>
          </w:p>
        </w:tc>
        <w:tc>
          <w:tcPr>
            <w:tcW w:w="1134" w:type="dxa"/>
            <w:vAlign w:val="center"/>
          </w:tcPr>
          <w:p w14:paraId="64A7F512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788,8</w:t>
            </w:r>
          </w:p>
        </w:tc>
        <w:tc>
          <w:tcPr>
            <w:tcW w:w="1134" w:type="dxa"/>
            <w:vAlign w:val="center"/>
          </w:tcPr>
          <w:p w14:paraId="1A71AAD4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2.926,3</w:t>
            </w:r>
          </w:p>
        </w:tc>
        <w:tc>
          <w:tcPr>
            <w:tcW w:w="1134" w:type="dxa"/>
            <w:vAlign w:val="center"/>
          </w:tcPr>
          <w:p w14:paraId="15B34117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4.724,0</w:t>
            </w:r>
          </w:p>
        </w:tc>
        <w:tc>
          <w:tcPr>
            <w:tcW w:w="1190" w:type="dxa"/>
            <w:vAlign w:val="center"/>
          </w:tcPr>
          <w:p w14:paraId="18D4BA11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3.935,2</w:t>
            </w:r>
          </w:p>
        </w:tc>
        <w:tc>
          <w:tcPr>
            <w:tcW w:w="1190" w:type="dxa"/>
            <w:vAlign w:val="center"/>
          </w:tcPr>
          <w:p w14:paraId="33F2E62F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498,9</w:t>
            </w:r>
          </w:p>
        </w:tc>
      </w:tr>
      <w:tr w:rsidR="004834A1" w:rsidRPr="00193534" w14:paraId="2A227B0F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1A39CA0A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Mosaico de Usos</w:t>
            </w:r>
          </w:p>
        </w:tc>
        <w:tc>
          <w:tcPr>
            <w:tcW w:w="1134" w:type="dxa"/>
            <w:vAlign w:val="center"/>
          </w:tcPr>
          <w:p w14:paraId="3608A36C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2.985,4</w:t>
            </w:r>
          </w:p>
        </w:tc>
        <w:tc>
          <w:tcPr>
            <w:tcW w:w="1134" w:type="dxa"/>
            <w:vAlign w:val="center"/>
          </w:tcPr>
          <w:p w14:paraId="04722C25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4.099,9</w:t>
            </w:r>
          </w:p>
        </w:tc>
        <w:tc>
          <w:tcPr>
            <w:tcW w:w="1134" w:type="dxa"/>
            <w:vAlign w:val="center"/>
          </w:tcPr>
          <w:p w14:paraId="2B144CFA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4.167,4</w:t>
            </w:r>
          </w:p>
        </w:tc>
        <w:tc>
          <w:tcPr>
            <w:tcW w:w="1190" w:type="dxa"/>
            <w:vAlign w:val="center"/>
          </w:tcPr>
          <w:p w14:paraId="44D9DBE0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1.182,1</w:t>
            </w:r>
          </w:p>
        </w:tc>
        <w:tc>
          <w:tcPr>
            <w:tcW w:w="1190" w:type="dxa"/>
            <w:vAlign w:val="center"/>
          </w:tcPr>
          <w:p w14:paraId="74D4FE08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39,6</w:t>
            </w:r>
          </w:p>
        </w:tc>
      </w:tr>
      <w:tr w:rsidR="004834A1" w:rsidRPr="00193534" w14:paraId="0862CB1B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07D7B58F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Área Urbanizada</w:t>
            </w:r>
          </w:p>
        </w:tc>
        <w:tc>
          <w:tcPr>
            <w:tcW w:w="1134" w:type="dxa"/>
            <w:vAlign w:val="center"/>
          </w:tcPr>
          <w:p w14:paraId="795CF0E2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0,4</w:t>
            </w:r>
          </w:p>
        </w:tc>
        <w:tc>
          <w:tcPr>
            <w:tcW w:w="1134" w:type="dxa"/>
            <w:vAlign w:val="center"/>
          </w:tcPr>
          <w:p w14:paraId="7D92084E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139,3</w:t>
            </w:r>
          </w:p>
        </w:tc>
        <w:tc>
          <w:tcPr>
            <w:tcW w:w="1134" w:type="dxa"/>
            <w:vAlign w:val="center"/>
          </w:tcPr>
          <w:p w14:paraId="6655A26D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264,4</w:t>
            </w:r>
          </w:p>
        </w:tc>
        <w:tc>
          <w:tcPr>
            <w:tcW w:w="1190" w:type="dxa"/>
            <w:vAlign w:val="center"/>
          </w:tcPr>
          <w:p w14:paraId="7E4526CE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264,1</w:t>
            </w:r>
          </w:p>
        </w:tc>
        <w:tc>
          <w:tcPr>
            <w:tcW w:w="1190" w:type="dxa"/>
            <w:vAlign w:val="center"/>
          </w:tcPr>
          <w:p w14:paraId="3DEEACAA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73.350,0</w:t>
            </w:r>
          </w:p>
        </w:tc>
      </w:tr>
      <w:tr w:rsidR="004834A1" w:rsidRPr="00193534" w14:paraId="3DEEE492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51167A03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Outras Áreas Não Vegetadas</w:t>
            </w:r>
          </w:p>
        </w:tc>
        <w:tc>
          <w:tcPr>
            <w:tcW w:w="1134" w:type="dxa"/>
            <w:vAlign w:val="center"/>
          </w:tcPr>
          <w:p w14:paraId="6653AF90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1.155,9</w:t>
            </w:r>
          </w:p>
        </w:tc>
        <w:tc>
          <w:tcPr>
            <w:tcW w:w="1134" w:type="dxa"/>
            <w:vAlign w:val="center"/>
          </w:tcPr>
          <w:p w14:paraId="3383056C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7,7</w:t>
            </w:r>
          </w:p>
        </w:tc>
        <w:tc>
          <w:tcPr>
            <w:tcW w:w="1134" w:type="dxa"/>
            <w:vAlign w:val="center"/>
          </w:tcPr>
          <w:p w14:paraId="4473DF78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40,0</w:t>
            </w:r>
          </w:p>
        </w:tc>
        <w:tc>
          <w:tcPr>
            <w:tcW w:w="1190" w:type="dxa"/>
            <w:vAlign w:val="center"/>
          </w:tcPr>
          <w:p w14:paraId="2C50D344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-1.115,8</w:t>
            </w:r>
          </w:p>
        </w:tc>
        <w:tc>
          <w:tcPr>
            <w:tcW w:w="1190" w:type="dxa"/>
            <w:vAlign w:val="center"/>
          </w:tcPr>
          <w:p w14:paraId="33C594EC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-96,5</w:t>
            </w:r>
          </w:p>
        </w:tc>
      </w:tr>
      <w:tr w:rsidR="004834A1" w:rsidRPr="00193534" w14:paraId="7EE0CE11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10C38FC8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Rio/Lago</w:t>
            </w:r>
          </w:p>
        </w:tc>
        <w:tc>
          <w:tcPr>
            <w:tcW w:w="1134" w:type="dxa"/>
            <w:vAlign w:val="center"/>
          </w:tcPr>
          <w:p w14:paraId="396F9DDC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206,3</w:t>
            </w:r>
          </w:p>
        </w:tc>
        <w:tc>
          <w:tcPr>
            <w:tcW w:w="1134" w:type="dxa"/>
            <w:vAlign w:val="center"/>
          </w:tcPr>
          <w:p w14:paraId="0A07CF3A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139,9</w:t>
            </w:r>
          </w:p>
        </w:tc>
        <w:tc>
          <w:tcPr>
            <w:tcW w:w="1134" w:type="dxa"/>
            <w:vAlign w:val="center"/>
          </w:tcPr>
          <w:p w14:paraId="68A5906D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169,4</w:t>
            </w:r>
          </w:p>
        </w:tc>
        <w:tc>
          <w:tcPr>
            <w:tcW w:w="1190" w:type="dxa"/>
            <w:vAlign w:val="center"/>
          </w:tcPr>
          <w:p w14:paraId="32A293D1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-36,9</w:t>
            </w:r>
          </w:p>
        </w:tc>
        <w:tc>
          <w:tcPr>
            <w:tcW w:w="1190" w:type="dxa"/>
            <w:vAlign w:val="center"/>
          </w:tcPr>
          <w:p w14:paraId="220D9A2F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-17,9</w:t>
            </w:r>
          </w:p>
        </w:tc>
      </w:tr>
      <w:tr w:rsidR="004834A1" w:rsidRPr="00193534" w14:paraId="7A7A4FAC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114E6FF1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Outras Lavouras Perenes</w:t>
            </w:r>
          </w:p>
        </w:tc>
        <w:tc>
          <w:tcPr>
            <w:tcW w:w="1134" w:type="dxa"/>
            <w:vAlign w:val="center"/>
          </w:tcPr>
          <w:p w14:paraId="09293D81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699,1</w:t>
            </w:r>
          </w:p>
        </w:tc>
        <w:tc>
          <w:tcPr>
            <w:tcW w:w="1134" w:type="dxa"/>
            <w:vAlign w:val="center"/>
          </w:tcPr>
          <w:p w14:paraId="0E29463F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808,6</w:t>
            </w:r>
          </w:p>
        </w:tc>
        <w:tc>
          <w:tcPr>
            <w:tcW w:w="1134" w:type="dxa"/>
            <w:vAlign w:val="center"/>
          </w:tcPr>
          <w:p w14:paraId="6078A432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610,1</w:t>
            </w:r>
          </w:p>
        </w:tc>
        <w:tc>
          <w:tcPr>
            <w:tcW w:w="1190" w:type="dxa"/>
            <w:vAlign w:val="center"/>
          </w:tcPr>
          <w:p w14:paraId="0F3FECAE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-89,0</w:t>
            </w:r>
          </w:p>
        </w:tc>
        <w:tc>
          <w:tcPr>
            <w:tcW w:w="1190" w:type="dxa"/>
            <w:vAlign w:val="center"/>
          </w:tcPr>
          <w:p w14:paraId="226792E0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-12,7</w:t>
            </w:r>
          </w:p>
        </w:tc>
      </w:tr>
      <w:tr w:rsidR="004834A1" w:rsidRPr="00193534" w14:paraId="7D609C59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414F7172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Silvicultura</w:t>
            </w:r>
          </w:p>
        </w:tc>
        <w:tc>
          <w:tcPr>
            <w:tcW w:w="1134" w:type="dxa"/>
            <w:vAlign w:val="center"/>
          </w:tcPr>
          <w:p w14:paraId="1FBFF4EA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36,5</w:t>
            </w:r>
          </w:p>
        </w:tc>
        <w:tc>
          <w:tcPr>
            <w:tcW w:w="1134" w:type="dxa"/>
            <w:vAlign w:val="center"/>
          </w:tcPr>
          <w:p w14:paraId="222367F6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33,1</w:t>
            </w:r>
          </w:p>
        </w:tc>
        <w:tc>
          <w:tcPr>
            <w:tcW w:w="1134" w:type="dxa"/>
            <w:vAlign w:val="center"/>
          </w:tcPr>
          <w:p w14:paraId="43580FA0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30,8</w:t>
            </w:r>
          </w:p>
        </w:tc>
        <w:tc>
          <w:tcPr>
            <w:tcW w:w="1190" w:type="dxa"/>
            <w:vAlign w:val="center"/>
          </w:tcPr>
          <w:p w14:paraId="245C3D00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-5,7</w:t>
            </w:r>
          </w:p>
        </w:tc>
        <w:tc>
          <w:tcPr>
            <w:tcW w:w="1190" w:type="dxa"/>
            <w:vAlign w:val="center"/>
          </w:tcPr>
          <w:p w14:paraId="019CF49B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-15,6</w:t>
            </w:r>
          </w:p>
        </w:tc>
      </w:tr>
      <w:tr w:rsidR="004834A1" w:rsidRPr="00193534" w14:paraId="58C0B012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7E5AEB74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Soja</w:t>
            </w:r>
          </w:p>
        </w:tc>
        <w:tc>
          <w:tcPr>
            <w:tcW w:w="1134" w:type="dxa"/>
            <w:vAlign w:val="center"/>
          </w:tcPr>
          <w:p w14:paraId="0107C6E4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0,0</w:t>
            </w:r>
          </w:p>
        </w:tc>
        <w:tc>
          <w:tcPr>
            <w:tcW w:w="1134" w:type="dxa"/>
            <w:vAlign w:val="center"/>
          </w:tcPr>
          <w:p w14:paraId="2265D526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226,6</w:t>
            </w:r>
          </w:p>
        </w:tc>
        <w:tc>
          <w:tcPr>
            <w:tcW w:w="1134" w:type="dxa"/>
            <w:vAlign w:val="center"/>
          </w:tcPr>
          <w:p w14:paraId="37AECEC0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616,4</w:t>
            </w:r>
          </w:p>
        </w:tc>
        <w:tc>
          <w:tcPr>
            <w:tcW w:w="1190" w:type="dxa"/>
            <w:vAlign w:val="center"/>
          </w:tcPr>
          <w:p w14:paraId="483E66B7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616,4</w:t>
            </w:r>
          </w:p>
        </w:tc>
        <w:tc>
          <w:tcPr>
            <w:tcW w:w="1190" w:type="dxa"/>
            <w:vAlign w:val="center"/>
          </w:tcPr>
          <w:p w14:paraId="1CF75D3D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</w:t>
            </w:r>
          </w:p>
        </w:tc>
      </w:tr>
      <w:tr w:rsidR="004834A1" w:rsidRPr="00193534" w14:paraId="5522EE93" w14:textId="77777777">
        <w:trPr>
          <w:trHeight w:val="220"/>
          <w:jc w:val="center"/>
        </w:trPr>
        <w:tc>
          <w:tcPr>
            <w:tcW w:w="2381" w:type="dxa"/>
            <w:vAlign w:val="center"/>
          </w:tcPr>
          <w:p w14:paraId="732F843E" w14:textId="77777777" w:rsidR="004834A1" w:rsidRPr="00193534" w:rsidRDefault="00000000">
            <w:pPr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Café</w:t>
            </w:r>
          </w:p>
        </w:tc>
        <w:tc>
          <w:tcPr>
            <w:tcW w:w="1134" w:type="dxa"/>
            <w:vAlign w:val="center"/>
          </w:tcPr>
          <w:p w14:paraId="00F13956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0,0</w:t>
            </w:r>
          </w:p>
        </w:tc>
        <w:tc>
          <w:tcPr>
            <w:tcW w:w="1134" w:type="dxa"/>
            <w:vAlign w:val="center"/>
          </w:tcPr>
          <w:p w14:paraId="413140A1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0,0</w:t>
            </w:r>
          </w:p>
        </w:tc>
        <w:tc>
          <w:tcPr>
            <w:tcW w:w="1134" w:type="dxa"/>
            <w:vAlign w:val="center"/>
          </w:tcPr>
          <w:p w14:paraId="198936A9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17,9</w:t>
            </w:r>
          </w:p>
        </w:tc>
        <w:tc>
          <w:tcPr>
            <w:tcW w:w="1190" w:type="dxa"/>
            <w:vAlign w:val="center"/>
          </w:tcPr>
          <w:p w14:paraId="4002ABFD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17,9</w:t>
            </w:r>
          </w:p>
        </w:tc>
        <w:tc>
          <w:tcPr>
            <w:tcW w:w="1190" w:type="dxa"/>
            <w:vAlign w:val="center"/>
          </w:tcPr>
          <w:p w14:paraId="418CE466" w14:textId="77777777" w:rsidR="004834A1" w:rsidRPr="00193534" w:rsidRDefault="00000000">
            <w:pPr>
              <w:jc w:val="center"/>
              <w:rPr>
                <w:sz w:val="18"/>
                <w:szCs w:val="32"/>
              </w:rPr>
            </w:pPr>
            <w:r w:rsidRPr="00193534">
              <w:rPr>
                <w:sz w:val="18"/>
                <w:szCs w:val="32"/>
              </w:rPr>
              <w:t>-</w:t>
            </w:r>
          </w:p>
        </w:tc>
      </w:tr>
    </w:tbl>
    <w:p w14:paraId="79B45E9F" w14:textId="77777777" w:rsidR="004834A1" w:rsidRDefault="00000000">
      <w:pPr>
        <w:spacing w:before="20" w:after="80"/>
      </w:pPr>
      <w:r>
        <w:rPr>
          <w:sz w:val="20"/>
        </w:rPr>
        <w:t>Fonte: Dados extraídos pelo autor com base no Projeto MapBiomas, Coleção 10 (1985, 2003 e 2023).</w:t>
      </w:r>
    </w:p>
    <w:p w14:paraId="179F0581" w14:textId="77777777" w:rsidR="004834A1" w:rsidRDefault="00000000">
      <w:pPr>
        <w:spacing w:after="120"/>
        <w:ind w:firstLine="709"/>
        <w:jc w:val="both"/>
      </w:pPr>
      <w:r>
        <w:t xml:space="preserve">Os dados confirmam a perda de centralidade da pastagem, que passou de 6.940,0 ha para 2.702,2 ha. Em sentido inverso, a lavoura temporária cresceu de 788,8 ha para 4.724,0 ha, enquanto o mosaico de usos chegou a 4.167,4 ha em 2023. A soja, ausente em 1985, tornou-se </w:t>
      </w:r>
      <w:r>
        <w:lastRenderedPageBreak/>
        <w:t>visível na composição agrícola de 2023, indicando especialização produtiva em parte da bacia.</w:t>
      </w:r>
    </w:p>
    <w:p w14:paraId="4AA2F690" w14:textId="77777777" w:rsidR="004834A1" w:rsidRDefault="00000000">
      <w:pPr>
        <w:spacing w:after="120"/>
        <w:ind w:firstLine="709"/>
        <w:jc w:val="both"/>
      </w:pPr>
      <w:r>
        <w:t>Essa trajetória dialoga com análises recentes sobre o Brasil e o Cerrado, nas quais a conversão de pastagens em agricultura e a expansão de cultivos anuais aparecem como componentes centrais da reorganização territorial. Caballero et al. (2023) destacam que a substituição de pastagens por agricultura e soja é uma das transições relevantes nas últimas décadas, enquanto Colman et al. (2024) reforçam que o Cerrado permanece submetido a forte pressão antrópica, exigindo instrumentos de planejamento, conservação e monitoramento em escala local.</w:t>
      </w:r>
    </w:p>
    <w:p w14:paraId="68D9BDD7" w14:textId="77777777" w:rsidR="004834A1" w:rsidRDefault="00000000">
      <w:pPr>
        <w:keepNext/>
        <w:spacing w:before="160" w:after="80"/>
      </w:pPr>
      <w:r>
        <w:rPr>
          <w:b/>
          <w:sz w:val="28"/>
        </w:rPr>
        <w:t>Conclusão</w:t>
      </w:r>
    </w:p>
    <w:p w14:paraId="0454BE8C" w14:textId="77777777" w:rsidR="004834A1" w:rsidRDefault="00000000">
      <w:pPr>
        <w:spacing w:after="120"/>
        <w:ind w:firstLine="709"/>
        <w:jc w:val="both"/>
      </w:pPr>
      <w:r>
        <w:t>Conclui-se que a Bacia Hidrográfica do Córrego Pântano passou por reestruturação produtiva expressiva entre 1985 e 2023, marcada pela redução das pastagens e da formação florestal, pelo avanço das lavouras temporárias, pela presença crescente da soja e pela manutenção do mosaico de usos. A análise responde ao objetivo proposto ao demonstrar que as transformações não foram pontuais, mas indicam mudança consistente na matriz de ocupação da bacia, reforçando a necessidade de monitoramento ambiental contínuo, conservação de remanescentes naturais e planejamento territorial voltado à proteção do solo e dos recursos hídricos.</w:t>
      </w:r>
    </w:p>
    <w:p w14:paraId="421EA161" w14:textId="77777777" w:rsidR="004834A1" w:rsidRDefault="00000000">
      <w:pPr>
        <w:keepNext/>
        <w:spacing w:before="160" w:after="80"/>
      </w:pPr>
      <w:r>
        <w:rPr>
          <w:b/>
          <w:sz w:val="28"/>
        </w:rPr>
        <w:t>Referências</w:t>
      </w:r>
    </w:p>
    <w:p w14:paraId="1C2F960F" w14:textId="77777777" w:rsidR="00EA4BBD" w:rsidRPr="00EA4BBD" w:rsidRDefault="00EA4BBD" w:rsidP="00EA4BBD">
      <w:pPr>
        <w:keepLines/>
        <w:spacing w:after="60"/>
        <w:rPr>
          <w:sz w:val="22"/>
          <w:szCs w:val="24"/>
          <w:lang w:val="pt-BR"/>
        </w:rPr>
      </w:pPr>
      <w:r>
        <w:rPr>
          <w:sz w:val="22"/>
        </w:rPr>
        <w:t xml:space="preserve">CABALLERO, Cassia Brocca et al. Transformation of Brazil’s biomes: the dynamics and fate of agriculture and pasture expansion into native vegetation. </w:t>
      </w:r>
      <w:r>
        <w:rPr>
          <w:b/>
          <w:sz w:val="22"/>
        </w:rPr>
        <w:t>Science of the Total Environment</w:t>
      </w:r>
      <w:r>
        <w:rPr>
          <w:sz w:val="22"/>
        </w:rPr>
        <w:t>, [S. l.], v. 896, 166323, 2023. DOI: https://doi.org/10.1016/j.scitotenv.2023.166323.</w:t>
      </w:r>
    </w:p>
    <w:p w14:paraId="689C6DB3" w14:textId="77777777" w:rsidR="00EA4BBD" w:rsidRPr="00EA4BBD" w:rsidRDefault="00EA4BBD" w:rsidP="00EA4BBD">
      <w:pPr>
        <w:keepLines/>
        <w:spacing w:after="60"/>
        <w:rPr>
          <w:sz w:val="22"/>
          <w:szCs w:val="24"/>
          <w:lang w:val="pt-BR"/>
        </w:rPr>
      </w:pPr>
      <w:r>
        <w:rPr>
          <w:sz w:val="22"/>
        </w:rPr>
        <w:t xml:space="preserve">COLMAN, Carina Barbosa et al. Modeling the Brazilian Cerrado land use change highlights the need to account for private property sizes for biodiversity conservation. </w:t>
      </w:r>
      <w:r>
        <w:rPr>
          <w:b/>
          <w:sz w:val="22"/>
        </w:rPr>
        <w:t>Scientific Reports</w:t>
      </w:r>
      <w:r>
        <w:rPr>
          <w:sz w:val="22"/>
        </w:rPr>
        <w:t>, [S. l.], v. 14, 4559, 2024. DOI: https://doi.org/10.1038/s41598-024-55207-1.</w:t>
      </w:r>
    </w:p>
    <w:p w14:paraId="54296B54" w14:textId="77777777" w:rsidR="00EA4BBD" w:rsidRPr="00EA4BBD" w:rsidRDefault="00EA4BBD" w:rsidP="00EA4BBD">
      <w:pPr>
        <w:keepLines/>
        <w:spacing w:after="60"/>
        <w:rPr>
          <w:sz w:val="22"/>
          <w:szCs w:val="24"/>
          <w:lang w:val="pt-BR"/>
        </w:rPr>
      </w:pPr>
      <w:r>
        <w:rPr>
          <w:sz w:val="22"/>
        </w:rPr>
        <w:t xml:space="preserve">INSTITUTO BRASILEIRO DE GEOGRAFIA E ESTATÍSTICA (IBGE). </w:t>
      </w:r>
      <w:r>
        <w:rPr>
          <w:b/>
          <w:sz w:val="22"/>
        </w:rPr>
        <w:t>Malha municipal digital 2025</w:t>
      </w:r>
      <w:r>
        <w:rPr>
          <w:sz w:val="22"/>
        </w:rPr>
        <w:t>. Rio de Janeiro: IBGE, 2025. Disponível em: https://www.ibge.gov.br/geociencias/organizacao-do-territorio/malhas-territoriais.html. Acesso em: 6 jul. 2026.</w:t>
      </w:r>
    </w:p>
    <w:p w14:paraId="540766A8" w14:textId="77777777" w:rsidR="00EA4BBD" w:rsidRPr="00EA4BBD" w:rsidRDefault="00EA4BBD" w:rsidP="00EA4BBD">
      <w:pPr>
        <w:keepLines/>
        <w:spacing w:after="60"/>
        <w:rPr>
          <w:sz w:val="22"/>
          <w:szCs w:val="24"/>
          <w:lang w:val="pt-BR"/>
        </w:rPr>
      </w:pPr>
      <w:r>
        <w:rPr>
          <w:sz w:val="22"/>
        </w:rPr>
        <w:t xml:space="preserve">INSTITUTO BRASILEIRO DE GEOGRAFIA E ESTATÍSTICA (IBGE). </w:t>
      </w:r>
      <w:r>
        <w:rPr>
          <w:b/>
          <w:sz w:val="22"/>
        </w:rPr>
        <w:t>Manual técnico de uso da terra</w:t>
      </w:r>
      <w:r>
        <w:rPr>
          <w:sz w:val="22"/>
        </w:rPr>
        <w:t>. 4. ed. Rio de Janeiro: IBGE, 2020. Disponível em: https://www.ibge.gov.br/biblioteca/visualizacao/monografias/GEBIS%20-%20RJ/ManuaisdeGeociencias/Manual%20Tecnico%20de%20Uso%20da%20Terra.pdf. Acesso em: 6 jul. 2026.</w:t>
      </w:r>
    </w:p>
    <w:p w14:paraId="3AFA1F83" w14:textId="77777777" w:rsidR="00EA4BBD" w:rsidRPr="00EA4BBD" w:rsidRDefault="00EA4BBD" w:rsidP="00EA4BBD">
      <w:pPr>
        <w:keepLines/>
        <w:spacing w:after="60"/>
        <w:rPr>
          <w:sz w:val="22"/>
          <w:szCs w:val="24"/>
          <w:lang w:val="pt-BR"/>
        </w:rPr>
      </w:pPr>
      <w:r>
        <w:rPr>
          <w:sz w:val="22"/>
        </w:rPr>
        <w:t xml:space="preserve">PROJETO MAPBIOMAS. </w:t>
      </w:r>
      <w:r>
        <w:rPr>
          <w:b/>
          <w:sz w:val="22"/>
        </w:rPr>
        <w:t>Coleção 10 da Série Anual de Mapas de Cobertura e Uso da Terra do Brasil</w:t>
      </w:r>
      <w:r>
        <w:rPr>
          <w:sz w:val="22"/>
        </w:rPr>
        <w:t>. São Paulo: MapBiomas, 2025. Disponível em: https://brasil.mapbiomas.org/map/colecao-10/. Acesso em: 6 jul. 2026.</w:t>
      </w:r>
    </w:p>
    <w:p w14:paraId="2897AE52" w14:textId="77777777" w:rsidR="00EA4BBD" w:rsidRPr="00EA4BBD" w:rsidRDefault="00EA4BBD" w:rsidP="00EA4BBD">
      <w:pPr>
        <w:keepLines/>
        <w:spacing w:after="60"/>
        <w:rPr>
          <w:sz w:val="22"/>
          <w:szCs w:val="24"/>
          <w:lang w:val="pt-BR"/>
        </w:rPr>
      </w:pPr>
      <w:r>
        <w:rPr>
          <w:sz w:val="22"/>
        </w:rPr>
        <w:t xml:space="preserve">QGIS DEVELOPMENT TEAM. </w:t>
      </w:r>
      <w:r>
        <w:rPr>
          <w:b/>
          <w:sz w:val="22"/>
        </w:rPr>
        <w:t>QGIS Geographic Information System</w:t>
      </w:r>
      <w:r>
        <w:rPr>
          <w:sz w:val="22"/>
        </w:rPr>
        <w:t>. Versão 3.40. Beaverton: Open Source Geospatial Foundation, 2024. Disponível em: https://blog.qgis.org/2024/11/03/qgis-3-40-bratislava-is-released/. Acesso em: 6 jul. 2026.</w:t>
      </w:r>
    </w:p>
    <w:p w14:paraId="5E074F70" w14:textId="77777777" w:rsidR="00EA4BBD" w:rsidRPr="00EA4BBD" w:rsidRDefault="00EA4BBD" w:rsidP="00EA4BBD">
      <w:pPr>
        <w:keepLines/>
        <w:spacing w:after="60"/>
        <w:rPr>
          <w:sz w:val="22"/>
          <w:szCs w:val="24"/>
          <w:lang w:val="pt-BR"/>
        </w:rPr>
      </w:pPr>
      <w:r>
        <w:rPr>
          <w:sz w:val="22"/>
        </w:rPr>
        <w:t xml:space="preserve">SANO, Edson Eyji et al. Land use dynamics in the Brazilian Cerrado in the period from 2002 to 2013. </w:t>
      </w:r>
      <w:r>
        <w:rPr>
          <w:b/>
          <w:sz w:val="22"/>
        </w:rPr>
        <w:t>Pesquisa Agropecuária Brasileira</w:t>
      </w:r>
      <w:r>
        <w:rPr>
          <w:sz w:val="22"/>
        </w:rPr>
        <w:t>, Brasília, DF, v. 54, e00138, 2019. DOI: https://doi.org/10.1590/S1678-3921.pab2019.v54.00138.</w:t>
      </w:r>
    </w:p>
    <w:p w14:paraId="597F58BF" w14:textId="77777777" w:rsidR="00EA4BBD" w:rsidRPr="00EA4BBD" w:rsidRDefault="00EA4BBD" w:rsidP="00EA4BBD">
      <w:pPr>
        <w:keepLines/>
        <w:spacing w:after="60"/>
        <w:rPr>
          <w:sz w:val="22"/>
          <w:szCs w:val="24"/>
          <w:lang w:val="pt-BR"/>
        </w:rPr>
      </w:pPr>
      <w:r>
        <w:rPr>
          <w:sz w:val="22"/>
        </w:rPr>
        <w:t xml:space="preserve">SOUZA JUNIOR, Carlos M. et al. Reconstructing three decades of land use and land cover changes in Brazilian biomes with Landsat archive and Earth Engine. </w:t>
      </w:r>
      <w:r>
        <w:rPr>
          <w:b/>
          <w:sz w:val="22"/>
        </w:rPr>
        <w:t>Remote Sensing</w:t>
      </w:r>
      <w:r>
        <w:rPr>
          <w:sz w:val="22"/>
        </w:rPr>
        <w:t>, Basel, v. 12, n. 17, 2735, 2020. DOI: https://doi.org/10.3390/rs12172735.</w:t>
      </w:r>
    </w:p>
    <w:sectPr w:rsidR="00EA4BBD" w:rsidRPr="00EA4BBD" w:rsidSect="008913F4">
      <w:headerReference w:type="default" r:id="rId9"/>
      <w:footerReference w:type="default" r:id="rId10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7ED66" w14:textId="77777777" w:rsidR="00F9489E" w:rsidRDefault="00F9489E">
      <w:r>
        <w:separator/>
      </w:r>
    </w:p>
  </w:endnote>
  <w:endnote w:type="continuationSeparator" w:id="0">
    <w:p w14:paraId="74424C51" w14:textId="77777777" w:rsidR="00F9489E" w:rsidRDefault="00F94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2DA9C" w14:textId="77777777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9C86C" w14:textId="77777777" w:rsidR="00F9489E" w:rsidRDefault="00F9489E">
      <w:r>
        <w:separator/>
      </w:r>
    </w:p>
  </w:footnote>
  <w:footnote w:type="continuationSeparator" w:id="0">
    <w:p w14:paraId="3111092A" w14:textId="77777777" w:rsidR="00F9489E" w:rsidRDefault="00F94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4EFAF" w14:textId="77777777" w:rsidR="000815CB" w:rsidRDefault="000815CB">
    <w:pPr>
      <w:pStyle w:val="Cabealho"/>
    </w:pPr>
    <w:r w:rsidRPr="005F70B0">
      <w:rPr>
        <w:noProof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5E618026" wp14:editId="5D7E1682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1974506441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Cs w:val="24"/>
        <w:lang w:val="pt-BR" w:eastAsia="pt-BR"/>
      </w:rPr>
      <w:drawing>
        <wp:inline distT="0" distB="0" distL="0" distR="0" wp14:anchorId="493257DC" wp14:editId="2B617C93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449F4"/>
    <w:rsid w:val="000815CB"/>
    <w:rsid w:val="00157AC0"/>
    <w:rsid w:val="00193534"/>
    <w:rsid w:val="001C5BCC"/>
    <w:rsid w:val="00243512"/>
    <w:rsid w:val="002546B6"/>
    <w:rsid w:val="00302A75"/>
    <w:rsid w:val="003411DE"/>
    <w:rsid w:val="0036697E"/>
    <w:rsid w:val="004834A1"/>
    <w:rsid w:val="0051488B"/>
    <w:rsid w:val="005259CE"/>
    <w:rsid w:val="005C6395"/>
    <w:rsid w:val="005F70B0"/>
    <w:rsid w:val="00624629"/>
    <w:rsid w:val="00624EAA"/>
    <w:rsid w:val="00694319"/>
    <w:rsid w:val="006B7E41"/>
    <w:rsid w:val="00705993"/>
    <w:rsid w:val="007561D8"/>
    <w:rsid w:val="00783064"/>
    <w:rsid w:val="007928FA"/>
    <w:rsid w:val="0080799A"/>
    <w:rsid w:val="008858BD"/>
    <w:rsid w:val="008913F4"/>
    <w:rsid w:val="00914295"/>
    <w:rsid w:val="009C4B75"/>
    <w:rsid w:val="00A33E6F"/>
    <w:rsid w:val="00AD22F1"/>
    <w:rsid w:val="00AF5124"/>
    <w:rsid w:val="00BA3D9B"/>
    <w:rsid w:val="00C44CDC"/>
    <w:rsid w:val="00C538C1"/>
    <w:rsid w:val="00C60F3C"/>
    <w:rsid w:val="00CB7608"/>
    <w:rsid w:val="00D25B88"/>
    <w:rsid w:val="00E3782C"/>
    <w:rsid w:val="00EA25BE"/>
    <w:rsid w:val="00EA4BBD"/>
    <w:rsid w:val="00EE0783"/>
    <w:rsid w:val="00F135CC"/>
    <w:rsid w:val="00F543D0"/>
    <w:rsid w:val="00F9489E"/>
    <w:rsid w:val="00FB35C2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52FE9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EA4BB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A4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1602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Análise temporal do uso e ocupação do solo na Bacia Hidrográfica do Córrego Pântano</vt:lpstr>
    </vt:vector>
  </TitlesOfParts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Análise temporal do uso e ocupação do solo na Bacia Hidrográfica do Córrego Pântano</dc:title>
  <dc:subject>Resumo expandido - 23º Congresso Nacional de Meio Ambiente de Poços de Caldas 2026</dc:subject>
  <dc:creator>O professor - Consultoria academica</dc:creator>
  <cp:lastModifiedBy>User</cp:lastModifiedBy>
  <cp:revision>5</cp:revision>
  <dcterms:created xsi:type="dcterms:W3CDTF">2026-07-31T16:09:00Z</dcterms:created>
  <dcterms:modified xsi:type="dcterms:W3CDTF">2026-07-31T19:04:00Z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