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08DC" w14:textId="67A7D4F9" w:rsidR="001C5BCC" w:rsidRPr="003E5DD9" w:rsidRDefault="005259CE" w:rsidP="00126995">
      <w:pPr>
        <w:pStyle w:val="Corpodetexto"/>
        <w:jc w:val="center"/>
        <w:rPr>
          <w:sz w:val="24"/>
          <w:szCs w:val="24"/>
          <w:lang w:val="pt-BR"/>
        </w:rPr>
      </w:pPr>
      <w:r w:rsidRPr="003E5DD9">
        <w:rPr>
          <w:noProof/>
          <w:sz w:val="24"/>
          <w:szCs w:val="24"/>
          <w:lang w:val="pt-BR" w:eastAsia="pt-BR"/>
        </w:rPr>
        <w:drawing>
          <wp:anchor distT="0" distB="0" distL="0" distR="0" simplePos="0" relativeHeight="251658240" behindDoc="0" locked="0" layoutInCell="1" allowOverlap="1" wp14:anchorId="654466DD" wp14:editId="0721AFF5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53325" cy="1057275"/>
            <wp:effectExtent l="0" t="0" r="9525" b="952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D2B966" w14:textId="77777777" w:rsidR="00885E5F" w:rsidRPr="003E5DD9" w:rsidRDefault="00885E5F" w:rsidP="00885E5F">
      <w:pPr>
        <w:pStyle w:val="Ttulo"/>
        <w:rPr>
          <w:lang w:val="pt-BR"/>
        </w:rPr>
      </w:pPr>
      <w:r w:rsidRPr="003E5DD9">
        <w:rPr>
          <w:lang w:val="pt-BR"/>
        </w:rPr>
        <w:t>CINQUENTA ANOS DE EXPANSÃO URBANA EM ITAJUBÁ (MG): ANÁLISE DA OCUPAÇÃO DE ÁREAS HISTORICAMENTE INUNDÁVEIS POR MEIO DE GEOPROCESSAMENTO</w:t>
      </w:r>
    </w:p>
    <w:p w14:paraId="611F74BD" w14:textId="77777777" w:rsidR="00885E5F" w:rsidRPr="003E5DD9" w:rsidRDefault="00885E5F" w:rsidP="00885E5F">
      <w:pPr>
        <w:pStyle w:val="Ttulo1"/>
        <w:spacing w:before="251" w:line="242" w:lineRule="auto"/>
        <w:ind w:left="75" w:right="214"/>
        <w:jc w:val="center"/>
        <w:rPr>
          <w:sz w:val="24"/>
          <w:szCs w:val="24"/>
          <w:lang w:val="pt-BR"/>
        </w:rPr>
      </w:pPr>
      <w:bookmarkStart w:id="0" w:name="1Primeiro_Autor_com_nome_completo,_2Segu"/>
      <w:bookmarkEnd w:id="0"/>
      <w:r w:rsidRPr="003E5DD9">
        <w:rPr>
          <w:sz w:val="24"/>
          <w:szCs w:val="24"/>
          <w:vertAlign w:val="superscript"/>
          <w:lang w:val="pt-BR"/>
        </w:rPr>
        <w:t>1</w:t>
      </w:r>
      <w:r w:rsidRPr="003E5DD9">
        <w:rPr>
          <w:sz w:val="24"/>
          <w:szCs w:val="24"/>
          <w:lang w:val="pt-BR"/>
        </w:rPr>
        <w:t>Rodrigo Barbosa Lima,</w:t>
      </w:r>
      <w:r w:rsidRPr="003E5DD9">
        <w:rPr>
          <w:spacing w:val="-2"/>
          <w:sz w:val="24"/>
          <w:szCs w:val="24"/>
          <w:lang w:val="pt-BR"/>
        </w:rPr>
        <w:t xml:space="preserve"> </w:t>
      </w:r>
      <w:r w:rsidRPr="003E5DD9">
        <w:rPr>
          <w:sz w:val="24"/>
          <w:szCs w:val="24"/>
          <w:vertAlign w:val="superscript"/>
          <w:lang w:val="pt-BR"/>
        </w:rPr>
        <w:t>2</w:t>
      </w:r>
      <w:r w:rsidRPr="003E5DD9">
        <w:rPr>
          <w:sz w:val="24"/>
          <w:szCs w:val="24"/>
          <w:lang w:val="pt-BR"/>
        </w:rPr>
        <w:t>Camila Cândido Santos Pizzol,</w:t>
      </w:r>
      <w:r w:rsidRPr="003E5DD9">
        <w:rPr>
          <w:spacing w:val="-3"/>
          <w:sz w:val="24"/>
          <w:szCs w:val="24"/>
          <w:lang w:val="pt-BR"/>
        </w:rPr>
        <w:t xml:space="preserve"> </w:t>
      </w:r>
      <w:r w:rsidRPr="003E5DD9">
        <w:rPr>
          <w:sz w:val="24"/>
          <w:szCs w:val="24"/>
          <w:vertAlign w:val="superscript"/>
          <w:lang w:val="pt-BR"/>
        </w:rPr>
        <w:t>3</w:t>
      </w:r>
      <w:r w:rsidRPr="003E5DD9">
        <w:rPr>
          <w:sz w:val="24"/>
          <w:szCs w:val="24"/>
          <w:lang w:val="pt-BR"/>
        </w:rPr>
        <w:t xml:space="preserve">Nívea Adriana Dias Pons, </w:t>
      </w:r>
    </w:p>
    <w:p w14:paraId="0ECE6C13" w14:textId="77777777" w:rsidR="00885E5F" w:rsidRPr="003E5DD9" w:rsidRDefault="00885E5F" w:rsidP="00885E5F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  <w:r w:rsidRPr="003E5DD9">
        <w:rPr>
          <w:i/>
          <w:sz w:val="24"/>
          <w:szCs w:val="24"/>
          <w:vertAlign w:val="superscript"/>
          <w:lang w:val="pt-BR"/>
        </w:rPr>
        <w:t>1</w:t>
      </w:r>
      <w:r w:rsidRPr="003E5DD9">
        <w:rPr>
          <w:lang w:val="pt-BR"/>
        </w:rPr>
        <w:t xml:space="preserve"> </w:t>
      </w:r>
      <w:r w:rsidRPr="003E5DD9">
        <w:rPr>
          <w:i/>
          <w:sz w:val="24"/>
          <w:szCs w:val="24"/>
          <w:lang w:val="pt-BR"/>
        </w:rPr>
        <w:t>Doutorando do Programa de Pós-Graduação em Meio Ambiente e Recursos Hídricos da Universidade Federal de Itajubá, e-mail:</w:t>
      </w:r>
      <w:r w:rsidRPr="003E5DD9">
        <w:rPr>
          <w:i/>
          <w:spacing w:val="-4"/>
          <w:sz w:val="24"/>
          <w:szCs w:val="24"/>
          <w:lang w:val="pt-BR"/>
        </w:rPr>
        <w:t xml:space="preserve"> </w:t>
      </w:r>
      <w:r w:rsidRPr="003E5DD9">
        <w:rPr>
          <w:i/>
          <w:sz w:val="24"/>
          <w:szCs w:val="24"/>
          <w:lang w:val="pt-BR"/>
        </w:rPr>
        <w:t>rodrigobl@unifei.edu.br;</w:t>
      </w:r>
      <w:r w:rsidRPr="003E5DD9">
        <w:rPr>
          <w:i/>
          <w:spacing w:val="-3"/>
          <w:sz w:val="24"/>
          <w:szCs w:val="24"/>
          <w:lang w:val="pt-BR"/>
        </w:rPr>
        <w:t xml:space="preserve"> </w:t>
      </w:r>
      <w:r w:rsidRPr="003E5DD9">
        <w:rPr>
          <w:i/>
          <w:sz w:val="24"/>
          <w:szCs w:val="24"/>
          <w:vertAlign w:val="superscript"/>
          <w:lang w:val="pt-BR"/>
        </w:rPr>
        <w:t>2</w:t>
      </w:r>
      <w:r w:rsidRPr="003E5DD9">
        <w:rPr>
          <w:lang w:val="pt-BR"/>
        </w:rPr>
        <w:t xml:space="preserve"> </w:t>
      </w:r>
      <w:r w:rsidRPr="003E5DD9">
        <w:rPr>
          <w:i/>
          <w:sz w:val="24"/>
          <w:szCs w:val="24"/>
          <w:lang w:val="pt-BR"/>
        </w:rPr>
        <w:t xml:space="preserve">Doutoranda do Programa de Pós-Graduação em Meio Ambiente e Recursos Hídricos da Universidade Federal de Itajubá, e-mail: camilacspizzol25@gmail.com; </w:t>
      </w:r>
      <w:r w:rsidRPr="003E5DD9">
        <w:rPr>
          <w:i/>
          <w:sz w:val="24"/>
          <w:szCs w:val="24"/>
          <w:vertAlign w:val="superscript"/>
          <w:lang w:val="pt-BR"/>
        </w:rPr>
        <w:t>3</w:t>
      </w:r>
      <w:r w:rsidRPr="003E5DD9">
        <w:rPr>
          <w:lang w:val="pt-BR"/>
        </w:rPr>
        <w:t xml:space="preserve"> </w:t>
      </w:r>
      <w:r w:rsidRPr="003E5DD9">
        <w:rPr>
          <w:i/>
          <w:sz w:val="24"/>
          <w:szCs w:val="24"/>
          <w:lang w:val="pt-BR"/>
        </w:rPr>
        <w:t>Docente da Universidade Federal de Itajubá, e-mail: npons@unifei.edu.br</w:t>
      </w:r>
    </w:p>
    <w:p w14:paraId="2014E095" w14:textId="77777777" w:rsidR="00885E5F" w:rsidRPr="003E5DD9" w:rsidRDefault="00885E5F" w:rsidP="00885E5F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</w:p>
    <w:p w14:paraId="5BF87923" w14:textId="77777777" w:rsidR="00885E5F" w:rsidRPr="003E5DD9" w:rsidRDefault="00885E5F" w:rsidP="00885E5F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  <w:lang w:val="pt-BR"/>
        </w:rPr>
      </w:pPr>
      <w:r w:rsidRPr="003E5DD9">
        <w:rPr>
          <w:b/>
          <w:bCs/>
          <w:i/>
          <w:spacing w:val="-2"/>
          <w:sz w:val="24"/>
          <w:szCs w:val="24"/>
          <w:lang w:val="pt-BR"/>
        </w:rPr>
        <w:t>Grupo temático 1: Ambiente e Clima</w:t>
      </w:r>
    </w:p>
    <w:p w14:paraId="664C18B7" w14:textId="77777777" w:rsidR="00885E5F" w:rsidRPr="003E5DD9" w:rsidRDefault="00885E5F" w:rsidP="00885E5F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  <w:lang w:val="pt-BR"/>
        </w:rPr>
      </w:pPr>
      <w:r w:rsidRPr="003E5DD9">
        <w:rPr>
          <w:b/>
          <w:bCs/>
          <w:i/>
          <w:spacing w:val="-2"/>
          <w:sz w:val="24"/>
          <w:szCs w:val="24"/>
          <w:lang w:val="pt-BR"/>
        </w:rPr>
        <w:t>Eixo: Gestão de riscos climáticos</w:t>
      </w:r>
    </w:p>
    <w:p w14:paraId="105D1EFE" w14:textId="77777777" w:rsidR="00885E5F" w:rsidRPr="003E5DD9" w:rsidRDefault="00885E5F" w:rsidP="00885E5F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</w:p>
    <w:p w14:paraId="5F7AA913" w14:textId="77777777" w:rsidR="00885E5F" w:rsidRPr="003A238A" w:rsidRDefault="00885E5F" w:rsidP="00885E5F">
      <w:pPr>
        <w:pStyle w:val="Corpodetexto"/>
        <w:spacing w:before="1" w:line="360" w:lineRule="auto"/>
        <w:jc w:val="center"/>
        <w:rPr>
          <w:b/>
          <w:bCs/>
          <w:sz w:val="28"/>
          <w:szCs w:val="28"/>
          <w:lang w:val="pt-BR"/>
        </w:rPr>
      </w:pPr>
      <w:r w:rsidRPr="003A238A">
        <w:rPr>
          <w:b/>
          <w:bCs/>
          <w:sz w:val="28"/>
          <w:szCs w:val="28"/>
          <w:lang w:val="pt-BR"/>
        </w:rPr>
        <w:t>Resumo</w:t>
      </w:r>
    </w:p>
    <w:p w14:paraId="7FB51D95" w14:textId="77777777" w:rsidR="00885E5F" w:rsidRPr="003E5DD9" w:rsidRDefault="00885E5F" w:rsidP="00885E5F">
      <w:pPr>
        <w:ind w:right="209"/>
        <w:jc w:val="both"/>
        <w:rPr>
          <w:iCs/>
          <w:sz w:val="24"/>
          <w:szCs w:val="24"/>
          <w:lang w:val="pt-BR"/>
        </w:rPr>
      </w:pPr>
      <w:r w:rsidRPr="00AD34A7">
        <w:rPr>
          <w:iCs/>
          <w:sz w:val="24"/>
          <w:szCs w:val="24"/>
          <w:lang w:val="pt-BR"/>
        </w:rPr>
        <w:t>A expansão urbana desordenada tem contribuído para a ocupação de áreas suscetíveis a inundações, aumentando a vulnerabilidade das cidades frente aos eventos hidrológicos extremos. Nesse contexto, o presente trabalho teve como objetivo analisar a expansão urbana de Itajubá (MG) entre 1971 e 2026, identificando e quantificando a ocupação de áreas historicamente mapeadas como inundáveis por meio de técnicas de geoprocessamento. A pesquisa utilizou como base a carta topográfica do IBGE de 1971 e image</w:t>
      </w:r>
      <w:r>
        <w:rPr>
          <w:iCs/>
          <w:sz w:val="24"/>
          <w:szCs w:val="24"/>
          <w:lang w:val="pt-BR"/>
        </w:rPr>
        <w:t>m</w:t>
      </w:r>
      <w:r w:rsidRPr="00AD34A7">
        <w:rPr>
          <w:iCs/>
          <w:sz w:val="24"/>
          <w:szCs w:val="24"/>
          <w:lang w:val="pt-BR"/>
        </w:rPr>
        <w:t xml:space="preserve"> do satélite CBERS-4A/WPM </w:t>
      </w:r>
      <w:r>
        <w:rPr>
          <w:iCs/>
          <w:sz w:val="24"/>
          <w:szCs w:val="24"/>
          <w:lang w:val="pt-BR"/>
        </w:rPr>
        <w:t xml:space="preserve">de 2026, </w:t>
      </w:r>
      <w:r w:rsidRPr="00AD34A7">
        <w:rPr>
          <w:iCs/>
          <w:sz w:val="24"/>
          <w:szCs w:val="24"/>
          <w:lang w:val="pt-BR"/>
        </w:rPr>
        <w:t>disponibilizada pelo Instituto Nacional de Pesquisas Espaciais (INPE). Os dados foram processados no software QGIS, envolvendo georreferenciamento, vetorização das manchas urbanas e das áreas inundáveis, sobreposição espacial e cálculo das áreas. Os resultados indicaram que a mancha urbana aumentou de 4,350 km² para 18,376 km² no período analisado, representando um crescimento de 322,4%. Da expansão total de 14,544 km², aproximadamente 3,779 km² ocorreram sobre áreas classificadas como inundáveis na cartografia histórica, correspondendo a 26,0% da expansão urbana e à ocupação de cerca de 39,7% dessas áreas. Conclui-se que a utilização integrada de cartografia histórica e geoprocessamento constitui importante ferramenta para compreender a evolução da ocupação urbana e subsidiar o planejamento territorial e a gestão de riscos climáticos.</w:t>
      </w:r>
    </w:p>
    <w:p w14:paraId="762F9B08" w14:textId="77777777" w:rsidR="00E3782C" w:rsidRPr="003E5DD9" w:rsidRDefault="00E3782C" w:rsidP="00E3782C">
      <w:pPr>
        <w:jc w:val="both"/>
        <w:rPr>
          <w:b/>
          <w:sz w:val="24"/>
          <w:szCs w:val="24"/>
          <w:lang w:val="pt-BR"/>
        </w:rPr>
      </w:pPr>
    </w:p>
    <w:p w14:paraId="006243D2" w14:textId="51A757A2" w:rsidR="009C4B75" w:rsidRPr="003E5DD9" w:rsidRDefault="00E3782C" w:rsidP="009C4B75">
      <w:pPr>
        <w:jc w:val="both"/>
        <w:rPr>
          <w:spacing w:val="-2"/>
          <w:sz w:val="24"/>
          <w:szCs w:val="24"/>
          <w:lang w:val="pt-BR"/>
        </w:rPr>
      </w:pPr>
      <w:r w:rsidRPr="003E5DD9">
        <w:rPr>
          <w:b/>
          <w:sz w:val="24"/>
          <w:szCs w:val="24"/>
          <w:lang w:val="pt-BR"/>
        </w:rPr>
        <w:t>Palavras-chave:</w:t>
      </w:r>
      <w:r w:rsidRPr="003E5DD9">
        <w:rPr>
          <w:b/>
          <w:spacing w:val="-2"/>
          <w:sz w:val="24"/>
          <w:szCs w:val="24"/>
          <w:lang w:val="pt-BR"/>
        </w:rPr>
        <w:t xml:space="preserve"> </w:t>
      </w:r>
      <w:r w:rsidR="00BC510B">
        <w:rPr>
          <w:sz w:val="24"/>
          <w:szCs w:val="24"/>
          <w:lang w:val="pt-BR"/>
        </w:rPr>
        <w:t xml:space="preserve">Análise </w:t>
      </w:r>
      <w:r w:rsidR="00A517AD">
        <w:rPr>
          <w:sz w:val="24"/>
          <w:szCs w:val="24"/>
          <w:lang w:val="pt-BR"/>
        </w:rPr>
        <w:t>espaço-</w:t>
      </w:r>
      <w:r w:rsidR="00BC510B">
        <w:rPr>
          <w:sz w:val="24"/>
          <w:szCs w:val="24"/>
          <w:lang w:val="pt-BR"/>
        </w:rPr>
        <w:t>temporal</w:t>
      </w:r>
      <w:r w:rsidR="00AD34A7" w:rsidRPr="00AD34A7">
        <w:rPr>
          <w:sz w:val="24"/>
          <w:szCs w:val="24"/>
          <w:lang w:val="pt-BR"/>
        </w:rPr>
        <w:t xml:space="preserve">; </w:t>
      </w:r>
      <w:r w:rsidR="00BC510B">
        <w:rPr>
          <w:sz w:val="24"/>
          <w:szCs w:val="24"/>
          <w:lang w:val="pt-BR"/>
        </w:rPr>
        <w:t>mapeamento</w:t>
      </w:r>
      <w:r w:rsidR="00AD34A7" w:rsidRPr="00AD34A7">
        <w:rPr>
          <w:sz w:val="24"/>
          <w:szCs w:val="24"/>
          <w:lang w:val="pt-BR"/>
        </w:rPr>
        <w:t xml:space="preserve">; </w:t>
      </w:r>
      <w:r w:rsidR="00BC510B">
        <w:rPr>
          <w:sz w:val="24"/>
          <w:szCs w:val="24"/>
          <w:lang w:val="pt-BR"/>
        </w:rPr>
        <w:t>urbanização</w:t>
      </w:r>
      <w:r w:rsidRPr="003E5DD9">
        <w:rPr>
          <w:spacing w:val="-2"/>
          <w:sz w:val="24"/>
          <w:szCs w:val="24"/>
          <w:lang w:val="pt-BR"/>
        </w:rPr>
        <w:t>.</w:t>
      </w:r>
    </w:p>
    <w:p w14:paraId="0F7CD38A" w14:textId="77777777" w:rsidR="009C4B75" w:rsidRPr="003E5DD9" w:rsidRDefault="009C4B75" w:rsidP="009C4B75">
      <w:pPr>
        <w:jc w:val="both"/>
        <w:rPr>
          <w:b/>
          <w:bCs/>
          <w:spacing w:val="-2"/>
          <w:sz w:val="28"/>
          <w:szCs w:val="28"/>
          <w:lang w:val="pt-BR"/>
        </w:rPr>
      </w:pPr>
    </w:p>
    <w:p w14:paraId="435631D4" w14:textId="5D9C3544" w:rsidR="009C7209" w:rsidRPr="003E5DD9" w:rsidRDefault="00E3782C" w:rsidP="00417322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3E5DD9">
        <w:rPr>
          <w:b/>
          <w:bCs/>
          <w:sz w:val="28"/>
          <w:szCs w:val="28"/>
          <w:lang w:val="pt-BR"/>
        </w:rPr>
        <w:t>Introdução</w:t>
      </w:r>
    </w:p>
    <w:p w14:paraId="792891A7" w14:textId="4ED37B6D" w:rsidR="00765163" w:rsidRPr="00765163" w:rsidRDefault="00CC227D" w:rsidP="00765163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CC227D">
        <w:rPr>
          <w:sz w:val="24"/>
          <w:szCs w:val="24"/>
          <w:lang w:val="pt-BR"/>
        </w:rPr>
        <w:t>A ocorrência de eventos hidrológicos extremos, associada à ocupação de áreas ambientalmente vulneráveis, tem ampliado a vulnerabilidade das cidades às inundações, reforçando a necessidade de estratégias de planejamento territorial e gestão de riscos (</w:t>
      </w:r>
      <w:r>
        <w:rPr>
          <w:sz w:val="24"/>
          <w:szCs w:val="24"/>
          <w:lang w:val="pt-BR"/>
        </w:rPr>
        <w:t>Tucci</w:t>
      </w:r>
      <w:r w:rsidRPr="00CC227D">
        <w:rPr>
          <w:sz w:val="24"/>
          <w:szCs w:val="24"/>
          <w:lang w:val="pt-BR"/>
        </w:rPr>
        <w:t xml:space="preserve">, 2004; </w:t>
      </w:r>
      <w:r>
        <w:rPr>
          <w:sz w:val="24"/>
          <w:szCs w:val="24"/>
          <w:lang w:val="pt-BR"/>
        </w:rPr>
        <w:t>Han</w:t>
      </w:r>
      <w:r w:rsidRPr="00CC227D">
        <w:rPr>
          <w:sz w:val="24"/>
          <w:szCs w:val="24"/>
          <w:lang w:val="pt-BR"/>
        </w:rPr>
        <w:t xml:space="preserve">; </w:t>
      </w:r>
      <w:r>
        <w:rPr>
          <w:sz w:val="24"/>
          <w:szCs w:val="24"/>
          <w:lang w:val="pt-BR"/>
        </w:rPr>
        <w:t>Liu</w:t>
      </w:r>
      <w:r w:rsidRPr="00CC227D">
        <w:rPr>
          <w:sz w:val="24"/>
          <w:szCs w:val="24"/>
          <w:lang w:val="pt-BR"/>
        </w:rPr>
        <w:t>, 2025).</w:t>
      </w:r>
    </w:p>
    <w:p w14:paraId="5DAFBBDE" w14:textId="46F4171C" w:rsidR="00765163" w:rsidRPr="00765163" w:rsidRDefault="009E740A" w:rsidP="00765163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No</w:t>
      </w:r>
      <w:r w:rsidR="00765163" w:rsidRPr="00765163">
        <w:rPr>
          <w:sz w:val="24"/>
          <w:szCs w:val="24"/>
          <w:lang w:val="pt-BR"/>
        </w:rPr>
        <w:t xml:space="preserve"> Brasil, a expansão urbana ocorreu, em grande parte, de forma desordenada, avançando sobre planícies de inundação e intensificando a impermeabilização do solo. Esse </w:t>
      </w:r>
      <w:r w:rsidR="00765163" w:rsidRPr="00765163">
        <w:rPr>
          <w:sz w:val="24"/>
          <w:szCs w:val="24"/>
          <w:lang w:val="pt-BR"/>
        </w:rPr>
        <w:lastRenderedPageBreak/>
        <w:t>processo</w:t>
      </w:r>
      <w:r>
        <w:rPr>
          <w:sz w:val="24"/>
          <w:szCs w:val="24"/>
          <w:lang w:val="pt-BR"/>
        </w:rPr>
        <w:t>, favorecido pela</w:t>
      </w:r>
      <w:r w:rsidR="00765163" w:rsidRPr="00765163">
        <w:rPr>
          <w:sz w:val="24"/>
          <w:szCs w:val="24"/>
          <w:lang w:val="pt-BR"/>
        </w:rPr>
        <w:t xml:space="preserve"> </w:t>
      </w:r>
      <w:r w:rsidRPr="00765163">
        <w:rPr>
          <w:sz w:val="24"/>
          <w:szCs w:val="24"/>
          <w:lang w:val="pt-BR"/>
        </w:rPr>
        <w:t>ausência de planejamento urbano</w:t>
      </w:r>
      <w:r>
        <w:rPr>
          <w:sz w:val="24"/>
          <w:szCs w:val="24"/>
          <w:lang w:val="pt-BR"/>
        </w:rPr>
        <w:t xml:space="preserve"> adequado, </w:t>
      </w:r>
      <w:r w:rsidR="00765163" w:rsidRPr="00765163">
        <w:rPr>
          <w:sz w:val="24"/>
          <w:szCs w:val="24"/>
          <w:lang w:val="pt-BR"/>
        </w:rPr>
        <w:t>altera a dinâmica da drenagem e agrava a ocorrência de inundações</w:t>
      </w:r>
      <w:r>
        <w:rPr>
          <w:sz w:val="24"/>
          <w:szCs w:val="24"/>
          <w:lang w:val="pt-BR"/>
        </w:rPr>
        <w:t xml:space="preserve"> (</w:t>
      </w:r>
      <w:r w:rsidR="00765163" w:rsidRPr="00765163">
        <w:rPr>
          <w:sz w:val="24"/>
          <w:szCs w:val="24"/>
          <w:lang w:val="pt-BR"/>
        </w:rPr>
        <w:t>Tucci</w:t>
      </w:r>
      <w:r>
        <w:rPr>
          <w:sz w:val="24"/>
          <w:szCs w:val="24"/>
          <w:lang w:val="pt-BR"/>
        </w:rPr>
        <w:t>,</w:t>
      </w:r>
      <w:r w:rsidR="00765163" w:rsidRPr="00765163">
        <w:rPr>
          <w:sz w:val="24"/>
          <w:szCs w:val="24"/>
          <w:lang w:val="pt-BR"/>
        </w:rPr>
        <w:t xml:space="preserve"> 2004).</w:t>
      </w:r>
    </w:p>
    <w:p w14:paraId="24CD610A" w14:textId="147429D6" w:rsidR="00765163" w:rsidRPr="00765163" w:rsidRDefault="00026392" w:rsidP="00A517AD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026392">
        <w:rPr>
          <w:sz w:val="24"/>
          <w:szCs w:val="24"/>
          <w:lang w:val="pt-BR"/>
        </w:rPr>
        <w:t xml:space="preserve">O município de Itajubá, localizado no sul do estado de Minas Gerais (22°25′33″S, 45°27′10″O), está inserido na bacia do </w:t>
      </w:r>
      <w:r w:rsidR="006A7E13">
        <w:rPr>
          <w:sz w:val="24"/>
          <w:szCs w:val="24"/>
          <w:lang w:val="pt-BR"/>
        </w:rPr>
        <w:t>R</w:t>
      </w:r>
      <w:r w:rsidRPr="00026392">
        <w:rPr>
          <w:sz w:val="24"/>
          <w:szCs w:val="24"/>
          <w:lang w:val="pt-BR"/>
        </w:rPr>
        <w:t xml:space="preserve">io Sapucaí e apresenta histórico recorrente de inundações. A área urbana é drenada pelo </w:t>
      </w:r>
      <w:r w:rsidR="006A7E13">
        <w:rPr>
          <w:sz w:val="24"/>
          <w:szCs w:val="24"/>
          <w:lang w:val="pt-BR"/>
        </w:rPr>
        <w:t>R</w:t>
      </w:r>
      <w:r w:rsidRPr="00026392">
        <w:rPr>
          <w:sz w:val="24"/>
          <w:szCs w:val="24"/>
          <w:lang w:val="pt-BR"/>
        </w:rPr>
        <w:t xml:space="preserve">io Sapucaí e por cursos d’água como os ribeirões Anhumas, José Pereira e Piranguçu. A recorrência desses eventos está associada à ocupação progressiva das planícies fluviais e às características climáticas locais. O clima é classificado como </w:t>
      </w:r>
      <w:proofErr w:type="spellStart"/>
      <w:r w:rsidRPr="00026392">
        <w:rPr>
          <w:sz w:val="24"/>
          <w:szCs w:val="24"/>
          <w:lang w:val="pt-BR"/>
        </w:rPr>
        <w:t>Cwa</w:t>
      </w:r>
      <w:proofErr w:type="spellEnd"/>
      <w:r w:rsidRPr="00026392">
        <w:rPr>
          <w:sz w:val="24"/>
          <w:szCs w:val="24"/>
          <w:lang w:val="pt-BR"/>
        </w:rPr>
        <w:t xml:space="preserve">, segundo </w:t>
      </w:r>
      <w:proofErr w:type="spellStart"/>
      <w:r w:rsidRPr="00026392">
        <w:rPr>
          <w:sz w:val="24"/>
          <w:szCs w:val="24"/>
          <w:lang w:val="pt-BR"/>
        </w:rPr>
        <w:t>Köppen</w:t>
      </w:r>
      <w:proofErr w:type="spellEnd"/>
      <w:r w:rsidRPr="00026392">
        <w:rPr>
          <w:sz w:val="24"/>
          <w:szCs w:val="24"/>
          <w:lang w:val="pt-BR"/>
        </w:rPr>
        <w:t>, com verões quentes e chuvosos e invernos secos (</w:t>
      </w:r>
      <w:proofErr w:type="spellStart"/>
      <w:r w:rsidRPr="00026392">
        <w:rPr>
          <w:sz w:val="24"/>
          <w:szCs w:val="24"/>
          <w:lang w:val="pt-BR"/>
        </w:rPr>
        <w:t>Reboita</w:t>
      </w:r>
      <w:proofErr w:type="spellEnd"/>
      <w:r w:rsidRPr="00026392">
        <w:rPr>
          <w:sz w:val="24"/>
          <w:szCs w:val="24"/>
          <w:lang w:val="pt-BR"/>
        </w:rPr>
        <w:t xml:space="preserve"> et al., 2022). Estudos desenvolvidos para o município evidenciam a suscetibilidade de parte significativa da área urbana às inundações, reforçando a importância de compreender a expansão da ocupação urbana ao longo do tempo (Silva, 2006; Faria; Barbosa, 2020)</w:t>
      </w:r>
      <w:r w:rsidR="00765163" w:rsidRPr="00765163">
        <w:rPr>
          <w:sz w:val="24"/>
          <w:szCs w:val="24"/>
          <w:lang w:val="pt-BR"/>
        </w:rPr>
        <w:t>.</w:t>
      </w:r>
    </w:p>
    <w:p w14:paraId="74415EF2" w14:textId="2A33351D" w:rsidR="00765163" w:rsidRPr="00765163" w:rsidRDefault="00765163" w:rsidP="00765163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65163">
        <w:rPr>
          <w:sz w:val="24"/>
          <w:szCs w:val="24"/>
          <w:lang w:val="pt-BR"/>
        </w:rPr>
        <w:t>Nesse contexto, o geoprocessamento constitui importante ferramenta para o planejamento territorial e a gestão de riscos, permitindo integrar bases de dados geoespaciais, analisar a expansão urbana e subsidiar a avaliação de riscos e a formulação de políticas públicas (</w:t>
      </w:r>
      <w:r>
        <w:rPr>
          <w:sz w:val="24"/>
          <w:szCs w:val="24"/>
          <w:lang w:val="pt-BR"/>
        </w:rPr>
        <w:t>Han</w:t>
      </w:r>
      <w:r w:rsidRPr="00765163">
        <w:rPr>
          <w:sz w:val="24"/>
          <w:szCs w:val="24"/>
          <w:lang w:val="pt-BR"/>
        </w:rPr>
        <w:t xml:space="preserve">; </w:t>
      </w:r>
      <w:r>
        <w:rPr>
          <w:sz w:val="24"/>
          <w:szCs w:val="24"/>
          <w:lang w:val="pt-BR"/>
        </w:rPr>
        <w:t>Liu</w:t>
      </w:r>
      <w:r w:rsidRPr="00765163">
        <w:rPr>
          <w:sz w:val="24"/>
          <w:szCs w:val="24"/>
          <w:lang w:val="pt-BR"/>
        </w:rPr>
        <w:t xml:space="preserve">, 2025; </w:t>
      </w:r>
      <w:r>
        <w:rPr>
          <w:sz w:val="24"/>
          <w:szCs w:val="24"/>
          <w:lang w:val="pt-BR"/>
        </w:rPr>
        <w:t>Farina</w:t>
      </w:r>
      <w:r w:rsidRPr="00765163">
        <w:rPr>
          <w:sz w:val="24"/>
          <w:szCs w:val="24"/>
          <w:lang w:val="pt-BR"/>
        </w:rPr>
        <w:t>, 2006).</w:t>
      </w:r>
    </w:p>
    <w:p w14:paraId="2C890FEA" w14:textId="750A3140" w:rsidR="00417322" w:rsidRPr="003E5DD9" w:rsidRDefault="00765163" w:rsidP="00765163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65163">
        <w:rPr>
          <w:sz w:val="24"/>
          <w:szCs w:val="24"/>
          <w:lang w:val="pt-BR"/>
        </w:rPr>
        <w:t>Embora estudos anteriores tenham investigado inundações em Itajubá, ainda há espaço para pesquisas que analisem, sob uma perspectiva histórica, a relação entre a expansão da mancha urbana e a ocupação de áreas previamente mapeadas como inundáveis. Assim, este trabalho tem como objetivo analisar a expansão urbana de Itajubá (MG) entre 1971 e 2026, identificando e quantificando a ocupação dessas áreas por meio de técnicas de geoprocessamento, de modo a subsidiar o planejamento urbano e a gestão de riscos climáticos.</w:t>
      </w:r>
    </w:p>
    <w:p w14:paraId="176527FB" w14:textId="77777777" w:rsidR="007E0281" w:rsidRPr="003E5DD9" w:rsidRDefault="007E0281" w:rsidP="00417322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208760B7" w14:textId="653A6907" w:rsidR="00E3782C" w:rsidRPr="003E5DD9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3E5DD9">
        <w:rPr>
          <w:b/>
          <w:bCs/>
          <w:sz w:val="28"/>
          <w:szCs w:val="28"/>
          <w:lang w:val="pt-BR"/>
        </w:rPr>
        <w:t>Metodologia</w:t>
      </w:r>
    </w:p>
    <w:p w14:paraId="0A135E70" w14:textId="3FBE40CA" w:rsidR="003E5DD9" w:rsidRPr="003E5DD9" w:rsidRDefault="007E0281" w:rsidP="003E5DD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E0281">
        <w:rPr>
          <w:sz w:val="24"/>
          <w:szCs w:val="24"/>
          <w:lang w:val="pt-BR"/>
        </w:rPr>
        <w:t>A pesquisa caracteriza-se como um estudo de natureza aplicada, com abordagem quantitativa e caráter descritivo, fundamentado em análise espaço-temporal realizada por meio de técnicas de geoprocessamento</w:t>
      </w:r>
      <w:r>
        <w:rPr>
          <w:sz w:val="24"/>
          <w:szCs w:val="24"/>
          <w:lang w:val="pt-BR"/>
        </w:rPr>
        <w:t xml:space="preserve"> com o uso do software QGIS.</w:t>
      </w:r>
      <w:r w:rsidRPr="007E0281">
        <w:rPr>
          <w:sz w:val="24"/>
          <w:szCs w:val="24"/>
          <w:lang w:val="pt-BR"/>
        </w:rPr>
        <w:t xml:space="preserve"> A análise envolveu o georreferenciamento de cartografia histórica, a vetorização de feições, a interpretação visual de imagem orbital, a sobreposição de camadas espaciais e o cálculo de áreas.</w:t>
      </w:r>
    </w:p>
    <w:p w14:paraId="60FDAE72" w14:textId="5A2CE308" w:rsidR="00F12364" w:rsidRDefault="007E0281" w:rsidP="003E5DD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E0281">
        <w:rPr>
          <w:sz w:val="24"/>
          <w:szCs w:val="24"/>
          <w:lang w:val="pt-BR"/>
        </w:rPr>
        <w:t>Como base histórica, foi utilizada a carta topográfica do Instituto Brasileiro de Geografia e Estatística (IBGE), elaborada em 1971, na escala 1:50.000. A carta foi georreferenciada no software QGIS para permitir sua integração com os dados espaciais atuais. Em seguida, foram identificadas e vetorizadas, na forma de polígonos, a mancha urbana existente à época e as áreas indicadas na cartografia como inundáveis.</w:t>
      </w:r>
    </w:p>
    <w:p w14:paraId="05A3B32E" w14:textId="169EA7D0" w:rsidR="00136E00" w:rsidRPr="008D77E5" w:rsidRDefault="003E5DD9" w:rsidP="008D77E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3E5DD9">
        <w:rPr>
          <w:sz w:val="24"/>
          <w:szCs w:val="24"/>
          <w:lang w:val="pt-BR"/>
        </w:rPr>
        <w:lastRenderedPageBreak/>
        <w:t xml:space="preserve">Para a representação da situação atual, foi utilizada imagem do satélite CBERS-4A, produto WPM Level-4-DN, disponibilizada pelo Instituto Nacional de Pesquisas Espaciais (INPE), </w:t>
      </w:r>
      <w:r w:rsidR="001660F3">
        <w:rPr>
          <w:sz w:val="24"/>
          <w:szCs w:val="24"/>
          <w:lang w:val="pt-BR"/>
        </w:rPr>
        <w:t>registrada em</w:t>
      </w:r>
      <w:r w:rsidR="00F12364">
        <w:rPr>
          <w:sz w:val="24"/>
          <w:szCs w:val="24"/>
          <w:lang w:val="pt-BR"/>
        </w:rPr>
        <w:t xml:space="preserve"> 12 de maio de</w:t>
      </w:r>
      <w:r w:rsidRPr="003E5DD9">
        <w:rPr>
          <w:sz w:val="24"/>
          <w:szCs w:val="24"/>
          <w:lang w:val="pt-BR"/>
        </w:rPr>
        <w:t xml:space="preserve"> 2026. O produto fornece imagens </w:t>
      </w:r>
      <w:proofErr w:type="spellStart"/>
      <w:r w:rsidRPr="003E5DD9">
        <w:rPr>
          <w:sz w:val="24"/>
          <w:szCs w:val="24"/>
          <w:lang w:val="pt-BR"/>
        </w:rPr>
        <w:t>ortorretificadas</w:t>
      </w:r>
      <w:proofErr w:type="spellEnd"/>
      <w:r w:rsidRPr="003E5DD9">
        <w:rPr>
          <w:sz w:val="24"/>
          <w:szCs w:val="24"/>
          <w:lang w:val="pt-BR"/>
        </w:rPr>
        <w:t xml:space="preserve"> de alta resolução espacial, </w:t>
      </w:r>
      <w:r w:rsidR="005F461F">
        <w:rPr>
          <w:sz w:val="24"/>
          <w:szCs w:val="24"/>
          <w:lang w:val="pt-BR"/>
        </w:rPr>
        <w:t>o que permitiu</w:t>
      </w:r>
      <w:r w:rsidRPr="003E5DD9">
        <w:rPr>
          <w:sz w:val="24"/>
          <w:szCs w:val="24"/>
          <w:lang w:val="pt-BR"/>
        </w:rPr>
        <w:t xml:space="preserve"> a delimitação da mancha urbana contemporânea por meio da interpretação visual da ocupação urbana contínua</w:t>
      </w:r>
      <w:r w:rsidR="007E0281">
        <w:rPr>
          <w:sz w:val="24"/>
          <w:szCs w:val="24"/>
          <w:lang w:val="pt-BR"/>
        </w:rPr>
        <w:t xml:space="preserve"> e </w:t>
      </w:r>
      <w:r w:rsidR="007E0281" w:rsidRPr="007E0281">
        <w:rPr>
          <w:sz w:val="24"/>
          <w:szCs w:val="24"/>
          <w:lang w:val="pt-BR"/>
        </w:rPr>
        <w:t xml:space="preserve">de sua vetorização </w:t>
      </w:r>
      <w:r w:rsidR="007E0281">
        <w:rPr>
          <w:sz w:val="24"/>
          <w:szCs w:val="24"/>
          <w:lang w:val="pt-BR"/>
        </w:rPr>
        <w:t>em</w:t>
      </w:r>
      <w:r w:rsidR="007E0281" w:rsidRPr="007E0281">
        <w:rPr>
          <w:sz w:val="24"/>
          <w:szCs w:val="24"/>
          <w:lang w:val="pt-BR"/>
        </w:rPr>
        <w:t xml:space="preserve"> polígono</w:t>
      </w:r>
      <w:r w:rsidR="007E0281">
        <w:rPr>
          <w:sz w:val="24"/>
          <w:szCs w:val="24"/>
          <w:lang w:val="pt-BR"/>
        </w:rPr>
        <w:t>s</w:t>
      </w:r>
      <w:r w:rsidR="007E0281" w:rsidRPr="007E0281">
        <w:rPr>
          <w:sz w:val="24"/>
          <w:szCs w:val="24"/>
          <w:lang w:val="pt-BR"/>
        </w:rPr>
        <w:t>.</w:t>
      </w:r>
    </w:p>
    <w:p w14:paraId="3FD38A4C" w14:textId="5B41B93D" w:rsidR="00136E00" w:rsidRPr="003E5DD9" w:rsidRDefault="00136E00" w:rsidP="00136E0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3E5DD9">
        <w:rPr>
          <w:sz w:val="24"/>
          <w:szCs w:val="24"/>
          <w:lang w:val="pt-BR"/>
        </w:rPr>
        <w:t>As etapas de processamento foram realizadas no software QGIS e compreenderam: (i) georreferenciamento da carta topográfica histórica; (</w:t>
      </w:r>
      <w:proofErr w:type="spellStart"/>
      <w:r w:rsidRPr="003E5DD9">
        <w:rPr>
          <w:sz w:val="24"/>
          <w:szCs w:val="24"/>
          <w:lang w:val="pt-BR"/>
        </w:rPr>
        <w:t>ii</w:t>
      </w:r>
      <w:proofErr w:type="spellEnd"/>
      <w:r w:rsidRPr="003E5DD9">
        <w:rPr>
          <w:sz w:val="24"/>
          <w:szCs w:val="24"/>
          <w:lang w:val="pt-BR"/>
        </w:rPr>
        <w:t>) vetorização da mancha urbana de 1971; (</w:t>
      </w:r>
      <w:proofErr w:type="spellStart"/>
      <w:r w:rsidRPr="003E5DD9">
        <w:rPr>
          <w:sz w:val="24"/>
          <w:szCs w:val="24"/>
          <w:lang w:val="pt-BR"/>
        </w:rPr>
        <w:t>iii</w:t>
      </w:r>
      <w:proofErr w:type="spellEnd"/>
      <w:r w:rsidRPr="003E5DD9">
        <w:rPr>
          <w:sz w:val="24"/>
          <w:szCs w:val="24"/>
          <w:lang w:val="pt-BR"/>
        </w:rPr>
        <w:t>) vetorização das áreas inundáveis representadas na cartografia histórica; (</w:t>
      </w:r>
      <w:proofErr w:type="spellStart"/>
      <w:r w:rsidRPr="003E5DD9">
        <w:rPr>
          <w:sz w:val="24"/>
          <w:szCs w:val="24"/>
          <w:lang w:val="pt-BR"/>
        </w:rPr>
        <w:t>iv</w:t>
      </w:r>
      <w:proofErr w:type="spellEnd"/>
      <w:r w:rsidRPr="003E5DD9">
        <w:rPr>
          <w:sz w:val="24"/>
          <w:szCs w:val="24"/>
          <w:lang w:val="pt-BR"/>
        </w:rPr>
        <w:t>) delimitação da mancha urbana de 2026 a partir da interpretação visual da imagem CBERS-4A/WPM; (v) sobreposição das camadas espaciais; e (vi) cálculo das áreas e da expansão urbana ocorrida sobre terrenos historicamente classificados como inundáveis.</w:t>
      </w:r>
    </w:p>
    <w:p w14:paraId="316D51BD" w14:textId="77777777" w:rsidR="00136E00" w:rsidRDefault="00136E00" w:rsidP="00136E0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3E5DD9">
        <w:rPr>
          <w:sz w:val="24"/>
          <w:szCs w:val="24"/>
          <w:lang w:val="pt-BR"/>
        </w:rPr>
        <w:t>Por fim, os resultados foram analisados por meio da comparação entre os dois períodos, utilizando indicadores de área para quantificar a expansão urbana total e a parcela dessa expansão ocorrida sobre áreas inundáveis. Essas informações subsidiaram a análise da evolução da ocupação territorial de Itajubá e sua relação com a gestão de riscos climáticos.</w:t>
      </w:r>
    </w:p>
    <w:p w14:paraId="27E9657E" w14:textId="65B57E15" w:rsidR="00BA26B9" w:rsidRDefault="00BA26B9" w:rsidP="00BA26B9">
      <w:pPr>
        <w:pStyle w:val="Corpodetexto"/>
        <w:jc w:val="center"/>
        <w:rPr>
          <w:lang w:val="pt-BR"/>
        </w:rPr>
      </w:pPr>
    </w:p>
    <w:p w14:paraId="71573541" w14:textId="156B4E67" w:rsidR="00E3782C" w:rsidRPr="003E5DD9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3E5DD9">
        <w:rPr>
          <w:b/>
          <w:bCs/>
          <w:sz w:val="28"/>
          <w:szCs w:val="28"/>
          <w:lang w:val="pt-BR"/>
        </w:rPr>
        <w:t>Resultados e Discussão</w:t>
      </w:r>
    </w:p>
    <w:p w14:paraId="500EEB9C" w14:textId="18913DF9" w:rsidR="00FE2D5B" w:rsidRDefault="00FE2D5B" w:rsidP="00FE2D5B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FE2D5B">
        <w:rPr>
          <w:sz w:val="24"/>
          <w:szCs w:val="24"/>
          <w:lang w:val="pt-BR"/>
        </w:rPr>
        <w:t>Os procedimentos de geoprocessamento permitiram a vetorização das manchas urbanas correspondentes aos anos de 1971 e 2026, bem como a delimitação das áreas inundáveis representadas na carta topográfica histórica. A Figura 1 apresenta</w:t>
      </w:r>
      <w:r w:rsidR="00516F1B">
        <w:rPr>
          <w:sz w:val="24"/>
          <w:szCs w:val="24"/>
          <w:lang w:val="pt-BR"/>
        </w:rPr>
        <w:t xml:space="preserve"> </w:t>
      </w:r>
      <w:r w:rsidRPr="00FE2D5B">
        <w:rPr>
          <w:sz w:val="24"/>
          <w:szCs w:val="24"/>
          <w:lang w:val="pt-BR"/>
        </w:rPr>
        <w:t xml:space="preserve">a mancha urbana </w:t>
      </w:r>
      <w:r w:rsidR="00516F1B">
        <w:rPr>
          <w:sz w:val="24"/>
          <w:szCs w:val="24"/>
          <w:lang w:val="pt-BR"/>
        </w:rPr>
        <w:t xml:space="preserve">e as áreas inundáveis identificadas </w:t>
      </w:r>
      <w:r w:rsidR="00516F1B" w:rsidRPr="00FE2D5B">
        <w:rPr>
          <w:sz w:val="24"/>
          <w:szCs w:val="24"/>
          <w:lang w:val="pt-BR"/>
        </w:rPr>
        <w:t>na cartografia do IBGE de 1971</w:t>
      </w:r>
      <w:r w:rsidR="00516F1B">
        <w:rPr>
          <w:sz w:val="24"/>
          <w:szCs w:val="24"/>
          <w:lang w:val="pt-BR"/>
        </w:rPr>
        <w:t>, e</w:t>
      </w:r>
      <w:r w:rsidRPr="00FE2D5B">
        <w:rPr>
          <w:sz w:val="24"/>
          <w:szCs w:val="24"/>
          <w:lang w:val="pt-BR"/>
        </w:rPr>
        <w:t xml:space="preserve"> a mancha urbana atual, delimitada a partir da interpretação visual da imagem do satélite CBERS-4A.</w:t>
      </w:r>
    </w:p>
    <w:p w14:paraId="71DF4779" w14:textId="77777777" w:rsidR="009A751D" w:rsidRPr="00FE2D5B" w:rsidRDefault="009A751D" w:rsidP="009A751D">
      <w:pPr>
        <w:pStyle w:val="Corpodetexto"/>
        <w:jc w:val="center"/>
        <w:rPr>
          <w:sz w:val="24"/>
          <w:szCs w:val="24"/>
          <w:lang w:val="pt-BR"/>
        </w:rPr>
      </w:pPr>
    </w:p>
    <w:p w14:paraId="638AEB18" w14:textId="10A61F64" w:rsidR="00FE2D5B" w:rsidRPr="003A238A" w:rsidRDefault="00FE2D5B" w:rsidP="00FE2D5B">
      <w:pPr>
        <w:pStyle w:val="Corpodetexto"/>
        <w:jc w:val="center"/>
        <w:rPr>
          <w:b/>
          <w:bCs/>
          <w:lang w:val="pt-BR"/>
        </w:rPr>
      </w:pPr>
      <w:r w:rsidRPr="003A238A">
        <w:rPr>
          <w:b/>
          <w:bCs/>
          <w:lang w:val="pt-BR"/>
        </w:rPr>
        <w:t xml:space="preserve">Figura 1 – </w:t>
      </w:r>
      <w:r>
        <w:rPr>
          <w:b/>
          <w:bCs/>
          <w:lang w:val="pt-BR"/>
        </w:rPr>
        <w:t>À esquerda (A), vetorização sobre Carta do IBGE de 1971. À direita (B), mancha urbana de 2026 sobre a</w:t>
      </w:r>
      <w:r w:rsidRPr="00400C39"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>imagem do CBERS-4A de 12/05/2026.</w:t>
      </w:r>
    </w:p>
    <w:p w14:paraId="1E3A5BA2" w14:textId="69DAB4FE" w:rsidR="009C7209" w:rsidRDefault="009C7209" w:rsidP="00FE2D5B">
      <w:pPr>
        <w:pStyle w:val="Corpodetexto"/>
        <w:jc w:val="center"/>
        <w:rPr>
          <w:b/>
          <w:bCs/>
          <w:lang w:val="pt-BR"/>
        </w:rPr>
      </w:pPr>
      <w:r w:rsidRPr="009C7209">
        <w:rPr>
          <w:b/>
          <w:bCs/>
          <w:noProof/>
          <w:lang w:val="pt-BR"/>
        </w:rPr>
        <w:drawing>
          <wp:inline distT="0" distB="0" distL="0" distR="0" wp14:anchorId="065E7617" wp14:editId="27405219">
            <wp:extent cx="5196205" cy="2369928"/>
            <wp:effectExtent l="0" t="0" r="4445" b="0"/>
            <wp:docPr id="1634779106" name="Imagem 1" descr="Desenho de personagem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779106" name="Imagem 1" descr="Desenho de personagem&#10;&#10;Descrição gerada automaticamente com confiança baixa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8226" cy="237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F2246" w14:textId="7BA258EC" w:rsidR="00FE2D5B" w:rsidRDefault="00FE2D5B" w:rsidP="00FE2D5B">
      <w:pPr>
        <w:pStyle w:val="Corpodetexto"/>
        <w:jc w:val="center"/>
        <w:rPr>
          <w:lang w:val="pt-BR"/>
        </w:rPr>
      </w:pPr>
      <w:r w:rsidRPr="001660F3">
        <w:rPr>
          <w:lang w:val="pt-BR"/>
        </w:rPr>
        <w:t>Fonte: IBGE (1971)</w:t>
      </w:r>
      <w:r>
        <w:rPr>
          <w:lang w:val="pt-BR"/>
        </w:rPr>
        <w:t xml:space="preserve">, INPE (2026) </w:t>
      </w:r>
      <w:r w:rsidRPr="001660F3">
        <w:rPr>
          <w:lang w:val="pt-BR"/>
        </w:rPr>
        <w:t>e vetorização realizada</w:t>
      </w:r>
      <w:r>
        <w:rPr>
          <w:lang w:val="pt-BR"/>
        </w:rPr>
        <w:t xml:space="preserve"> </w:t>
      </w:r>
      <w:r w:rsidRPr="001660F3">
        <w:rPr>
          <w:lang w:val="pt-BR"/>
        </w:rPr>
        <w:t>pelos Autores.</w:t>
      </w:r>
      <w:r w:rsidR="002B7A10" w:rsidRPr="002B7A10">
        <w:t xml:space="preserve"> </w:t>
      </w:r>
      <w:r w:rsidR="002B7A10">
        <w:fldChar w:fldCharType="begin"/>
      </w:r>
      <w:r w:rsidR="002B7A10">
        <w:instrText xml:space="preserve"> INCLUDEPICTURE "/Users/rodrigo/Library/Group Containers/UBF8T346G9.ms/WebArchiveCopyPasteTempFiles/com.microsoft.Word/bussola-vetorial-em-um-fundo-isolado-direcao-icone-de-bussola-vetorial_910989-3418.jpg?semt=ais_hybrid&amp;w=740&amp;q=80" \* MERGEFORMATINET </w:instrText>
      </w:r>
      <w:r w:rsidR="002B7A10">
        <w:fldChar w:fldCharType="separate"/>
      </w:r>
      <w:r w:rsidR="002B7A10">
        <w:fldChar w:fldCharType="end"/>
      </w:r>
    </w:p>
    <w:p w14:paraId="150772E9" w14:textId="723322A6" w:rsidR="00AD34A7" w:rsidRDefault="00651F90" w:rsidP="00AD34A7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651F90">
        <w:rPr>
          <w:sz w:val="24"/>
          <w:szCs w:val="24"/>
          <w:lang w:val="pt-BR"/>
        </w:rPr>
        <w:lastRenderedPageBreak/>
        <w:t>A análise espaço-temporal evidenciou uma expressiva expansão da mancha urbana de Itajubá entre 1971 e 2026</w:t>
      </w:r>
      <w:r w:rsidR="006D06E2">
        <w:rPr>
          <w:sz w:val="24"/>
          <w:szCs w:val="24"/>
          <w:lang w:val="pt-BR"/>
        </w:rPr>
        <w:t xml:space="preserve">, demonstrada na Figura </w:t>
      </w:r>
      <w:r w:rsidR="00516F1B">
        <w:rPr>
          <w:sz w:val="24"/>
          <w:szCs w:val="24"/>
          <w:lang w:val="pt-BR"/>
        </w:rPr>
        <w:t>2</w:t>
      </w:r>
      <w:r w:rsidR="006D06E2">
        <w:rPr>
          <w:sz w:val="24"/>
          <w:szCs w:val="24"/>
          <w:lang w:val="pt-BR"/>
        </w:rPr>
        <w:t>.</w:t>
      </w:r>
      <w:r w:rsidRPr="00651F90">
        <w:rPr>
          <w:sz w:val="24"/>
          <w:szCs w:val="24"/>
          <w:lang w:val="pt-BR"/>
        </w:rPr>
        <w:t xml:space="preserve"> Em 1971, a área urbanizada correspondia a 4,350 km², passando para 18,376 km² em 2026. Em termos de área total, a mancha urbana tornou-se aproximadamente 4,2 vezes maior que a observada na cartografia histórica. A análise por sobreposição identificou uma expansão urbana de 14,544 km², correspondente às áreas efetivamente incorporadas ao tecido urbano entre os dois períodos.</w:t>
      </w:r>
    </w:p>
    <w:p w14:paraId="0306B8F0" w14:textId="77777777" w:rsidR="00775BB1" w:rsidRPr="00775BB1" w:rsidRDefault="00775BB1" w:rsidP="00A8241C">
      <w:pPr>
        <w:pStyle w:val="Corpodetexto"/>
        <w:jc w:val="center"/>
        <w:rPr>
          <w:b/>
          <w:bCs/>
          <w:lang w:val="pt-BR"/>
        </w:rPr>
      </w:pPr>
    </w:p>
    <w:p w14:paraId="721B441B" w14:textId="6EFE837D" w:rsidR="00A8241C" w:rsidRPr="003A238A" w:rsidRDefault="00A8241C" w:rsidP="00A8241C">
      <w:pPr>
        <w:pStyle w:val="Corpodetexto"/>
        <w:jc w:val="center"/>
        <w:rPr>
          <w:b/>
          <w:bCs/>
          <w:lang w:val="pt-BR"/>
        </w:rPr>
      </w:pPr>
      <w:r w:rsidRPr="003A238A">
        <w:rPr>
          <w:b/>
          <w:bCs/>
          <w:lang w:val="pt-BR"/>
        </w:rPr>
        <w:t xml:space="preserve">Figura </w:t>
      </w:r>
      <w:r w:rsidR="00516F1B">
        <w:rPr>
          <w:b/>
          <w:bCs/>
          <w:lang w:val="pt-BR"/>
        </w:rPr>
        <w:t>2</w:t>
      </w:r>
      <w:r w:rsidRPr="003A238A">
        <w:rPr>
          <w:b/>
          <w:bCs/>
          <w:lang w:val="pt-BR"/>
        </w:rPr>
        <w:t xml:space="preserve"> – </w:t>
      </w:r>
      <w:r>
        <w:rPr>
          <w:b/>
          <w:bCs/>
          <w:lang w:val="pt-BR"/>
        </w:rPr>
        <w:t>Expansão urbana de Itajubá</w:t>
      </w:r>
      <w:r w:rsidR="00F836CF">
        <w:rPr>
          <w:b/>
          <w:bCs/>
          <w:lang w:val="pt-BR"/>
        </w:rPr>
        <w:t>:</w:t>
      </w:r>
      <w:r>
        <w:rPr>
          <w:b/>
          <w:bCs/>
          <w:lang w:val="pt-BR"/>
        </w:rPr>
        <w:t xml:space="preserve"> </w:t>
      </w:r>
      <w:r w:rsidR="00516F1B">
        <w:rPr>
          <w:b/>
          <w:bCs/>
          <w:lang w:val="pt-BR"/>
        </w:rPr>
        <w:t xml:space="preserve">sobreposição das manchas urbanas de </w:t>
      </w:r>
      <w:r>
        <w:rPr>
          <w:b/>
          <w:bCs/>
          <w:lang w:val="pt-BR"/>
        </w:rPr>
        <w:t>1971</w:t>
      </w:r>
      <w:r w:rsidR="00516F1B">
        <w:rPr>
          <w:b/>
          <w:bCs/>
          <w:lang w:val="pt-BR"/>
        </w:rPr>
        <w:t xml:space="preserve"> e</w:t>
      </w:r>
      <w:r w:rsidR="00F836CF">
        <w:rPr>
          <w:b/>
          <w:bCs/>
          <w:lang w:val="pt-BR"/>
        </w:rPr>
        <w:t xml:space="preserve"> de 2026</w:t>
      </w:r>
      <w:r>
        <w:rPr>
          <w:b/>
          <w:bCs/>
          <w:lang w:val="pt-BR"/>
        </w:rPr>
        <w:t>.</w:t>
      </w:r>
    </w:p>
    <w:p w14:paraId="3C8834D8" w14:textId="5FB42982" w:rsidR="009C7209" w:rsidRDefault="009C7209" w:rsidP="006D06E2">
      <w:pPr>
        <w:pStyle w:val="Corpodetexto"/>
        <w:jc w:val="center"/>
        <w:rPr>
          <w:sz w:val="24"/>
          <w:szCs w:val="24"/>
          <w:lang w:val="pt-BR"/>
        </w:rPr>
      </w:pPr>
      <w:r w:rsidRPr="009C7209">
        <w:rPr>
          <w:noProof/>
          <w:sz w:val="24"/>
          <w:szCs w:val="24"/>
          <w:lang w:val="pt-BR"/>
        </w:rPr>
        <w:drawing>
          <wp:inline distT="0" distB="0" distL="0" distR="0" wp14:anchorId="1DA94B4D" wp14:editId="11528A0E">
            <wp:extent cx="4624456" cy="2340000"/>
            <wp:effectExtent l="0" t="0" r="0" b="0"/>
            <wp:docPr id="1357989729" name="Imagem 1" descr="Foto de uma florest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89729" name="Imagem 1" descr="Foto de uma floresta&#10;&#10;Descrição gerada automaticamente com confiança baixa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24456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A4594" w14:textId="670B6E02" w:rsidR="006D06E2" w:rsidRDefault="006D06E2" w:rsidP="006D06E2">
      <w:pPr>
        <w:pStyle w:val="Corpodetexto"/>
        <w:jc w:val="center"/>
        <w:rPr>
          <w:lang w:val="pt-BR"/>
        </w:rPr>
      </w:pPr>
      <w:r w:rsidRPr="008D1340">
        <w:rPr>
          <w:lang w:val="pt-BR"/>
        </w:rPr>
        <w:t>Fonte: elaborado pelos Autores.</w:t>
      </w:r>
    </w:p>
    <w:p w14:paraId="3D68FD18" w14:textId="77777777" w:rsidR="005919B5" w:rsidRDefault="005919B5" w:rsidP="006D06E2">
      <w:pPr>
        <w:pStyle w:val="Corpodetexto"/>
        <w:jc w:val="center"/>
        <w:rPr>
          <w:lang w:val="pt-BR"/>
        </w:rPr>
      </w:pPr>
    </w:p>
    <w:p w14:paraId="1E6C8C92" w14:textId="40551A38" w:rsidR="00AD34A7" w:rsidRDefault="00AD34A7" w:rsidP="00AD34A7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AD34A7">
        <w:rPr>
          <w:sz w:val="24"/>
          <w:szCs w:val="24"/>
          <w:lang w:val="pt-BR"/>
        </w:rPr>
        <w:t>A carta de 1971 identificava 9,519 km² de áreas inundáveis. A sobreposição espacial entre a expansão urbana e essas áreas</w:t>
      </w:r>
      <w:r w:rsidR="005919B5">
        <w:rPr>
          <w:sz w:val="24"/>
          <w:szCs w:val="24"/>
          <w:lang w:val="pt-BR"/>
        </w:rPr>
        <w:t xml:space="preserve"> </w:t>
      </w:r>
      <w:r w:rsidRPr="00AD34A7">
        <w:rPr>
          <w:sz w:val="24"/>
          <w:szCs w:val="24"/>
          <w:lang w:val="pt-BR"/>
        </w:rPr>
        <w:t>revelou que 3,779 km² da nova ocupação ocorreram sobre terrenos historicamente mapeados como suscetíveis a inundações</w:t>
      </w:r>
      <w:r w:rsidR="00BA26B9">
        <w:rPr>
          <w:sz w:val="24"/>
          <w:szCs w:val="24"/>
          <w:lang w:val="pt-BR"/>
        </w:rPr>
        <w:t xml:space="preserve"> (Figura </w:t>
      </w:r>
      <w:r w:rsidR="00516F1B">
        <w:rPr>
          <w:sz w:val="24"/>
          <w:szCs w:val="24"/>
          <w:lang w:val="pt-BR"/>
        </w:rPr>
        <w:t>3</w:t>
      </w:r>
      <w:r w:rsidR="00BA26B9">
        <w:rPr>
          <w:sz w:val="24"/>
          <w:szCs w:val="24"/>
          <w:lang w:val="pt-BR"/>
        </w:rPr>
        <w:t>)</w:t>
      </w:r>
      <w:r w:rsidRPr="00AD34A7">
        <w:rPr>
          <w:sz w:val="24"/>
          <w:szCs w:val="24"/>
          <w:lang w:val="pt-BR"/>
        </w:rPr>
        <w:t>. Esse valor corresponde a 26,0% de toda a expansão urbana registrada entre 1971 e 2026 e representa a ocupação de cerca de 39,7% das áreas inundáveis existentes na cartografia histórica.</w:t>
      </w:r>
    </w:p>
    <w:p w14:paraId="5BD8CC59" w14:textId="77777777" w:rsidR="00775BB1" w:rsidRDefault="00775BB1" w:rsidP="005919B5">
      <w:pPr>
        <w:pStyle w:val="Corpodetexto"/>
        <w:jc w:val="center"/>
        <w:rPr>
          <w:b/>
          <w:bCs/>
          <w:lang w:val="pt-BR"/>
        </w:rPr>
      </w:pPr>
    </w:p>
    <w:p w14:paraId="21FFDDA5" w14:textId="3FC0EB48" w:rsidR="005919B5" w:rsidRPr="003A238A" w:rsidRDefault="005919B5" w:rsidP="005919B5">
      <w:pPr>
        <w:pStyle w:val="Corpodetexto"/>
        <w:jc w:val="center"/>
        <w:rPr>
          <w:b/>
          <w:bCs/>
          <w:lang w:val="pt-BR"/>
        </w:rPr>
      </w:pPr>
      <w:r w:rsidRPr="003A238A">
        <w:rPr>
          <w:b/>
          <w:bCs/>
          <w:lang w:val="pt-BR"/>
        </w:rPr>
        <w:t xml:space="preserve">Figura </w:t>
      </w:r>
      <w:r w:rsidR="009C7209">
        <w:rPr>
          <w:b/>
          <w:bCs/>
          <w:lang w:val="pt-BR"/>
        </w:rPr>
        <w:t>3</w:t>
      </w:r>
      <w:r w:rsidRPr="003A238A">
        <w:rPr>
          <w:b/>
          <w:bCs/>
          <w:lang w:val="pt-BR"/>
        </w:rPr>
        <w:t xml:space="preserve"> – </w:t>
      </w:r>
      <w:r>
        <w:rPr>
          <w:b/>
          <w:bCs/>
          <w:lang w:val="pt-BR"/>
        </w:rPr>
        <w:t xml:space="preserve">Expansão urbana sobre áreas inundáveis, em rosa – 39,7% das áreas inundáveis </w:t>
      </w:r>
      <w:r w:rsidR="00775BB1">
        <w:rPr>
          <w:b/>
          <w:bCs/>
          <w:lang w:val="pt-BR"/>
        </w:rPr>
        <w:t>d</w:t>
      </w:r>
      <w:r>
        <w:rPr>
          <w:b/>
          <w:bCs/>
          <w:lang w:val="pt-BR"/>
        </w:rPr>
        <w:t>e 1971.</w:t>
      </w:r>
    </w:p>
    <w:p w14:paraId="19254CF4" w14:textId="0327B351" w:rsidR="009C7209" w:rsidRDefault="009C7209" w:rsidP="005919B5">
      <w:pPr>
        <w:pStyle w:val="Corpodetexto"/>
        <w:jc w:val="center"/>
        <w:rPr>
          <w:sz w:val="24"/>
          <w:szCs w:val="24"/>
          <w:lang w:val="pt-BR"/>
        </w:rPr>
      </w:pPr>
      <w:r w:rsidRPr="009C7209">
        <w:rPr>
          <w:noProof/>
          <w:sz w:val="24"/>
          <w:szCs w:val="24"/>
          <w:lang w:val="pt-BR"/>
        </w:rPr>
        <w:drawing>
          <wp:inline distT="0" distB="0" distL="0" distR="0" wp14:anchorId="2516D643" wp14:editId="196C0FDE">
            <wp:extent cx="4786004" cy="2340000"/>
            <wp:effectExtent l="0" t="0" r="1905" b="0"/>
            <wp:docPr id="829226711" name="Imagem 1" descr="Uma imagem contendo bolo, mesa, flor, em pé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226711" name="Imagem 1" descr="Uma imagem contendo bolo, mesa, flor, em pé&#10;&#10;Descrição gerada automa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86004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2D2B4" w14:textId="2DFB34CC" w:rsidR="005919B5" w:rsidRDefault="005919B5" w:rsidP="005919B5">
      <w:pPr>
        <w:pStyle w:val="Corpodetexto"/>
        <w:jc w:val="center"/>
        <w:rPr>
          <w:lang w:val="pt-BR"/>
        </w:rPr>
      </w:pPr>
      <w:r w:rsidRPr="008D1340">
        <w:rPr>
          <w:lang w:val="pt-BR"/>
        </w:rPr>
        <w:t>Fonte: elaborado pelos Autores.</w:t>
      </w:r>
    </w:p>
    <w:p w14:paraId="0E06A9F5" w14:textId="77777777" w:rsidR="005919B5" w:rsidRDefault="005919B5" w:rsidP="005919B5">
      <w:pPr>
        <w:pStyle w:val="Corpodetexto"/>
        <w:spacing w:before="1"/>
        <w:jc w:val="both"/>
        <w:rPr>
          <w:sz w:val="24"/>
          <w:szCs w:val="24"/>
          <w:lang w:val="pt-BR"/>
        </w:rPr>
      </w:pPr>
    </w:p>
    <w:p w14:paraId="4B56FA74" w14:textId="6033D5B9" w:rsidR="005F7562" w:rsidRPr="005F7562" w:rsidRDefault="005F7562" w:rsidP="005F7562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5F7562">
        <w:rPr>
          <w:sz w:val="24"/>
          <w:szCs w:val="24"/>
          <w:lang w:val="pt-BR"/>
        </w:rPr>
        <w:t>A análise espacial evidenciou</w:t>
      </w:r>
      <w:r w:rsidR="00C5285C">
        <w:rPr>
          <w:sz w:val="24"/>
          <w:szCs w:val="24"/>
          <w:lang w:val="pt-BR"/>
        </w:rPr>
        <w:t>, ainda,</w:t>
      </w:r>
      <w:r w:rsidRPr="005F7562">
        <w:rPr>
          <w:sz w:val="24"/>
          <w:szCs w:val="24"/>
          <w:lang w:val="pt-BR"/>
        </w:rPr>
        <w:t xml:space="preserve"> que a ocupação das áreas inundáveis ocorreu de forma concentrada em três setores do município. Na porção norte, destacou-se a expansão residencial associada à implantação dos bairros Pinheirinho e BPS, destinada predominantemente à população de média e alta renda. Na região sul, a expansão também foi majoritariamente residencial, abrangendo os bairros Medicina e Anhumas. Já na porção oeste, observou-se o avanço do Distrito Industrial sobre áreas inundáveis </w:t>
      </w:r>
      <w:r w:rsidR="00C5285C">
        <w:rPr>
          <w:sz w:val="24"/>
          <w:szCs w:val="24"/>
          <w:lang w:val="pt-BR"/>
        </w:rPr>
        <w:t>junto</w:t>
      </w:r>
      <w:r w:rsidRPr="005F7562">
        <w:rPr>
          <w:sz w:val="24"/>
          <w:szCs w:val="24"/>
          <w:lang w:val="pt-BR"/>
        </w:rPr>
        <w:t xml:space="preserve"> ao Ribeirão Piranguçu</w:t>
      </w:r>
      <w:r w:rsidR="00CE3480">
        <w:rPr>
          <w:sz w:val="24"/>
          <w:szCs w:val="24"/>
          <w:lang w:val="pt-BR"/>
        </w:rPr>
        <w:t>, bem como dos bairros residenciais populares Boa Vista, Vila Rubens, São Judas Tadeu e Santos Dumont.</w:t>
      </w:r>
      <w:r w:rsidRPr="005F7562">
        <w:rPr>
          <w:sz w:val="24"/>
          <w:szCs w:val="24"/>
          <w:lang w:val="pt-BR"/>
        </w:rPr>
        <w:t xml:space="preserve"> </w:t>
      </w:r>
      <w:r w:rsidR="0098383E">
        <w:rPr>
          <w:sz w:val="24"/>
          <w:szCs w:val="24"/>
          <w:lang w:val="pt-BR"/>
        </w:rPr>
        <w:t>Evidencia-se</w:t>
      </w:r>
      <w:r w:rsidR="00C5285C">
        <w:rPr>
          <w:sz w:val="24"/>
          <w:szCs w:val="24"/>
          <w:lang w:val="pt-BR"/>
        </w:rPr>
        <w:t xml:space="preserve"> </w:t>
      </w:r>
      <w:r w:rsidRPr="005F7562">
        <w:rPr>
          <w:sz w:val="24"/>
          <w:szCs w:val="24"/>
          <w:lang w:val="pt-BR"/>
        </w:rPr>
        <w:t>que a ocupação de áreas suscetíveis a inundações esteve relacionada tanto ao crescimento de bairros residenciais quanto à expansão das atividades industriais.</w:t>
      </w:r>
    </w:p>
    <w:p w14:paraId="2AC649D5" w14:textId="3E2CF757" w:rsidR="00775BB1" w:rsidRDefault="00775BB1" w:rsidP="005F7562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775BB1">
        <w:rPr>
          <w:sz w:val="24"/>
          <w:szCs w:val="24"/>
          <w:lang w:val="pt-BR"/>
        </w:rPr>
        <w:t>Os resultados também indicam que a ocupação das áreas inundáveis não ocorreu de forma pontual ou isolada, mas acompanhou o próprio processo de expansão urbana do município. O fato de aproximadamente 26% de toda a expansão registrada entre 1971 e 2026 ter ocorrido sobre áreas classificadas como inundáveis demonstra que esses terrenos desempenharam papel relevante na consolidação da malha urbana. Da mesma forma, a ocupação de 39,7% das áreas inundáveis mapeadas em 1971 evidencia uma redução expressiva da disponibilidade desses espaços, associados ao escoamento natural das águas.</w:t>
      </w:r>
    </w:p>
    <w:p w14:paraId="62D31120" w14:textId="526FEC3A" w:rsidR="005F7562" w:rsidRPr="005F7562" w:rsidRDefault="0098383E" w:rsidP="005F7562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AD34A7">
        <w:rPr>
          <w:sz w:val="24"/>
          <w:szCs w:val="24"/>
          <w:lang w:val="pt-BR"/>
        </w:rPr>
        <w:t xml:space="preserve">Embora o presente </w:t>
      </w:r>
      <w:proofErr w:type="gramStart"/>
      <w:r w:rsidRPr="00AD34A7">
        <w:rPr>
          <w:sz w:val="24"/>
          <w:szCs w:val="24"/>
          <w:lang w:val="pt-BR"/>
        </w:rPr>
        <w:t>estudo</w:t>
      </w:r>
      <w:proofErr w:type="gramEnd"/>
      <w:r w:rsidRPr="00AD34A7">
        <w:rPr>
          <w:sz w:val="24"/>
          <w:szCs w:val="24"/>
          <w:lang w:val="pt-BR"/>
        </w:rPr>
        <w:t xml:space="preserve"> não tenha como objetivo estabelecer relações diretas </w:t>
      </w:r>
      <w:r>
        <w:rPr>
          <w:sz w:val="24"/>
          <w:szCs w:val="24"/>
          <w:lang w:val="pt-BR"/>
        </w:rPr>
        <w:t xml:space="preserve">entre essas </w:t>
      </w:r>
      <w:r w:rsidR="005F7562" w:rsidRPr="005F7562">
        <w:rPr>
          <w:sz w:val="24"/>
          <w:szCs w:val="24"/>
          <w:lang w:val="pt-BR"/>
        </w:rPr>
        <w:t>áreas e a ocorrência de inundações, os resultados reforçam a importância da utilização de informações cartográficas históricas e técnicas de geoprocessamento no planejamento territorial. A incorporação dessas informações aos processos de gestão urbana pode subsidiar decisões mais fundamentadas, contribuindo para reduzir a ocupação de áreas vulneráveis e fortalecer a resiliência do município frente aos riscos hidrológicos.</w:t>
      </w:r>
    </w:p>
    <w:p w14:paraId="1E7D8B07" w14:textId="77777777" w:rsidR="00E3782C" w:rsidRDefault="00E3782C" w:rsidP="009C4B75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</w:p>
    <w:p w14:paraId="1C25DF7A" w14:textId="372C7B0C" w:rsidR="00243512" w:rsidRPr="003E5DD9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  <w:lang w:val="pt-BR"/>
        </w:rPr>
      </w:pPr>
      <w:r w:rsidRPr="003E5DD9">
        <w:rPr>
          <w:b/>
          <w:bCs/>
          <w:sz w:val="28"/>
          <w:szCs w:val="28"/>
          <w:lang w:val="pt-BR"/>
        </w:rPr>
        <w:t>Conclusão</w:t>
      </w:r>
    </w:p>
    <w:p w14:paraId="1F4EBEC2" w14:textId="77777777" w:rsidR="002D3276" w:rsidRDefault="00BA26B9" w:rsidP="00026973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Este</w:t>
      </w:r>
      <w:r w:rsidR="00026973" w:rsidRPr="00026973">
        <w:rPr>
          <w:sz w:val="24"/>
          <w:szCs w:val="24"/>
          <w:lang w:val="pt-BR"/>
        </w:rPr>
        <w:t xml:space="preserve"> estudo permitiu analisar a evolução da mancha urbana de Itajubá (MG) entre 1971 e 2026 e verificar sua relação com áreas historicamente mapeadas como inundáveis. Os resultados evidenciaram um expressivo crescimento da ocupação urbana ao longo do período analisado, bem como a incorporação de parcela significativa de áreas anteriormente identificadas como suscetíveis a inundações.</w:t>
      </w:r>
    </w:p>
    <w:p w14:paraId="76124A03" w14:textId="1BD9BE3E" w:rsidR="002D3276" w:rsidRDefault="00026973" w:rsidP="00A517AD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026973">
        <w:rPr>
          <w:sz w:val="24"/>
          <w:szCs w:val="24"/>
          <w:lang w:val="pt-BR"/>
        </w:rPr>
        <w:t>Esses achados reforçam a importância da consideração das características ambientais no processo de expansão urbana e demonstram o potencial da cartografia histórica</w:t>
      </w:r>
      <w:r w:rsidR="002D3276">
        <w:rPr>
          <w:sz w:val="24"/>
          <w:szCs w:val="24"/>
          <w:lang w:val="pt-BR"/>
        </w:rPr>
        <w:t>, de imagens de satélite</w:t>
      </w:r>
      <w:r w:rsidRPr="00026973">
        <w:rPr>
          <w:sz w:val="24"/>
          <w:szCs w:val="24"/>
          <w:lang w:val="pt-BR"/>
        </w:rPr>
        <w:t xml:space="preserve"> </w:t>
      </w:r>
      <w:r w:rsidR="002D3276">
        <w:rPr>
          <w:sz w:val="24"/>
          <w:szCs w:val="24"/>
          <w:lang w:val="pt-BR"/>
        </w:rPr>
        <w:t xml:space="preserve">e do geoprocessamento </w:t>
      </w:r>
      <w:r w:rsidRPr="00026973">
        <w:rPr>
          <w:sz w:val="24"/>
          <w:szCs w:val="24"/>
          <w:lang w:val="pt-BR"/>
        </w:rPr>
        <w:t>para compreender a evolução da ocupação do território.</w:t>
      </w:r>
    </w:p>
    <w:p w14:paraId="0327A3B6" w14:textId="5F2052B8" w:rsidR="00026973" w:rsidRDefault="00026973" w:rsidP="00026973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026973">
        <w:rPr>
          <w:sz w:val="24"/>
          <w:szCs w:val="24"/>
          <w:lang w:val="pt-BR"/>
        </w:rPr>
        <w:lastRenderedPageBreak/>
        <w:t>Como perspectiva para trabalhos futuros, recomenda-se ampliar a análise para diferentes períodos históricos e incorporar variáveis como declividade, uso e cobertura da terra e modelagem hidrológica, possibilitando uma compreensão mais abrangente da dinâmica de ocupação das áreas suscetíveis a inundações.</w:t>
      </w:r>
    </w:p>
    <w:p w14:paraId="78217199" w14:textId="30787973" w:rsidR="00026973" w:rsidRPr="003E5DD9" w:rsidRDefault="00026973" w:rsidP="00026973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E</w:t>
      </w:r>
      <w:r w:rsidRPr="00026973">
        <w:rPr>
          <w:sz w:val="24"/>
          <w:szCs w:val="24"/>
          <w:lang w:val="pt-BR"/>
        </w:rPr>
        <w:t>spera-se que os resultados obtidos possam subsidiar futuras revisões do planejamento urbano municipal, contribuindo para reduzir a ocupação de áreas vulneráveis e fortalecer a resiliência da cidade frente aos eventos hidrológicos extremos.</w:t>
      </w:r>
    </w:p>
    <w:p w14:paraId="1459CD48" w14:textId="77777777" w:rsidR="009C4B75" w:rsidRPr="003E5DD9" w:rsidRDefault="009C4B75" w:rsidP="009C4B7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58B32154" w14:textId="3AF5B758" w:rsidR="00624629" w:rsidRPr="003E5DD9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  <w:lang w:val="pt-BR"/>
        </w:rPr>
      </w:pPr>
      <w:r w:rsidRPr="003E5DD9">
        <w:rPr>
          <w:b/>
          <w:bCs/>
          <w:sz w:val="28"/>
          <w:szCs w:val="28"/>
          <w:lang w:val="pt-BR"/>
        </w:rPr>
        <w:t>Agradecimentos</w:t>
      </w:r>
    </w:p>
    <w:p w14:paraId="731FE0DA" w14:textId="2AAA1EAE" w:rsidR="005F70B0" w:rsidRPr="003E5DD9" w:rsidRDefault="00624629" w:rsidP="009C4B75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  <w:r w:rsidRPr="003E5DD9">
        <w:rPr>
          <w:sz w:val="24"/>
          <w:szCs w:val="24"/>
          <w:lang w:val="pt-BR"/>
        </w:rPr>
        <w:tab/>
      </w:r>
      <w:r w:rsidR="00026973" w:rsidRPr="00026973">
        <w:rPr>
          <w:sz w:val="24"/>
          <w:szCs w:val="24"/>
          <w:lang w:val="pt-BR"/>
        </w:rPr>
        <w:t>Os autores agradecem à Coordenação de Aperfeiçoamento de Pessoal de Nível Superior (CAPES) pela concessão da bolsa de estudos que viabilizou sua realização.</w:t>
      </w:r>
      <w:r w:rsidR="00026973">
        <w:rPr>
          <w:sz w:val="24"/>
          <w:szCs w:val="24"/>
          <w:lang w:val="pt-BR"/>
        </w:rPr>
        <w:t xml:space="preserve"> </w:t>
      </w:r>
    </w:p>
    <w:p w14:paraId="29AC6C40" w14:textId="77777777" w:rsidR="009C4B75" w:rsidRPr="003E5DD9" w:rsidRDefault="009C4B75" w:rsidP="009C4B75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</w:p>
    <w:p w14:paraId="46C53EB6" w14:textId="178C0EC9" w:rsidR="00624629" w:rsidRPr="003E5DD9" w:rsidRDefault="00624629" w:rsidP="00624629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  <w:r w:rsidRPr="003E5DD9">
        <w:rPr>
          <w:b/>
          <w:bCs/>
          <w:sz w:val="28"/>
          <w:szCs w:val="28"/>
          <w:lang w:val="pt-BR"/>
        </w:rPr>
        <w:t>Referências</w:t>
      </w:r>
    </w:p>
    <w:p w14:paraId="4CF17F62" w14:textId="4AA20D4F" w:rsidR="00026973" w:rsidRDefault="00C716D1" w:rsidP="00026973">
      <w:pPr>
        <w:pStyle w:val="Corpodetexto"/>
        <w:jc w:val="both"/>
        <w:rPr>
          <w:sz w:val="24"/>
          <w:szCs w:val="24"/>
          <w:lang w:val="pt-BR"/>
        </w:rPr>
      </w:pPr>
      <w:r w:rsidRPr="00C716D1">
        <w:rPr>
          <w:sz w:val="24"/>
          <w:szCs w:val="24"/>
          <w:lang w:val="pt-BR"/>
        </w:rPr>
        <w:t xml:space="preserve">FARIA, </w:t>
      </w:r>
      <w:proofErr w:type="spellStart"/>
      <w:r w:rsidRPr="00C716D1">
        <w:rPr>
          <w:sz w:val="24"/>
          <w:szCs w:val="24"/>
          <w:lang w:val="pt-BR"/>
        </w:rPr>
        <w:t>Caik</w:t>
      </w:r>
      <w:proofErr w:type="spellEnd"/>
      <w:r w:rsidRPr="00C716D1">
        <w:rPr>
          <w:sz w:val="24"/>
          <w:szCs w:val="24"/>
          <w:lang w:val="pt-BR"/>
        </w:rPr>
        <w:t xml:space="preserve"> Elisio Tonelli; BARBOSA, Alexandre Augusto. Manchas de inundação no município de Itajubá-MG. </w:t>
      </w:r>
      <w:proofErr w:type="spellStart"/>
      <w:r w:rsidRPr="00C716D1">
        <w:rPr>
          <w:b/>
          <w:bCs/>
          <w:sz w:val="24"/>
          <w:szCs w:val="24"/>
          <w:lang w:val="pt-BR"/>
        </w:rPr>
        <w:t>ForScience</w:t>
      </w:r>
      <w:proofErr w:type="spellEnd"/>
      <w:r w:rsidRPr="00C716D1">
        <w:rPr>
          <w:sz w:val="24"/>
          <w:szCs w:val="24"/>
          <w:lang w:val="pt-BR"/>
        </w:rPr>
        <w:t>, Formiga, v. 8, n. 2, e00594, jul./dez. 2020. DOI: 10.29069/forscience.2020v8n2.e594</w:t>
      </w:r>
      <w:r w:rsidR="00026973" w:rsidRPr="00026973">
        <w:rPr>
          <w:sz w:val="24"/>
          <w:szCs w:val="24"/>
          <w:lang w:val="pt-BR"/>
        </w:rPr>
        <w:t>.</w:t>
      </w:r>
    </w:p>
    <w:p w14:paraId="7E76F751" w14:textId="77777777" w:rsidR="00026973" w:rsidRPr="00026973" w:rsidRDefault="00026973" w:rsidP="00026973">
      <w:pPr>
        <w:pStyle w:val="Corpodetexto"/>
        <w:jc w:val="both"/>
        <w:rPr>
          <w:sz w:val="24"/>
          <w:szCs w:val="24"/>
          <w:lang w:val="pt-BR"/>
        </w:rPr>
      </w:pPr>
    </w:p>
    <w:p w14:paraId="67B0B5BB" w14:textId="5817B65E" w:rsidR="00026973" w:rsidRDefault="00026973" w:rsidP="00026973">
      <w:pPr>
        <w:pStyle w:val="Corpodetexto"/>
        <w:jc w:val="both"/>
        <w:rPr>
          <w:sz w:val="24"/>
          <w:szCs w:val="24"/>
          <w:lang w:val="pt-BR"/>
        </w:rPr>
      </w:pPr>
      <w:r w:rsidRPr="00026973">
        <w:rPr>
          <w:sz w:val="24"/>
          <w:szCs w:val="24"/>
          <w:lang w:val="pt-BR"/>
        </w:rPr>
        <w:t>FARINA, Flávi</w:t>
      </w:r>
      <w:r w:rsidR="00C716D1">
        <w:rPr>
          <w:sz w:val="24"/>
          <w:szCs w:val="24"/>
          <w:lang w:val="pt-BR"/>
        </w:rPr>
        <w:t xml:space="preserve">a </w:t>
      </w:r>
      <w:proofErr w:type="gramStart"/>
      <w:r w:rsidR="00C716D1">
        <w:rPr>
          <w:sz w:val="24"/>
          <w:szCs w:val="24"/>
          <w:lang w:val="pt-BR"/>
        </w:rPr>
        <w:t>C.</w:t>
      </w:r>
      <w:r w:rsidRPr="00026973">
        <w:rPr>
          <w:sz w:val="24"/>
          <w:szCs w:val="24"/>
          <w:lang w:val="pt-BR"/>
        </w:rPr>
        <w:t>.</w:t>
      </w:r>
      <w:proofErr w:type="gramEnd"/>
      <w:r w:rsidRPr="00026973">
        <w:rPr>
          <w:sz w:val="24"/>
          <w:szCs w:val="24"/>
          <w:lang w:val="pt-BR"/>
        </w:rPr>
        <w:t xml:space="preserve"> Abordagem sobre as técnicas de geoprocessamento aplicadas ao planejamento e gestão urbana. </w:t>
      </w:r>
      <w:r w:rsidRPr="00026973">
        <w:rPr>
          <w:b/>
          <w:bCs/>
          <w:sz w:val="24"/>
          <w:szCs w:val="24"/>
          <w:lang w:val="pt-BR"/>
        </w:rPr>
        <w:t>Cadernos EBAPE.BR</w:t>
      </w:r>
      <w:r w:rsidRPr="00026973">
        <w:rPr>
          <w:sz w:val="24"/>
          <w:szCs w:val="24"/>
          <w:lang w:val="pt-BR"/>
        </w:rPr>
        <w:t>, Rio de Janeiro, v. 4, n. 4, p. 1–13, dez. 2006.</w:t>
      </w:r>
    </w:p>
    <w:p w14:paraId="16F69B57" w14:textId="77777777" w:rsidR="00026973" w:rsidRPr="00026973" w:rsidRDefault="00026973" w:rsidP="00026973">
      <w:pPr>
        <w:pStyle w:val="Corpodetexto"/>
        <w:jc w:val="both"/>
        <w:rPr>
          <w:sz w:val="24"/>
          <w:szCs w:val="24"/>
          <w:lang w:val="pt-BR"/>
        </w:rPr>
      </w:pPr>
    </w:p>
    <w:p w14:paraId="0138ACB1" w14:textId="77777777" w:rsidR="00026973" w:rsidRDefault="00026973" w:rsidP="00026973">
      <w:pPr>
        <w:pStyle w:val="Corpodetexto"/>
        <w:jc w:val="both"/>
        <w:rPr>
          <w:sz w:val="24"/>
          <w:szCs w:val="24"/>
          <w:lang w:val="pt-BR"/>
        </w:rPr>
      </w:pPr>
      <w:r w:rsidRPr="00026973">
        <w:rPr>
          <w:sz w:val="24"/>
          <w:szCs w:val="24"/>
          <w:lang w:val="en-US"/>
        </w:rPr>
        <w:t xml:space="preserve">HAN, Yue; LIU, </w:t>
      </w:r>
      <w:proofErr w:type="spellStart"/>
      <w:r w:rsidRPr="00026973">
        <w:rPr>
          <w:sz w:val="24"/>
          <w:szCs w:val="24"/>
          <w:lang w:val="en-US"/>
        </w:rPr>
        <w:t>Guanhong</w:t>
      </w:r>
      <w:proofErr w:type="spellEnd"/>
      <w:r w:rsidRPr="00026973">
        <w:rPr>
          <w:sz w:val="24"/>
          <w:szCs w:val="24"/>
          <w:lang w:val="en-US"/>
        </w:rPr>
        <w:t xml:space="preserve">. The Role of GIS in Disaster Response: Improving Efficiency and Overcoming Challenges. In: </w:t>
      </w:r>
      <w:r w:rsidRPr="00026973">
        <w:rPr>
          <w:b/>
          <w:bCs/>
          <w:sz w:val="24"/>
          <w:szCs w:val="24"/>
          <w:lang w:val="en-US"/>
        </w:rPr>
        <w:t>Proceedings of the 3rd International Conference on Environmental Geoscience and Earth Ecology</w:t>
      </w:r>
      <w:r w:rsidRPr="00026973">
        <w:rPr>
          <w:sz w:val="24"/>
          <w:szCs w:val="24"/>
          <w:lang w:val="en-US"/>
        </w:rPr>
        <w:t xml:space="preserve">. </w:t>
      </w:r>
      <w:r w:rsidRPr="00026973">
        <w:rPr>
          <w:sz w:val="24"/>
          <w:szCs w:val="24"/>
          <w:lang w:val="pt-BR"/>
        </w:rPr>
        <w:t>[</w:t>
      </w:r>
      <w:proofErr w:type="spellStart"/>
      <w:r w:rsidRPr="00026973">
        <w:rPr>
          <w:sz w:val="24"/>
          <w:szCs w:val="24"/>
          <w:lang w:val="pt-BR"/>
        </w:rPr>
        <w:t>S.l</w:t>
      </w:r>
      <w:proofErr w:type="spellEnd"/>
      <w:r w:rsidRPr="00026973">
        <w:rPr>
          <w:sz w:val="24"/>
          <w:szCs w:val="24"/>
          <w:lang w:val="pt-BR"/>
        </w:rPr>
        <w:t xml:space="preserve">.]: DOI </w:t>
      </w:r>
      <w:proofErr w:type="spellStart"/>
      <w:r w:rsidRPr="00026973">
        <w:rPr>
          <w:sz w:val="24"/>
          <w:szCs w:val="24"/>
          <w:lang w:val="pt-BR"/>
        </w:rPr>
        <w:t>Publishing</w:t>
      </w:r>
      <w:proofErr w:type="spellEnd"/>
      <w:r w:rsidRPr="00026973">
        <w:rPr>
          <w:sz w:val="24"/>
          <w:szCs w:val="24"/>
          <w:lang w:val="pt-BR"/>
        </w:rPr>
        <w:t>, 2025. p. 81–88. DOI: 10.54254/2753-8818/81/2025.21259.</w:t>
      </w:r>
    </w:p>
    <w:p w14:paraId="06D341C6" w14:textId="77777777" w:rsidR="00026973" w:rsidRPr="00026973" w:rsidRDefault="00026973" w:rsidP="00026973">
      <w:pPr>
        <w:pStyle w:val="Corpodetexto"/>
        <w:jc w:val="both"/>
        <w:rPr>
          <w:sz w:val="24"/>
          <w:szCs w:val="24"/>
          <w:lang w:val="pt-BR"/>
        </w:rPr>
      </w:pPr>
    </w:p>
    <w:p w14:paraId="7645A909" w14:textId="77777777" w:rsidR="00026973" w:rsidRDefault="00026973" w:rsidP="00026973">
      <w:pPr>
        <w:pStyle w:val="Corpodetexto"/>
        <w:jc w:val="both"/>
        <w:rPr>
          <w:sz w:val="24"/>
          <w:szCs w:val="24"/>
          <w:lang w:val="pt-BR"/>
        </w:rPr>
      </w:pPr>
      <w:r w:rsidRPr="00026973">
        <w:rPr>
          <w:sz w:val="24"/>
          <w:szCs w:val="24"/>
          <w:lang w:val="pt-BR"/>
        </w:rPr>
        <w:t xml:space="preserve">INSTITUTO BRASILEIRO DE GEOGRAFIA E ESTATÍSTICA (IBGE). </w:t>
      </w:r>
      <w:r w:rsidRPr="00026973">
        <w:rPr>
          <w:b/>
          <w:bCs/>
          <w:sz w:val="24"/>
          <w:szCs w:val="24"/>
          <w:lang w:val="pt-BR"/>
        </w:rPr>
        <w:t>Carta Topográfica de Itajubá</w:t>
      </w:r>
      <w:r w:rsidRPr="00026973">
        <w:rPr>
          <w:sz w:val="24"/>
          <w:szCs w:val="24"/>
          <w:lang w:val="pt-BR"/>
        </w:rPr>
        <w:t>. Folha SF-23-Y-B-VI-3. Escala 1:50.000. Rio de Janeiro: IBGE, 1971.</w:t>
      </w:r>
    </w:p>
    <w:p w14:paraId="1492DDAC" w14:textId="77777777" w:rsidR="00026973" w:rsidRPr="00026973" w:rsidRDefault="00026973" w:rsidP="00026973">
      <w:pPr>
        <w:pStyle w:val="Corpodetexto"/>
        <w:jc w:val="both"/>
        <w:rPr>
          <w:sz w:val="24"/>
          <w:szCs w:val="24"/>
          <w:lang w:val="pt-BR"/>
        </w:rPr>
      </w:pPr>
    </w:p>
    <w:p w14:paraId="6972BAF3" w14:textId="77777777" w:rsidR="00026973" w:rsidRPr="00C716D1" w:rsidRDefault="00026973" w:rsidP="00026973">
      <w:pPr>
        <w:pStyle w:val="Corpodetexto"/>
        <w:jc w:val="both"/>
        <w:rPr>
          <w:sz w:val="24"/>
          <w:szCs w:val="24"/>
          <w:lang w:val="pt-BR"/>
        </w:rPr>
      </w:pPr>
      <w:r w:rsidRPr="00026973">
        <w:rPr>
          <w:sz w:val="24"/>
          <w:szCs w:val="24"/>
          <w:lang w:val="pt-BR"/>
        </w:rPr>
        <w:t xml:space="preserve">INSTITUTO NACIONAL DE PESQUISAS ESPACIAIS (INPE). </w:t>
      </w:r>
      <w:r w:rsidRPr="00026973">
        <w:rPr>
          <w:b/>
          <w:bCs/>
          <w:sz w:val="24"/>
          <w:szCs w:val="24"/>
          <w:lang w:val="en-US"/>
        </w:rPr>
        <w:t>CBERS-4A/WPM – Level-4-DN</w:t>
      </w:r>
      <w:r w:rsidRPr="00026973">
        <w:rPr>
          <w:sz w:val="24"/>
          <w:szCs w:val="24"/>
          <w:lang w:val="en-US"/>
        </w:rPr>
        <w:t xml:space="preserve">. </w:t>
      </w:r>
      <w:r w:rsidRPr="00C716D1">
        <w:rPr>
          <w:sz w:val="24"/>
          <w:szCs w:val="24"/>
          <w:lang w:val="pt-BR"/>
        </w:rPr>
        <w:t>São José dos Campos: INPE, 2026.</w:t>
      </w:r>
    </w:p>
    <w:p w14:paraId="2285ABE2" w14:textId="77777777" w:rsidR="00026973" w:rsidRDefault="00026973" w:rsidP="00026973">
      <w:pPr>
        <w:pStyle w:val="Corpodetexto"/>
        <w:jc w:val="both"/>
        <w:rPr>
          <w:sz w:val="24"/>
          <w:szCs w:val="24"/>
          <w:lang w:val="pt-BR"/>
        </w:rPr>
      </w:pPr>
    </w:p>
    <w:p w14:paraId="3A127F6D" w14:textId="3EF40828" w:rsidR="00026392" w:rsidRDefault="00026392" w:rsidP="00026973">
      <w:pPr>
        <w:pStyle w:val="Corpodetexto"/>
        <w:jc w:val="both"/>
        <w:rPr>
          <w:sz w:val="24"/>
          <w:szCs w:val="24"/>
          <w:lang w:val="pt-BR"/>
        </w:rPr>
      </w:pPr>
      <w:r w:rsidRPr="00026392">
        <w:rPr>
          <w:sz w:val="24"/>
          <w:szCs w:val="24"/>
          <w:lang w:val="pt-BR"/>
        </w:rPr>
        <w:t xml:space="preserve">REBOITA, Michelle Simões et al. Disseminação de conhecimento sobre meio ambiente à comunidade de Itajubá, Minas Gerais. </w:t>
      </w:r>
      <w:proofErr w:type="spellStart"/>
      <w:r w:rsidRPr="00026392">
        <w:rPr>
          <w:b/>
          <w:bCs/>
          <w:sz w:val="24"/>
          <w:szCs w:val="24"/>
          <w:lang w:val="pt-BR"/>
        </w:rPr>
        <w:t>Terrae</w:t>
      </w:r>
      <w:proofErr w:type="spellEnd"/>
      <w:r w:rsidRPr="00026392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026392">
        <w:rPr>
          <w:b/>
          <w:bCs/>
          <w:sz w:val="24"/>
          <w:szCs w:val="24"/>
          <w:lang w:val="pt-BR"/>
        </w:rPr>
        <w:t>Didatica</w:t>
      </w:r>
      <w:proofErr w:type="spellEnd"/>
      <w:r w:rsidRPr="00026392">
        <w:rPr>
          <w:sz w:val="24"/>
          <w:szCs w:val="24"/>
          <w:lang w:val="pt-BR"/>
        </w:rPr>
        <w:t>, Campinas, v. 18, p. 1–11, 2022.</w:t>
      </w:r>
      <w:r>
        <w:rPr>
          <w:sz w:val="24"/>
          <w:szCs w:val="24"/>
          <w:lang w:val="pt-BR"/>
        </w:rPr>
        <w:t xml:space="preserve"> DOI: </w:t>
      </w:r>
      <w:r w:rsidRPr="00026392">
        <w:rPr>
          <w:sz w:val="24"/>
          <w:szCs w:val="24"/>
          <w:lang w:val="pt-BR"/>
        </w:rPr>
        <w:t>10.20396/td.v18i00.8668140</w:t>
      </w:r>
    </w:p>
    <w:p w14:paraId="7803CB99" w14:textId="77777777" w:rsidR="00026392" w:rsidRPr="00C716D1" w:rsidRDefault="00026392" w:rsidP="00026973">
      <w:pPr>
        <w:pStyle w:val="Corpodetexto"/>
        <w:jc w:val="both"/>
        <w:rPr>
          <w:sz w:val="24"/>
          <w:szCs w:val="24"/>
          <w:lang w:val="pt-BR"/>
        </w:rPr>
      </w:pPr>
    </w:p>
    <w:p w14:paraId="139FAA1A" w14:textId="40575B09" w:rsidR="00026973" w:rsidRPr="00026973" w:rsidRDefault="00C716D1" w:rsidP="00026973">
      <w:pPr>
        <w:pStyle w:val="Corpodetexto"/>
        <w:jc w:val="both"/>
        <w:rPr>
          <w:sz w:val="24"/>
          <w:szCs w:val="24"/>
          <w:lang w:val="pt-BR"/>
        </w:rPr>
      </w:pPr>
      <w:r w:rsidRPr="00C716D1">
        <w:rPr>
          <w:sz w:val="24"/>
          <w:szCs w:val="24"/>
          <w:lang w:val="pt-BR"/>
        </w:rPr>
        <w:t xml:space="preserve">SILVA, Ana Paula </w:t>
      </w:r>
      <w:proofErr w:type="spellStart"/>
      <w:r w:rsidRPr="00C716D1">
        <w:rPr>
          <w:sz w:val="24"/>
          <w:szCs w:val="24"/>
          <w:lang w:val="pt-BR"/>
        </w:rPr>
        <w:t>Moni</w:t>
      </w:r>
      <w:proofErr w:type="spellEnd"/>
      <w:r w:rsidRPr="00C716D1">
        <w:rPr>
          <w:sz w:val="24"/>
          <w:szCs w:val="24"/>
          <w:lang w:val="pt-BR"/>
        </w:rPr>
        <w:t xml:space="preserve">. </w:t>
      </w:r>
      <w:r w:rsidRPr="00C716D1">
        <w:rPr>
          <w:b/>
          <w:bCs/>
          <w:sz w:val="24"/>
          <w:szCs w:val="24"/>
          <w:lang w:val="pt-BR"/>
        </w:rPr>
        <w:t>Elaboração de manchas de inundação para o município de Itajubá, utilizando SIG</w:t>
      </w:r>
      <w:r w:rsidRPr="00C716D1">
        <w:rPr>
          <w:sz w:val="24"/>
          <w:szCs w:val="24"/>
          <w:lang w:val="pt-BR"/>
        </w:rPr>
        <w:t>. 2006. Dissertação (Mestrado em Engenharia da Energia) – Universidade Federal de Itajubá, Itajubá, 200</w:t>
      </w:r>
      <w:r>
        <w:rPr>
          <w:sz w:val="24"/>
          <w:szCs w:val="24"/>
          <w:lang w:val="pt-BR"/>
        </w:rPr>
        <w:t>6</w:t>
      </w:r>
      <w:r w:rsidR="00026973" w:rsidRPr="00026973">
        <w:rPr>
          <w:sz w:val="24"/>
          <w:szCs w:val="24"/>
          <w:lang w:val="pt-BR"/>
        </w:rPr>
        <w:t>.</w:t>
      </w:r>
    </w:p>
    <w:p w14:paraId="2582096F" w14:textId="77777777" w:rsidR="00400C39" w:rsidRDefault="00400C39" w:rsidP="00026973">
      <w:pPr>
        <w:pStyle w:val="Corpodetexto"/>
        <w:jc w:val="both"/>
        <w:rPr>
          <w:sz w:val="24"/>
          <w:szCs w:val="24"/>
          <w:lang w:val="pt-BR"/>
        </w:rPr>
      </w:pPr>
    </w:p>
    <w:p w14:paraId="0BA8C96F" w14:textId="1D3D1326" w:rsidR="001C5BCC" w:rsidRPr="003E5DD9" w:rsidRDefault="00400C39" w:rsidP="002D3276">
      <w:pPr>
        <w:pStyle w:val="Corpodetexto"/>
        <w:jc w:val="both"/>
        <w:rPr>
          <w:lang w:val="pt-BR"/>
        </w:rPr>
      </w:pPr>
      <w:r w:rsidRPr="00400C39">
        <w:rPr>
          <w:sz w:val="24"/>
          <w:szCs w:val="24"/>
          <w:lang w:val="pt-BR"/>
        </w:rPr>
        <w:t xml:space="preserve">TUCCI, </w:t>
      </w:r>
      <w:r w:rsidR="007F7097">
        <w:rPr>
          <w:sz w:val="24"/>
          <w:szCs w:val="24"/>
          <w:lang w:val="pt-BR"/>
        </w:rPr>
        <w:t>C.</w:t>
      </w:r>
      <w:r w:rsidRPr="00400C39">
        <w:rPr>
          <w:sz w:val="24"/>
          <w:szCs w:val="24"/>
          <w:lang w:val="pt-BR"/>
        </w:rPr>
        <w:t xml:space="preserve"> E. M. Gerenciamento integrado das inundações urbanas no Brasil. </w:t>
      </w:r>
      <w:r w:rsidRPr="00400C39">
        <w:rPr>
          <w:b/>
          <w:bCs/>
          <w:sz w:val="24"/>
          <w:szCs w:val="24"/>
          <w:lang w:val="pt-BR"/>
        </w:rPr>
        <w:t>Revista de Gestão de Águas da América Latina</w:t>
      </w:r>
      <w:r w:rsidRPr="00400C39">
        <w:rPr>
          <w:sz w:val="24"/>
          <w:szCs w:val="24"/>
          <w:lang w:val="pt-BR"/>
        </w:rPr>
        <w:t>, Porto Alegre, v. 1, n. 1, p. 59–73, jan./jun. 2004.</w:t>
      </w:r>
    </w:p>
    <w:sectPr w:rsidR="001C5BCC" w:rsidRPr="003E5DD9" w:rsidSect="008913F4">
      <w:headerReference w:type="default" r:id="rId12"/>
      <w:footerReference w:type="default" r:id="rId13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16CA2" w14:textId="77777777" w:rsidR="00935248" w:rsidRDefault="00935248">
      <w:r>
        <w:separator/>
      </w:r>
    </w:p>
  </w:endnote>
  <w:endnote w:type="continuationSeparator" w:id="0">
    <w:p w14:paraId="7861249F" w14:textId="77777777" w:rsidR="00935248" w:rsidRDefault="0093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13D2E" w14:textId="77777777" w:rsidR="00935248" w:rsidRDefault="00935248">
      <w:r>
        <w:separator/>
      </w:r>
    </w:p>
  </w:footnote>
  <w:footnote w:type="continuationSeparator" w:id="0">
    <w:p w14:paraId="01880765" w14:textId="77777777" w:rsidR="00935248" w:rsidRDefault="00935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047258">
    <w:abstractNumId w:val="0"/>
  </w:num>
  <w:num w:numId="2" w16cid:durableId="25641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26392"/>
    <w:rsid w:val="00026973"/>
    <w:rsid w:val="00041CE9"/>
    <w:rsid w:val="000449F4"/>
    <w:rsid w:val="000568EA"/>
    <w:rsid w:val="00061164"/>
    <w:rsid w:val="000815CB"/>
    <w:rsid w:val="001038EB"/>
    <w:rsid w:val="00126995"/>
    <w:rsid w:val="00136E00"/>
    <w:rsid w:val="00160555"/>
    <w:rsid w:val="001660F3"/>
    <w:rsid w:val="001B5112"/>
    <w:rsid w:val="001C5BCC"/>
    <w:rsid w:val="00207BA6"/>
    <w:rsid w:val="00240B49"/>
    <w:rsid w:val="00241869"/>
    <w:rsid w:val="00243512"/>
    <w:rsid w:val="00264F74"/>
    <w:rsid w:val="00271255"/>
    <w:rsid w:val="00291520"/>
    <w:rsid w:val="002B7A10"/>
    <w:rsid w:val="002D3276"/>
    <w:rsid w:val="00310EAF"/>
    <w:rsid w:val="003133CD"/>
    <w:rsid w:val="0033525A"/>
    <w:rsid w:val="0036327D"/>
    <w:rsid w:val="0036697E"/>
    <w:rsid w:val="003A238A"/>
    <w:rsid w:val="003D6E31"/>
    <w:rsid w:val="003E5DD9"/>
    <w:rsid w:val="00400C39"/>
    <w:rsid w:val="00417322"/>
    <w:rsid w:val="00427FD9"/>
    <w:rsid w:val="0044049F"/>
    <w:rsid w:val="004662E0"/>
    <w:rsid w:val="00497119"/>
    <w:rsid w:val="004E117B"/>
    <w:rsid w:val="00516F1B"/>
    <w:rsid w:val="005259CE"/>
    <w:rsid w:val="00555F67"/>
    <w:rsid w:val="005919B5"/>
    <w:rsid w:val="005F461F"/>
    <w:rsid w:val="005F70B0"/>
    <w:rsid w:val="005F7562"/>
    <w:rsid w:val="00624629"/>
    <w:rsid w:val="00631C5C"/>
    <w:rsid w:val="00651F90"/>
    <w:rsid w:val="006834B2"/>
    <w:rsid w:val="00694319"/>
    <w:rsid w:val="006A7E13"/>
    <w:rsid w:val="006D06E2"/>
    <w:rsid w:val="007415CE"/>
    <w:rsid w:val="0074473F"/>
    <w:rsid w:val="007561D8"/>
    <w:rsid w:val="00765163"/>
    <w:rsid w:val="00775BB1"/>
    <w:rsid w:val="007A6E3F"/>
    <w:rsid w:val="007E0281"/>
    <w:rsid w:val="007E71ED"/>
    <w:rsid w:val="007F08C1"/>
    <w:rsid w:val="007F423C"/>
    <w:rsid w:val="007F7097"/>
    <w:rsid w:val="0086725D"/>
    <w:rsid w:val="008858BD"/>
    <w:rsid w:val="00885E5F"/>
    <w:rsid w:val="008913F4"/>
    <w:rsid w:val="008C4C28"/>
    <w:rsid w:val="008D1340"/>
    <w:rsid w:val="008D77E5"/>
    <w:rsid w:val="00935248"/>
    <w:rsid w:val="0093771B"/>
    <w:rsid w:val="0098383E"/>
    <w:rsid w:val="009A751D"/>
    <w:rsid w:val="009C4B75"/>
    <w:rsid w:val="009C7209"/>
    <w:rsid w:val="009E740A"/>
    <w:rsid w:val="00A33E6F"/>
    <w:rsid w:val="00A517AD"/>
    <w:rsid w:val="00A6662F"/>
    <w:rsid w:val="00A8241C"/>
    <w:rsid w:val="00AC3D8B"/>
    <w:rsid w:val="00AD22F1"/>
    <w:rsid w:val="00AD34A7"/>
    <w:rsid w:val="00AD3F3A"/>
    <w:rsid w:val="00AF3211"/>
    <w:rsid w:val="00AF5124"/>
    <w:rsid w:val="00B10576"/>
    <w:rsid w:val="00B87388"/>
    <w:rsid w:val="00BA26B9"/>
    <w:rsid w:val="00BA72BA"/>
    <w:rsid w:val="00BC510B"/>
    <w:rsid w:val="00BD0DED"/>
    <w:rsid w:val="00C051E6"/>
    <w:rsid w:val="00C107F9"/>
    <w:rsid w:val="00C508E2"/>
    <w:rsid w:val="00C5285C"/>
    <w:rsid w:val="00C538C1"/>
    <w:rsid w:val="00C60F3C"/>
    <w:rsid w:val="00C716D1"/>
    <w:rsid w:val="00C96B21"/>
    <w:rsid w:val="00CB7608"/>
    <w:rsid w:val="00CC227D"/>
    <w:rsid w:val="00CC3189"/>
    <w:rsid w:val="00CE3480"/>
    <w:rsid w:val="00CE64AD"/>
    <w:rsid w:val="00D003A4"/>
    <w:rsid w:val="00D10B4C"/>
    <w:rsid w:val="00D34ECF"/>
    <w:rsid w:val="00D8634C"/>
    <w:rsid w:val="00D945DE"/>
    <w:rsid w:val="00DA7C9E"/>
    <w:rsid w:val="00DD2A04"/>
    <w:rsid w:val="00E3782C"/>
    <w:rsid w:val="00E66B5D"/>
    <w:rsid w:val="00EA25BE"/>
    <w:rsid w:val="00ED085E"/>
    <w:rsid w:val="00EE1003"/>
    <w:rsid w:val="00F12364"/>
    <w:rsid w:val="00F836CF"/>
    <w:rsid w:val="00F90751"/>
    <w:rsid w:val="00FB4902"/>
    <w:rsid w:val="00FE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D8634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8634C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C3D8B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360912-4EF3-F44B-93CA-75479826E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2100</Words>
  <Characters>11346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Nívea</cp:lastModifiedBy>
  <cp:revision>8</cp:revision>
  <cp:lastPrinted>2026-06-26T23:58:00Z</cp:lastPrinted>
  <dcterms:created xsi:type="dcterms:W3CDTF">2026-07-01T00:57:00Z</dcterms:created>
  <dcterms:modified xsi:type="dcterms:W3CDTF">2026-07-30T12:36:00Z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