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h9u4fwkz957m" w:id="0"/>
    <w:bookmarkEnd w:id="0"/>
    <w:p w:rsidR="00000000" w:rsidDel="00000000" w:rsidP="00000000" w:rsidRDefault="00000000" w:rsidRPr="00000000" w14:paraId="00000001">
      <w:pPr>
        <w:pStyle w:val="Heading1"/>
        <w:spacing w:before="251" w:line="242" w:lineRule="auto"/>
        <w:ind w:left="75" w:right="214" w:firstLine="0"/>
        <w:jc w:val="center"/>
        <w:rPr>
          <w:sz w:val="32"/>
          <w:szCs w:val="32"/>
        </w:rPr>
      </w:pPr>
      <w:r w:rsidDel="00000000" w:rsidR="00000000" w:rsidRPr="00000000">
        <w:rPr>
          <w:sz w:val="32"/>
          <w:szCs w:val="32"/>
          <w:rtl w:val="0"/>
        </w:rPr>
        <w:t xml:space="preserve">SUSTENTABILIDADE NA EDUCAÇÃO SUPERIOR: UM OLHAR SOBRE OS CURSOS DE GRADUAÇÃO DO INSTITUTO DE RECURSOS NATURAIS DA UNIFEI</w:t>
      </w:r>
    </w:p>
    <w:p w:rsidR="00000000" w:rsidDel="00000000" w:rsidP="00000000" w:rsidRDefault="00000000" w:rsidRPr="00000000" w14:paraId="00000002">
      <w:pPr>
        <w:pStyle w:val="Heading1"/>
        <w:spacing w:before="251" w:line="242" w:lineRule="auto"/>
        <w:ind w:left="75" w:right="214" w:firstLine="0"/>
        <w:jc w:val="center"/>
        <w:rPr>
          <w:sz w:val="24"/>
          <w:szCs w:val="24"/>
        </w:rPr>
      </w:pPr>
      <w:r w:rsidDel="00000000" w:rsidR="00000000" w:rsidRPr="00000000">
        <w:rPr>
          <w:sz w:val="24"/>
          <w:szCs w:val="24"/>
          <w:vertAlign w:val="superscript"/>
          <w:rtl w:val="0"/>
        </w:rPr>
        <w:t xml:space="preserve">1</w:t>
      </w:r>
      <w:r w:rsidDel="00000000" w:rsidR="00000000" w:rsidRPr="00000000">
        <w:rPr>
          <w:sz w:val="24"/>
          <w:szCs w:val="24"/>
          <w:rtl w:val="0"/>
        </w:rPr>
        <w:t xml:space="preserve">Maria Tereza Alves Martins de Faria, </w:t>
      </w:r>
      <w:r w:rsidDel="00000000" w:rsidR="00000000" w:rsidRPr="00000000">
        <w:rPr>
          <w:sz w:val="24"/>
          <w:szCs w:val="24"/>
          <w:vertAlign w:val="superscript"/>
          <w:rtl w:val="0"/>
        </w:rPr>
        <w:t xml:space="preserve">2</w:t>
      </w:r>
      <w:r w:rsidDel="00000000" w:rsidR="00000000" w:rsidRPr="00000000">
        <w:rPr>
          <w:sz w:val="24"/>
          <w:szCs w:val="24"/>
          <w:rtl w:val="0"/>
        </w:rPr>
        <w:t xml:space="preserve">Maria Rita Raimundo e Almeida</w:t>
      </w:r>
    </w:p>
    <w:p w:rsidR="00000000" w:rsidDel="00000000" w:rsidP="00000000" w:rsidRDefault="00000000" w:rsidRPr="00000000" w14:paraId="00000003">
      <w:pPr>
        <w:spacing w:line="228" w:lineRule="auto"/>
        <w:ind w:left="77" w:right="209" w:firstLine="0"/>
        <w:jc w:val="center"/>
        <w:rPr>
          <w:i w:val="1"/>
          <w:iCs w:val="1"/>
          <w:sz w:val="24"/>
          <w:szCs w:val="24"/>
        </w:rPr>
      </w:pPr>
      <w:r w:rsidDel="00000000" w:rsidR="00000000" w:rsidRPr="00000000">
        <w:rPr>
          <w:i w:val="1"/>
          <w:iCs w:val="1"/>
          <w:sz w:val="24"/>
          <w:szCs w:val="24"/>
          <w:vertAlign w:val="superscript"/>
          <w:rtl w:val="0"/>
        </w:rPr>
        <w:t xml:space="preserve">1</w:t>
      </w:r>
      <w:r w:rsidDel="00000000" w:rsidR="00000000" w:rsidRPr="00000000">
        <w:rPr>
          <w:i w:val="1"/>
          <w:iCs w:val="1"/>
          <w:sz w:val="24"/>
          <w:szCs w:val="24"/>
          <w:rtl w:val="0"/>
        </w:rPr>
        <w:t xml:space="preserve">Universidade Federal de Itajubá, e-mail: d2020005812@unifei.edu.br; </w:t>
      </w:r>
      <w:r w:rsidDel="00000000" w:rsidR="00000000" w:rsidRPr="00000000">
        <w:rPr>
          <w:i w:val="1"/>
          <w:iCs w:val="1"/>
          <w:sz w:val="24"/>
          <w:szCs w:val="24"/>
          <w:vertAlign w:val="superscript"/>
          <w:rtl w:val="0"/>
        </w:rPr>
        <w:t xml:space="preserve">2</w:t>
      </w:r>
      <w:r w:rsidDel="00000000" w:rsidR="00000000" w:rsidRPr="00000000">
        <w:rPr>
          <w:i w:val="1"/>
          <w:iCs w:val="1"/>
          <w:sz w:val="24"/>
          <w:szCs w:val="24"/>
          <w:rtl w:val="0"/>
        </w:rPr>
        <w:t xml:space="preserve">Universidade Federal de Itajubá, e-mail: mrralmeida@unifei.edu.br.</w:t>
      </w:r>
    </w:p>
    <w:p w:rsidR="00000000" w:rsidDel="00000000" w:rsidP="00000000" w:rsidRDefault="00000000" w:rsidRPr="00000000" w14:paraId="00000004">
      <w:pPr>
        <w:spacing w:line="228" w:lineRule="auto"/>
        <w:ind w:left="77" w:right="209" w:firstLine="0"/>
        <w:jc w:val="center"/>
        <w:rPr>
          <w:i w:val="1"/>
          <w:iCs w:val="1"/>
          <w:sz w:val="24"/>
          <w:szCs w:val="24"/>
        </w:rPr>
      </w:pPr>
      <w:r w:rsidDel="00000000" w:rsidR="00000000" w:rsidRPr="00000000">
        <w:rPr>
          <w:rtl w:val="0"/>
        </w:rPr>
      </w:r>
    </w:p>
    <w:p w:rsidR="00000000" w:rsidDel="00000000" w:rsidP="00000000" w:rsidRDefault="00000000" w:rsidRPr="00000000" w14:paraId="00000005">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Educação Ambiental e Saúde </w:t>
      </w:r>
    </w:p>
    <w:p w:rsidR="00000000" w:rsidDel="00000000" w:rsidP="00000000" w:rsidRDefault="00000000" w:rsidRPr="00000000" w14:paraId="00000006">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Saúde pública e Sustentabilidade</w:t>
      </w:r>
    </w:p>
    <w:p w:rsidR="00000000" w:rsidDel="00000000" w:rsidP="00000000" w:rsidRDefault="00000000" w:rsidRPr="00000000" w14:paraId="00000007">
      <w:pPr>
        <w:spacing w:line="228" w:lineRule="auto"/>
        <w:ind w:left="77" w:right="209" w:firstLine="0"/>
        <w:jc w:val="center"/>
        <w:rPr>
          <w:i w:val="1"/>
          <w:iCs w:val="1"/>
          <w:sz w:val="24"/>
          <w:szCs w:val="24"/>
        </w:rPr>
      </w:pPr>
      <w:r w:rsidDel="00000000" w:rsidR="00000000" w:rsidRPr="00000000">
        <w:rPr>
          <w:rtl w:val="0"/>
        </w:rPr>
      </w:r>
    </w:p>
    <w:p w:rsidR="00000000" w:rsidDel="00000000" w:rsidP="00000000" w:rsidRDefault="00000000" w:rsidRPr="00000000" w14:paraId="00000008">
      <w:pPr>
        <w:spacing w:line="228" w:lineRule="auto"/>
        <w:ind w:left="77" w:right="209" w:firstLine="0"/>
        <w:jc w:val="center"/>
        <w:rPr>
          <w:b w:val="1"/>
          <w:bCs w:val="1"/>
          <w:sz w:val="28"/>
          <w:szCs w:val="28"/>
        </w:rPr>
      </w:pPr>
      <w:r w:rsidDel="00000000" w:rsidR="00000000" w:rsidRPr="00000000">
        <w:rPr>
          <w:rtl w:val="0"/>
        </w:rPr>
      </w:r>
    </w:p>
    <w:p w:rsidR="00000000" w:rsidDel="00000000" w:rsidP="00000000" w:rsidRDefault="00000000" w:rsidRPr="00000000" w14:paraId="00000009">
      <w:pPr>
        <w:spacing w:line="228" w:lineRule="auto"/>
        <w:ind w:left="77" w:right="209" w:firstLine="0"/>
        <w:jc w:val="center"/>
        <w:rPr>
          <w:b w:val="1"/>
          <w:bCs w:val="1"/>
          <w:sz w:val="28"/>
          <w:szCs w:val="28"/>
        </w:rPr>
      </w:pPr>
      <w:r w:rsidDel="00000000" w:rsidR="00000000" w:rsidRPr="00000000">
        <w:rPr>
          <w:b w:val="1"/>
          <w:bCs w:val="1"/>
          <w:sz w:val="28"/>
          <w:szCs w:val="28"/>
          <w:rtl w:val="0"/>
        </w:rPr>
        <w:t xml:space="preserve">Resumo</w:t>
      </w:r>
    </w:p>
    <w:p w:rsidR="00000000" w:rsidDel="00000000" w:rsidP="00000000" w:rsidRDefault="00000000" w:rsidRPr="00000000" w14:paraId="0000000A">
      <w:pPr>
        <w:spacing w:line="228" w:lineRule="auto"/>
        <w:ind w:left="77" w:right="209" w:firstLine="0"/>
        <w:jc w:val="both"/>
        <w:rPr>
          <w:sz w:val="24"/>
          <w:szCs w:val="24"/>
        </w:rPr>
      </w:pPr>
      <w:r w:rsidDel="00000000" w:rsidR="00000000" w:rsidRPr="00000000">
        <w:rPr>
          <w:rtl w:val="0"/>
        </w:rPr>
      </w:r>
    </w:p>
    <w:p w:rsidR="00000000" w:rsidDel="00000000" w:rsidP="00000000" w:rsidRDefault="00000000" w:rsidRPr="00000000" w14:paraId="0000000B">
      <w:pPr>
        <w:jc w:val="both"/>
        <w:rPr>
          <w:sz w:val="24"/>
          <w:szCs w:val="24"/>
        </w:rPr>
      </w:pPr>
      <w:r w:rsidDel="00000000" w:rsidR="00000000" w:rsidRPr="00000000">
        <w:rPr>
          <w:sz w:val="24"/>
          <w:szCs w:val="24"/>
          <w:rtl w:val="0"/>
        </w:rPr>
        <w:t xml:space="preserve">A sustentabilidade tem se consolidado como um dos principais desafios globais do século XXI, exigindo transformações nos modos de produção, consumo e, sobretudo, nos processos educacionais. Nesse contexto, as instituições de ensino superior (IES) assumem papel estratégico na formação de profissionais críticos e comprometidos com o desenvolvimento sustentável. Este trabalho teve como objetivo analisar a inserção da sustentabilidade nos Projetos Pedagógicos de Curso (PPCs) dos cursos de graduação do Instituto de Recursos Naturais (IRN) da Universidade Federal de Itajubá (UNIFEI). A pesquisa foi conduzida por meio de análise documental dos PPCs disponibilizados pela Pró-Reitoria de Graduação em 2025, com foco na identificação de abordagens diretas à sustentabilidade e suas dimensões ambiental, social, econômica, cultural, política e ética. Os resultados indicam que, apesar da relevância do tema, sua institucionalização nos currículos ainda é parcial, com baixa representatividade nas disciplinas e maior concentração nos cursos de Engenharia Civil e Engenharia Ambiental. Observou-se que a abordagem da sustentabilidade permanece fragmentada e predominantemente tecnicista, evidenciando a necessidade de fortalecer a ambientalização curricular e integrar ensino, pesquisa, extensão e gestão, consolidando a universidade como espaço de formação cidadã e transformação socioambiental.</w:t>
      </w:r>
    </w:p>
    <w:p w:rsidR="00000000" w:rsidDel="00000000" w:rsidP="00000000" w:rsidRDefault="00000000" w:rsidRPr="00000000" w14:paraId="0000000C">
      <w:pPr>
        <w:jc w:val="both"/>
        <w:rPr>
          <w:b w:val="1"/>
          <w:bCs w:val="1"/>
          <w:sz w:val="24"/>
          <w:szCs w:val="24"/>
        </w:rPr>
      </w:pPr>
      <w:r w:rsidDel="00000000" w:rsidR="00000000" w:rsidRPr="00000000">
        <w:rPr>
          <w:rtl w:val="0"/>
        </w:rPr>
      </w:r>
    </w:p>
    <w:p w:rsidR="00000000" w:rsidDel="00000000" w:rsidP="00000000" w:rsidRDefault="00000000" w:rsidRPr="00000000" w14:paraId="0000000D">
      <w:pPr>
        <w:jc w:val="both"/>
        <w:rPr>
          <w:sz w:val="24"/>
          <w:szCs w:val="24"/>
        </w:rPr>
      </w:pPr>
      <w:r w:rsidDel="00000000" w:rsidR="00000000" w:rsidRPr="00000000">
        <w:rPr>
          <w:b w:val="1"/>
          <w:bCs w:val="1"/>
          <w:sz w:val="24"/>
          <w:szCs w:val="24"/>
          <w:rtl w:val="0"/>
        </w:rPr>
        <w:t xml:space="preserve">Palavras-chave: </w:t>
      </w:r>
      <w:r w:rsidDel="00000000" w:rsidR="00000000" w:rsidRPr="00000000">
        <w:rPr>
          <w:sz w:val="24"/>
          <w:szCs w:val="24"/>
          <w:rtl w:val="0"/>
        </w:rPr>
        <w:t xml:space="preserve">Ambientalização curricular; Ensino; Instituição de Ensino Superior; Desenvolvimento sustentável.</w:t>
      </w:r>
    </w:p>
    <w:p w:rsidR="00000000" w:rsidDel="00000000" w:rsidP="00000000" w:rsidRDefault="00000000" w:rsidRPr="00000000" w14:paraId="0000000E">
      <w:pPr>
        <w:spacing w:line="360" w:lineRule="auto"/>
        <w:jc w:val="both"/>
        <w:rPr>
          <w:b w:val="1"/>
          <w:bCs w:val="1"/>
          <w:sz w:val="28"/>
          <w:szCs w:val="28"/>
        </w:rPr>
      </w:pPr>
      <w:r w:rsidDel="00000000" w:rsidR="00000000" w:rsidRPr="00000000">
        <w:rPr>
          <w:rtl w:val="0"/>
        </w:rPr>
      </w:r>
    </w:p>
    <w:p w:rsidR="00000000" w:rsidDel="00000000" w:rsidP="00000000" w:rsidRDefault="00000000" w:rsidRPr="00000000" w14:paraId="0000000F">
      <w:pPr>
        <w:spacing w:after="240" w:lineRule="auto"/>
        <w:jc w:val="both"/>
        <w:rPr>
          <w:b w:val="1"/>
          <w:bCs w:val="1"/>
          <w:sz w:val="28"/>
          <w:szCs w:val="28"/>
        </w:rPr>
      </w:pPr>
      <w:r w:rsidDel="00000000" w:rsidR="00000000" w:rsidRPr="00000000">
        <w:rPr>
          <w:b w:val="1"/>
          <w:bCs w:val="1"/>
          <w:sz w:val="28"/>
          <w:szCs w:val="28"/>
          <w:rtl w:val="0"/>
        </w:rPr>
        <w:t xml:space="preserve">Introdução</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before="1" w:line="360" w:lineRule="auto"/>
        <w:ind w:firstLine="720"/>
        <w:jc w:val="both"/>
        <w:rPr>
          <w:sz w:val="24"/>
          <w:szCs w:val="24"/>
        </w:rPr>
      </w:pPr>
      <w:r w:rsidDel="00000000" w:rsidR="00000000" w:rsidRPr="00000000">
        <w:rPr>
          <w:sz w:val="24"/>
          <w:szCs w:val="24"/>
          <w:rtl w:val="0"/>
        </w:rPr>
        <w:t xml:space="preserve">A sustentabilidade envolve práticas voltadas à proteção ambiental, à justiça social, ao desenvolvimento econômico e à qualidade de vida das gerações atuais e futuras (Ferreira Júnior, 2023). Nesse cenário, as Instituições de Ensino Superior (IES) desempenham papel fundamental na formação crítica e na promoção da sustentabilidade por meio do ensino, da pesquisa, da extensão e da gestão institucional (Beuron, 2016; Silva; Bizerril, 2021).</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before="1" w:line="360" w:lineRule="auto"/>
        <w:ind w:firstLine="720"/>
        <w:jc w:val="both"/>
        <w:rPr>
          <w:sz w:val="24"/>
          <w:szCs w:val="24"/>
        </w:rPr>
      </w:pPr>
      <w:r w:rsidDel="00000000" w:rsidR="00000000" w:rsidRPr="00000000">
        <w:rPr>
          <w:sz w:val="24"/>
          <w:szCs w:val="24"/>
          <w:rtl w:val="0"/>
        </w:rPr>
        <w:t xml:space="preserve">A inserção da educação ambiental e de conteúdos relacionados à sustentabilidade nos currículos e Projetos Pedagógicos de Curso (PPC) contribui para a formação de estudantes comprometidos com valores e práticas socioambientais (Bomfim; Ribeiro; Santos, 2025). Dessa forma, este trabalho justifica-se pela importância de ampliar a inserção da sustentabilidade nos currículos dos cursos de graduação, contribuindo para a ambientalização curricular e para a formação de estudantes comprometidos com práticas, valores e responsabilidades socioambientais.</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before="1" w:line="360" w:lineRule="auto"/>
        <w:ind w:firstLine="720"/>
        <w:jc w:val="both"/>
        <w:rPr>
          <w:sz w:val="24"/>
          <w:szCs w:val="24"/>
        </w:rPr>
      </w:pPr>
      <w:r w:rsidDel="00000000" w:rsidR="00000000" w:rsidRPr="00000000">
        <w:rPr>
          <w:sz w:val="24"/>
          <w:szCs w:val="24"/>
          <w:rtl w:val="0"/>
        </w:rPr>
        <w:t xml:space="preserve">Assim, este trabalho teve como objetivo analisar a presença de conteúdos relacionados à sustentabilidade e ao desenvolvimento sustentável nos PPCs dos cursos de graduação do Instituto de Recursos Naturais da Universidade Federal de Itajubá, alocado no campus Itajubá, a partir da identificação de conteúdos explicitamente relacionados à sustentabilidade e ao desenvolvimento sustentável.</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before="1" w:line="360" w:lineRule="auto"/>
        <w:jc w:val="both"/>
        <w:rPr>
          <w:b w:val="1"/>
          <w:bCs w:val="1"/>
          <w:color w:val="000000"/>
          <w:sz w:val="28"/>
          <w:szCs w:val="28"/>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before="1" w:line="360" w:lineRule="auto"/>
        <w:jc w:val="both"/>
        <w:rPr>
          <w:b w:val="1"/>
          <w:bCs w:val="1"/>
          <w:color w:val="000000"/>
          <w:sz w:val="28"/>
          <w:szCs w:val="28"/>
        </w:rPr>
      </w:pPr>
      <w:r w:rsidDel="00000000" w:rsidR="00000000" w:rsidRPr="00000000">
        <w:rPr>
          <w:b w:val="1"/>
          <w:bCs w:val="1"/>
          <w:color w:val="000000"/>
          <w:sz w:val="28"/>
          <w:szCs w:val="28"/>
          <w:rtl w:val="0"/>
        </w:rPr>
        <w:t xml:space="preserve">Metodologia</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line="360" w:lineRule="auto"/>
        <w:ind w:firstLine="720"/>
        <w:jc w:val="both"/>
        <w:rPr>
          <w:color w:val="000000"/>
          <w:sz w:val="24"/>
          <w:szCs w:val="24"/>
        </w:rPr>
      </w:pPr>
      <w:r w:rsidDel="00000000" w:rsidR="00000000" w:rsidRPr="00000000">
        <w:rPr>
          <w:color w:val="000000"/>
          <w:sz w:val="24"/>
          <w:szCs w:val="24"/>
          <w:rtl w:val="0"/>
        </w:rPr>
        <w:t xml:space="preserve">Este trabalho adotou a análise documental como método, para analisar os PPCs dos sete cursos de graduação do Instituto de Recursos Naturais da UNIFEI, os quais são: Ciências Atmosféricas (CAT), Ciências Biológicas Licenciatura (BLI), Engenharia Ambiental (EAM), Engenharia Civil (ECI), Engenharia de Bioprocessos (EBP), Engenharia Hídrica (EHD) e Engenharia Química (EQI). </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line="360" w:lineRule="auto"/>
        <w:ind w:firstLine="720"/>
        <w:jc w:val="both"/>
        <w:rPr>
          <w:color w:val="000000"/>
          <w:sz w:val="24"/>
          <w:szCs w:val="24"/>
        </w:rPr>
      </w:pPr>
      <w:r w:rsidDel="00000000" w:rsidR="00000000" w:rsidRPr="00000000">
        <w:rPr>
          <w:color w:val="000000"/>
          <w:sz w:val="24"/>
          <w:szCs w:val="24"/>
          <w:rtl w:val="0"/>
        </w:rPr>
        <w:t xml:space="preserve">Os documentos foram obtidos no site da Pró-Reitoria de Graduação, sendo aqueles vigentes no segundo semestre de 2025, e analisados quanto às ocorrências dos termos relacionados explicitamente à sustentabilidade nas disciplinas (nome, ementa e conteúdo), além de comparada a carga horária dessas disciplinas com a carga total dos cursos, para avaliar sua representatividade. Esses conteúdos foram identificados por meio de uma busca automática nos documentos (Ctrl+F), com o termo “sustent”</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line="360" w:lineRule="auto"/>
        <w:ind w:firstLine="720"/>
        <w:jc w:val="both"/>
        <w:rPr>
          <w:color w:val="000000"/>
          <w:sz w:val="24"/>
          <w:szCs w:val="24"/>
        </w:rPr>
      </w:pPr>
      <w:r w:rsidDel="00000000" w:rsidR="00000000" w:rsidRPr="00000000">
        <w:rPr>
          <w:color w:val="000000"/>
          <w:sz w:val="24"/>
          <w:szCs w:val="24"/>
          <w:rtl w:val="0"/>
        </w:rPr>
        <w:t xml:space="preserve">Em seguida, realizou-se uma análise mais aprofundada das disciplinas identificadas, classificando seus conteúdos sobre sustentabilidade nas seis dimensões propostas por Juliano, Melo e Marques (2017) - técnico-econômica, ecológica, social, cultural, política e ética -, permitindo compreender de forma mais detalhada como o tema é abordado na formação acadêmica destes cursos de graduação.</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line="360" w:lineRule="auto"/>
        <w:ind w:firstLine="720"/>
        <w:jc w:val="both"/>
        <w:rPr>
          <w:sz w:val="24"/>
          <w:szCs w:val="24"/>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before="1" w:line="360" w:lineRule="auto"/>
        <w:jc w:val="both"/>
        <w:rPr>
          <w:b w:val="1"/>
          <w:bCs w:val="1"/>
          <w:color w:val="000000"/>
          <w:sz w:val="28"/>
          <w:szCs w:val="28"/>
        </w:rPr>
      </w:pPr>
      <w:r w:rsidDel="00000000" w:rsidR="00000000" w:rsidRPr="00000000">
        <w:rPr>
          <w:b w:val="1"/>
          <w:bCs w:val="1"/>
          <w:color w:val="000000"/>
          <w:sz w:val="28"/>
          <w:szCs w:val="28"/>
          <w:rtl w:val="0"/>
        </w:rPr>
        <w:t xml:space="preserve">Resultados e Discussão</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before="1" w:line="360" w:lineRule="auto"/>
        <w:ind w:firstLine="720"/>
        <w:jc w:val="both"/>
        <w:rPr>
          <w:color w:val="000000"/>
          <w:sz w:val="24"/>
          <w:szCs w:val="24"/>
        </w:rPr>
      </w:pPr>
      <w:r w:rsidDel="00000000" w:rsidR="00000000" w:rsidRPr="00000000">
        <w:rPr>
          <w:color w:val="000000"/>
          <w:sz w:val="24"/>
          <w:szCs w:val="24"/>
          <w:rtl w:val="0"/>
        </w:rPr>
        <w:t xml:space="preserve">Primeiramente, foram identificadas e quantificadas as disciplinas com menção explícita à sustentabilidade e desenvolvimento sustentável, bem como comparadas suas cargas horárias com a carga horária total dos cursos (Tabela 1). Verificou-se que EAM, ECI e CAT apresentaram maior aderência à temática (de 3 a 5 disciplinas), enquanto nos demais a abordagem ocorreu de forma mais tímida, sendo inexistente no caso da EBP. Esse resultado vai ao encontro da discussão de Alonso e Alonso (2014), que apontam que muitos cursos tradicionais, mesmo aqueles relacionados ao meio ambiente, frequentemente falham em oferecer uma formação sólida e integrada sobre o tema.</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before="1" w:line="360" w:lineRule="auto"/>
        <w:ind w:firstLine="720"/>
        <w:jc w:val="both"/>
        <w:rPr>
          <w:color w:val="000000"/>
          <w:sz w:val="24"/>
          <w:szCs w:val="24"/>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before="1" w:line="360" w:lineRule="auto"/>
        <w:jc w:val="center"/>
        <w:rPr>
          <w:b w:val="1"/>
          <w:bCs w:val="1"/>
          <w:color w:val="000000"/>
          <w:sz w:val="20"/>
          <w:szCs w:val="20"/>
        </w:rPr>
      </w:pPr>
      <w:r w:rsidDel="00000000" w:rsidR="00000000" w:rsidRPr="00000000">
        <w:rPr>
          <w:b w:val="1"/>
          <w:bCs w:val="1"/>
          <w:color w:val="000000"/>
          <w:sz w:val="20"/>
          <w:szCs w:val="20"/>
          <w:rtl w:val="0"/>
        </w:rPr>
        <w:t xml:space="preserve">Tabela 1 - Disciplinas nas quais foram identificadas </w:t>
      </w:r>
      <w:r w:rsidDel="00000000" w:rsidR="00000000" w:rsidRPr="00000000">
        <w:rPr>
          <w:b w:val="1"/>
          <w:bCs w:val="1"/>
          <w:sz w:val="20"/>
          <w:szCs w:val="20"/>
          <w:rtl w:val="0"/>
        </w:rPr>
        <w:t xml:space="preserve">alguma</w:t>
      </w:r>
      <w:r w:rsidDel="00000000" w:rsidR="00000000" w:rsidRPr="00000000">
        <w:rPr>
          <w:b w:val="1"/>
          <w:bCs w:val="1"/>
          <w:color w:val="000000"/>
          <w:sz w:val="20"/>
          <w:szCs w:val="20"/>
          <w:rtl w:val="0"/>
        </w:rPr>
        <w:t xml:space="preserve"> abordagem sobre sustentabilidade.</w:t>
      </w:r>
    </w:p>
    <w:tbl>
      <w:tblPr>
        <w:tblStyle w:val="Table1"/>
        <w:tblW w:w="9164.0" w:type="dxa"/>
        <w:jc w:val="left"/>
        <w:tblInd w:w="-45.0" w:type="dxa"/>
        <w:tblLayout w:type="fixed"/>
        <w:tblLook w:val="0400"/>
      </w:tblPr>
      <w:tblGrid>
        <w:gridCol w:w="1177"/>
        <w:gridCol w:w="2996"/>
        <w:gridCol w:w="1730"/>
        <w:gridCol w:w="1805"/>
        <w:gridCol w:w="1421"/>
        <w:gridCol w:w="35"/>
        <w:tblGridChange w:id="0">
          <w:tblGrid>
            <w:gridCol w:w="1177"/>
            <w:gridCol w:w="2996"/>
            <w:gridCol w:w="1730"/>
            <w:gridCol w:w="1805"/>
            <w:gridCol w:w="1421"/>
            <w:gridCol w:w="35"/>
          </w:tblGrid>
        </w:tblGridChange>
      </w:tblGrid>
      <w:tr>
        <w:trPr>
          <w:cantSplit w:val="0"/>
          <w:trHeight w:val="414" w:hRule="atLeast"/>
          <w:tblHeader w:val="0"/>
        </w:trPr>
        <w:tc>
          <w:tcPr>
            <w:vMerge w:val="restart"/>
            <w:tcBorders>
              <w:top w:color="ffffff" w:space="0" w:sz="6" w:val="single"/>
              <w:left w:color="ffffff" w:space="0" w:sz="6" w:val="single"/>
              <w:bottom w:color="ffffff" w:space="0" w:sz="6" w:val="single"/>
              <w:right w:color="ffffff" w:space="0" w:sz="6" w:val="single"/>
            </w:tcBorders>
            <w:shd w:fill="073763" w:val="clear"/>
            <w:tcMar>
              <w:top w:w="30.0" w:type="dxa"/>
              <w:left w:w="45.0" w:type="dxa"/>
              <w:bottom w:w="30.0" w:type="dxa"/>
              <w:right w:w="45.0" w:type="dxa"/>
            </w:tcMar>
            <w:vAlign w:val="center"/>
          </w:tcPr>
          <w:p w:rsidR="00000000" w:rsidDel="00000000" w:rsidP="00000000" w:rsidRDefault="00000000" w:rsidRPr="00000000" w14:paraId="0000001D">
            <w:pPr>
              <w:pBdr>
                <w:top w:space="0" w:sz="0" w:val="nil"/>
                <w:left w:space="0" w:sz="0" w:val="nil"/>
                <w:bottom w:space="0" w:sz="0" w:val="nil"/>
                <w:right w:space="0" w:sz="0" w:val="nil"/>
                <w:between w:space="0" w:sz="0" w:val="nil"/>
              </w:pBdr>
              <w:spacing w:before="1" w:line="276" w:lineRule="auto"/>
              <w:jc w:val="center"/>
              <w:rPr>
                <w:b w:val="1"/>
                <w:bCs w:val="1"/>
                <w:color w:val="ffffff"/>
              </w:rPr>
            </w:pPr>
            <w:r w:rsidDel="00000000" w:rsidR="00000000" w:rsidRPr="00000000">
              <w:rPr>
                <w:b w:val="1"/>
                <w:bCs w:val="1"/>
                <w:color w:val="ffffff"/>
                <w:rtl w:val="0"/>
              </w:rPr>
              <w:t xml:space="preserve">Curso</w:t>
            </w:r>
          </w:p>
        </w:tc>
        <w:tc>
          <w:tcPr>
            <w:vMerge w:val="restart"/>
            <w:tcBorders>
              <w:top w:color="ffffff" w:space="0" w:sz="6" w:val="single"/>
              <w:left w:color="cccccc" w:space="0" w:sz="6" w:val="single"/>
              <w:bottom w:color="ffffff" w:space="0" w:sz="6" w:val="single"/>
              <w:right w:color="ffffff" w:space="0" w:sz="6" w:val="single"/>
            </w:tcBorders>
            <w:shd w:fill="073763" w:val="clear"/>
            <w:tcMar>
              <w:top w:w="30.0" w:type="dxa"/>
              <w:left w:w="45.0" w:type="dxa"/>
              <w:bottom w:w="30.0" w:type="dxa"/>
              <w:right w:w="45.0" w:type="dxa"/>
            </w:tcMar>
            <w:vAlign w:val="center"/>
          </w:tcPr>
          <w:p w:rsidR="00000000" w:rsidDel="00000000" w:rsidP="00000000" w:rsidRDefault="00000000" w:rsidRPr="00000000" w14:paraId="0000001E">
            <w:pPr>
              <w:pBdr>
                <w:top w:space="0" w:sz="0" w:val="nil"/>
                <w:left w:space="0" w:sz="0" w:val="nil"/>
                <w:bottom w:space="0" w:sz="0" w:val="nil"/>
                <w:right w:space="0" w:sz="0" w:val="nil"/>
                <w:between w:space="0" w:sz="0" w:val="nil"/>
              </w:pBdr>
              <w:spacing w:before="1" w:line="276" w:lineRule="auto"/>
              <w:jc w:val="center"/>
              <w:rPr>
                <w:b w:val="1"/>
                <w:bCs w:val="1"/>
                <w:color w:val="ffffff"/>
              </w:rPr>
            </w:pPr>
            <w:r w:rsidDel="00000000" w:rsidR="00000000" w:rsidRPr="00000000">
              <w:rPr>
                <w:b w:val="1"/>
                <w:bCs w:val="1"/>
                <w:color w:val="ffffff"/>
                <w:rtl w:val="0"/>
              </w:rPr>
              <w:t xml:space="preserve">N° de disciplinas (nome, ementa e/ou conteúdo)</w:t>
            </w:r>
          </w:p>
        </w:tc>
        <w:tc>
          <w:tcPr>
            <w:vMerge w:val="restart"/>
            <w:tcBorders>
              <w:top w:color="ffffff" w:space="0" w:sz="6" w:val="single"/>
              <w:left w:color="cccccc" w:space="0" w:sz="6" w:val="single"/>
              <w:bottom w:color="ffffff" w:space="0" w:sz="6" w:val="single"/>
              <w:right w:color="ffffff" w:space="0" w:sz="6" w:val="single"/>
            </w:tcBorders>
            <w:shd w:fill="073763" w:val="clear"/>
            <w:tcMar>
              <w:top w:w="30.0" w:type="dxa"/>
              <w:left w:w="45.0" w:type="dxa"/>
              <w:bottom w:w="30.0" w:type="dxa"/>
              <w:right w:w="45.0" w:type="dxa"/>
            </w:tcMar>
            <w:vAlign w:val="center"/>
          </w:tcPr>
          <w:p w:rsidR="00000000" w:rsidDel="00000000" w:rsidP="00000000" w:rsidRDefault="00000000" w:rsidRPr="00000000" w14:paraId="0000001F">
            <w:pPr>
              <w:pBdr>
                <w:top w:space="0" w:sz="0" w:val="nil"/>
                <w:left w:space="0" w:sz="0" w:val="nil"/>
                <w:bottom w:space="0" w:sz="0" w:val="nil"/>
                <w:right w:space="0" w:sz="0" w:val="nil"/>
                <w:between w:space="0" w:sz="0" w:val="nil"/>
              </w:pBdr>
              <w:spacing w:before="1" w:line="276" w:lineRule="auto"/>
              <w:jc w:val="center"/>
              <w:rPr>
                <w:b w:val="1"/>
                <w:bCs w:val="1"/>
                <w:color w:val="ffffff"/>
              </w:rPr>
            </w:pPr>
            <w:r w:rsidDel="00000000" w:rsidR="00000000" w:rsidRPr="00000000">
              <w:rPr>
                <w:b w:val="1"/>
                <w:bCs w:val="1"/>
                <w:color w:val="ffffff"/>
                <w:rtl w:val="0"/>
              </w:rPr>
              <w:t xml:space="preserve">CHD* (horas/aula)</w:t>
            </w:r>
          </w:p>
        </w:tc>
        <w:tc>
          <w:tcPr>
            <w:vMerge w:val="restart"/>
            <w:tcBorders>
              <w:top w:color="ffffff" w:space="0" w:sz="6" w:val="single"/>
              <w:left w:color="cccccc" w:space="0" w:sz="6" w:val="single"/>
              <w:bottom w:color="ffffff" w:space="0" w:sz="6" w:val="single"/>
              <w:right w:color="ffffff" w:space="0" w:sz="6" w:val="single"/>
            </w:tcBorders>
            <w:shd w:fill="073763" w:val="clear"/>
            <w:tcMar>
              <w:top w:w="30.0" w:type="dxa"/>
              <w:left w:w="45.0" w:type="dxa"/>
              <w:bottom w:w="30.0" w:type="dxa"/>
              <w:right w:w="45.0" w:type="dxa"/>
            </w:tcMar>
            <w:vAlign w:val="center"/>
          </w:tcPr>
          <w:p w:rsidR="00000000" w:rsidDel="00000000" w:rsidP="00000000" w:rsidRDefault="00000000" w:rsidRPr="00000000" w14:paraId="00000020">
            <w:pPr>
              <w:pBdr>
                <w:top w:space="0" w:sz="0" w:val="nil"/>
                <w:left w:space="0" w:sz="0" w:val="nil"/>
                <w:bottom w:space="0" w:sz="0" w:val="nil"/>
                <w:right w:space="0" w:sz="0" w:val="nil"/>
                <w:between w:space="0" w:sz="0" w:val="nil"/>
              </w:pBdr>
              <w:spacing w:before="1" w:line="276" w:lineRule="auto"/>
              <w:jc w:val="center"/>
              <w:rPr>
                <w:b w:val="1"/>
                <w:bCs w:val="1"/>
                <w:color w:val="ffffff"/>
              </w:rPr>
            </w:pPr>
            <w:r w:rsidDel="00000000" w:rsidR="00000000" w:rsidRPr="00000000">
              <w:rPr>
                <w:b w:val="1"/>
                <w:bCs w:val="1"/>
                <w:color w:val="ffffff"/>
                <w:rtl w:val="0"/>
              </w:rPr>
              <w:t xml:space="preserve">CHT** (horas/aula)</w:t>
            </w:r>
          </w:p>
        </w:tc>
        <w:tc>
          <w:tcPr>
            <w:vMerge w:val="restart"/>
            <w:tcBorders>
              <w:top w:color="ffffff" w:space="0" w:sz="6" w:val="single"/>
              <w:left w:color="cccccc" w:space="0" w:sz="6" w:val="single"/>
              <w:bottom w:color="ffffff" w:space="0" w:sz="6" w:val="single"/>
              <w:right w:color="ffffff" w:space="0" w:sz="6" w:val="single"/>
            </w:tcBorders>
            <w:shd w:fill="073763" w:val="clear"/>
            <w:tcMar>
              <w:top w:w="30.0" w:type="dxa"/>
              <w:left w:w="45.0" w:type="dxa"/>
              <w:bottom w:w="30.0" w:type="dxa"/>
              <w:right w:w="45.0" w:type="dxa"/>
            </w:tcMar>
            <w:vAlign w:val="center"/>
          </w:tcPr>
          <w:p w:rsidR="00000000" w:rsidDel="00000000" w:rsidP="00000000" w:rsidRDefault="00000000" w:rsidRPr="00000000" w14:paraId="00000021">
            <w:pPr>
              <w:pBdr>
                <w:top w:space="0" w:sz="0" w:val="nil"/>
                <w:left w:space="0" w:sz="0" w:val="nil"/>
                <w:bottom w:space="0" w:sz="0" w:val="nil"/>
                <w:right w:space="0" w:sz="0" w:val="nil"/>
                <w:between w:space="0" w:sz="0" w:val="nil"/>
              </w:pBdr>
              <w:spacing w:before="1" w:line="276" w:lineRule="auto"/>
              <w:jc w:val="center"/>
              <w:rPr>
                <w:b w:val="1"/>
                <w:bCs w:val="1"/>
                <w:color w:val="ffffff"/>
              </w:rPr>
            </w:pPr>
            <w:r w:rsidDel="00000000" w:rsidR="00000000" w:rsidRPr="00000000">
              <w:rPr>
                <w:b w:val="1"/>
                <w:bCs w:val="1"/>
                <w:color w:val="ffffff"/>
                <w:rtl w:val="0"/>
              </w:rPr>
              <w:t xml:space="preserve">% (CHD / CHT)</w:t>
            </w:r>
          </w:p>
        </w:tc>
      </w:tr>
      <w:tr>
        <w:trPr>
          <w:cantSplit w:val="0"/>
          <w:trHeight w:val="315" w:hRule="atLeast"/>
          <w:tblHeader w:val="0"/>
        </w:trPr>
        <w:tc>
          <w:tcPr>
            <w:vMerge w:val="continue"/>
            <w:tcBorders>
              <w:top w:color="ffffff" w:space="0" w:sz="6" w:val="single"/>
              <w:left w:color="ffffff" w:space="0" w:sz="6" w:val="single"/>
              <w:bottom w:color="ffffff" w:space="0" w:sz="6" w:val="single"/>
              <w:right w:color="ffffff" w:space="0" w:sz="6" w:val="single"/>
            </w:tcBorders>
            <w:shd w:fill="073763" w:val="clear"/>
            <w:tcMar>
              <w:top w:w="30.0" w:type="dxa"/>
              <w:left w:w="45.0" w:type="dxa"/>
              <w:bottom w:w="30.0" w:type="dxa"/>
              <w:right w:w="45.0" w:type="dxa"/>
            </w:tcMar>
            <w:vAlign w:val="center"/>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rPr>
            </w:pPr>
            <w:r w:rsidDel="00000000" w:rsidR="00000000" w:rsidRPr="00000000">
              <w:rPr>
                <w:rtl w:val="0"/>
              </w:rPr>
            </w:r>
          </w:p>
        </w:tc>
        <w:tc>
          <w:tcPr>
            <w:vMerge w:val="continue"/>
            <w:tcBorders>
              <w:top w:color="ffffff" w:space="0" w:sz="6" w:val="single"/>
              <w:left w:color="cccccc" w:space="0" w:sz="6" w:val="single"/>
              <w:bottom w:color="ffffff" w:space="0" w:sz="6" w:val="single"/>
              <w:right w:color="ffffff" w:space="0" w:sz="6" w:val="single"/>
            </w:tcBorders>
            <w:shd w:fill="073763" w:val="clear"/>
            <w:tcMar>
              <w:top w:w="30.0" w:type="dxa"/>
              <w:left w:w="45.0" w:type="dxa"/>
              <w:bottom w:w="30.0" w:type="dxa"/>
              <w:right w:w="45.0" w:type="dxa"/>
            </w:tcMar>
            <w:vAlign w:val="center"/>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rPr>
            </w:pPr>
            <w:r w:rsidDel="00000000" w:rsidR="00000000" w:rsidRPr="00000000">
              <w:rPr>
                <w:rtl w:val="0"/>
              </w:rPr>
            </w:r>
          </w:p>
        </w:tc>
        <w:tc>
          <w:tcPr>
            <w:vMerge w:val="continue"/>
            <w:tcBorders>
              <w:top w:color="ffffff" w:space="0" w:sz="6" w:val="single"/>
              <w:left w:color="cccccc" w:space="0" w:sz="6" w:val="single"/>
              <w:bottom w:color="ffffff" w:space="0" w:sz="6" w:val="single"/>
              <w:right w:color="ffffff" w:space="0" w:sz="6" w:val="single"/>
            </w:tcBorders>
            <w:shd w:fill="073763" w:val="clear"/>
            <w:tcMar>
              <w:top w:w="30.0" w:type="dxa"/>
              <w:left w:w="45.0" w:type="dxa"/>
              <w:bottom w:w="30.0" w:type="dxa"/>
              <w:right w:w="45.0" w:type="dxa"/>
            </w:tcMar>
            <w:vAlign w:val="center"/>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rPr>
            </w:pPr>
            <w:r w:rsidDel="00000000" w:rsidR="00000000" w:rsidRPr="00000000">
              <w:rPr>
                <w:rtl w:val="0"/>
              </w:rPr>
            </w:r>
          </w:p>
        </w:tc>
        <w:tc>
          <w:tcPr>
            <w:vMerge w:val="continue"/>
            <w:tcBorders>
              <w:top w:color="ffffff" w:space="0" w:sz="6" w:val="single"/>
              <w:left w:color="cccccc" w:space="0" w:sz="6" w:val="single"/>
              <w:bottom w:color="ffffff" w:space="0" w:sz="6" w:val="single"/>
              <w:right w:color="ffffff" w:space="0" w:sz="6" w:val="single"/>
            </w:tcBorders>
            <w:shd w:fill="073763" w:val="clear"/>
            <w:tcMar>
              <w:top w:w="30.0" w:type="dxa"/>
              <w:left w:w="45.0" w:type="dxa"/>
              <w:bottom w:w="30.0" w:type="dxa"/>
              <w:right w:w="45.0" w:type="dxa"/>
            </w:tcMar>
            <w:vAlign w:val="center"/>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rPr>
            </w:pPr>
            <w:r w:rsidDel="00000000" w:rsidR="00000000" w:rsidRPr="00000000">
              <w:rPr>
                <w:rtl w:val="0"/>
              </w:rPr>
            </w:r>
          </w:p>
        </w:tc>
        <w:tc>
          <w:tcPr>
            <w:vMerge w:val="continue"/>
            <w:tcBorders>
              <w:top w:color="ffffff" w:space="0" w:sz="6" w:val="single"/>
              <w:left w:color="cccccc" w:space="0" w:sz="6" w:val="single"/>
              <w:bottom w:color="ffffff" w:space="0" w:sz="6" w:val="single"/>
              <w:right w:color="ffffff" w:space="0" w:sz="6" w:val="single"/>
            </w:tcBorders>
            <w:shd w:fill="073763" w:val="clear"/>
            <w:tcMar>
              <w:top w:w="30.0" w:type="dxa"/>
              <w:left w:w="45.0" w:type="dxa"/>
              <w:bottom w:w="30.0" w:type="dxa"/>
              <w:right w:w="45.0" w:type="dxa"/>
            </w:tcMar>
            <w:vAlign w:val="center"/>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vAlign w:val="center"/>
          </w:tcPr>
          <w:p w:rsidR="00000000" w:rsidDel="00000000" w:rsidP="00000000" w:rsidRDefault="00000000" w:rsidRPr="00000000" w14:paraId="00000027">
            <w:pPr>
              <w:pBdr>
                <w:top w:space="0" w:sz="0" w:val="nil"/>
                <w:left w:space="0" w:sz="0" w:val="nil"/>
                <w:bottom w:space="0" w:sz="0" w:val="nil"/>
                <w:right w:space="0" w:sz="0" w:val="nil"/>
                <w:between w:space="0" w:sz="0" w:val="nil"/>
              </w:pBdr>
              <w:spacing w:before="1" w:line="276" w:lineRule="auto"/>
              <w:ind w:firstLine="720"/>
              <w:jc w:val="both"/>
              <w:rPr>
                <w:b w:val="1"/>
                <w:bCs w:val="1"/>
                <w:color w:val="000000"/>
                <w:sz w:val="24"/>
                <w:szCs w:val="24"/>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8">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CAT</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9">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A">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160</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B">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3190</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C">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5,0%</w:t>
            </w:r>
          </w:p>
        </w:tc>
        <w:tc>
          <w:tcPr>
            <w:vAlign w:val="center"/>
          </w:tcPr>
          <w:p w:rsidR="00000000" w:rsidDel="00000000" w:rsidP="00000000" w:rsidRDefault="00000000" w:rsidRPr="00000000" w14:paraId="0000002D">
            <w:pPr>
              <w:pBdr>
                <w:top w:space="0" w:sz="0" w:val="nil"/>
                <w:left w:space="0" w:sz="0" w:val="nil"/>
                <w:bottom w:space="0" w:sz="0" w:val="nil"/>
                <w:right w:space="0" w:sz="0" w:val="nil"/>
                <w:between w:space="0" w:sz="0" w:val="nil"/>
              </w:pBdr>
              <w:spacing w:before="1" w:line="276" w:lineRule="auto"/>
              <w:ind w:firstLine="720"/>
              <w:jc w:val="both"/>
              <w:rPr>
                <w:color w:val="000000"/>
                <w:sz w:val="24"/>
                <w:szCs w:val="24"/>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E">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BLI</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F">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0">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48</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1">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3856</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2">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1,2%</w:t>
            </w:r>
          </w:p>
        </w:tc>
        <w:tc>
          <w:tcPr>
            <w:vAlign w:val="center"/>
          </w:tcPr>
          <w:p w:rsidR="00000000" w:rsidDel="00000000" w:rsidP="00000000" w:rsidRDefault="00000000" w:rsidRPr="00000000" w14:paraId="00000033">
            <w:pPr>
              <w:pBdr>
                <w:top w:space="0" w:sz="0" w:val="nil"/>
                <w:left w:space="0" w:sz="0" w:val="nil"/>
                <w:bottom w:space="0" w:sz="0" w:val="nil"/>
                <w:right w:space="0" w:sz="0" w:val="nil"/>
                <w:between w:space="0" w:sz="0" w:val="nil"/>
              </w:pBdr>
              <w:spacing w:before="1" w:line="276" w:lineRule="auto"/>
              <w:ind w:firstLine="720"/>
              <w:jc w:val="both"/>
              <w:rPr>
                <w:color w:val="000000"/>
                <w:sz w:val="24"/>
                <w:szCs w:val="24"/>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4">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EAM</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5">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5</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6">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224</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7">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4394</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8">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5,1%</w:t>
            </w:r>
          </w:p>
        </w:tc>
        <w:tc>
          <w:tcPr>
            <w:vAlign w:val="center"/>
          </w:tcPr>
          <w:p w:rsidR="00000000" w:rsidDel="00000000" w:rsidP="00000000" w:rsidRDefault="00000000" w:rsidRPr="00000000" w14:paraId="00000039">
            <w:pPr>
              <w:pBdr>
                <w:top w:space="0" w:sz="0" w:val="nil"/>
                <w:left w:space="0" w:sz="0" w:val="nil"/>
                <w:bottom w:space="0" w:sz="0" w:val="nil"/>
                <w:right w:space="0" w:sz="0" w:val="nil"/>
                <w:between w:space="0" w:sz="0" w:val="nil"/>
              </w:pBdr>
              <w:spacing w:before="1" w:line="276" w:lineRule="auto"/>
              <w:ind w:firstLine="720"/>
              <w:jc w:val="both"/>
              <w:rPr>
                <w:color w:val="000000"/>
                <w:sz w:val="24"/>
                <w:szCs w:val="24"/>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A">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ECI</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B">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4</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C">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240</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D">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4248</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E">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5,6%</w:t>
            </w:r>
          </w:p>
        </w:tc>
        <w:tc>
          <w:tcPr>
            <w:vAlign w:val="center"/>
          </w:tcPr>
          <w:p w:rsidR="00000000" w:rsidDel="00000000" w:rsidP="00000000" w:rsidRDefault="00000000" w:rsidRPr="00000000" w14:paraId="0000003F">
            <w:pPr>
              <w:pBdr>
                <w:top w:space="0" w:sz="0" w:val="nil"/>
                <w:left w:space="0" w:sz="0" w:val="nil"/>
                <w:bottom w:space="0" w:sz="0" w:val="nil"/>
                <w:right w:space="0" w:sz="0" w:val="nil"/>
                <w:between w:space="0" w:sz="0" w:val="nil"/>
              </w:pBdr>
              <w:spacing w:before="1" w:line="276" w:lineRule="auto"/>
              <w:ind w:firstLine="720"/>
              <w:jc w:val="both"/>
              <w:rPr>
                <w:color w:val="000000"/>
                <w:sz w:val="24"/>
                <w:szCs w:val="24"/>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0">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EBP</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1">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0</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2">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0</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3">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4021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4">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0,0%</w:t>
            </w:r>
          </w:p>
        </w:tc>
        <w:tc>
          <w:tcPr>
            <w:vAlign w:val="center"/>
          </w:tcPr>
          <w:p w:rsidR="00000000" w:rsidDel="00000000" w:rsidP="00000000" w:rsidRDefault="00000000" w:rsidRPr="00000000" w14:paraId="00000045">
            <w:pPr>
              <w:pBdr>
                <w:top w:space="0" w:sz="0" w:val="nil"/>
                <w:left w:space="0" w:sz="0" w:val="nil"/>
                <w:bottom w:space="0" w:sz="0" w:val="nil"/>
                <w:right w:space="0" w:sz="0" w:val="nil"/>
                <w:between w:space="0" w:sz="0" w:val="nil"/>
              </w:pBdr>
              <w:spacing w:before="1" w:line="276" w:lineRule="auto"/>
              <w:ind w:firstLine="720"/>
              <w:jc w:val="both"/>
              <w:rPr>
                <w:color w:val="000000"/>
                <w:sz w:val="24"/>
                <w:szCs w:val="24"/>
              </w:rPr>
            </w:pPr>
            <w:r w:rsidDel="00000000" w:rsidR="00000000" w:rsidRPr="00000000">
              <w:rPr>
                <w:rtl w:val="0"/>
              </w:rPr>
            </w:r>
          </w:p>
        </w:tc>
      </w:tr>
      <w:tr>
        <w:trPr>
          <w:cantSplit w:val="0"/>
          <w:trHeight w:val="91"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6">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EHD</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7">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8">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64</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9">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3768</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A">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1,7%</w:t>
            </w:r>
          </w:p>
        </w:tc>
        <w:tc>
          <w:tcPr>
            <w:tcMar>
              <w:left w:w="0.0" w:type="dxa"/>
              <w:right w:w="0.0" w:type="dxa"/>
            </w:tcMar>
            <w:vAlign w:val="center"/>
          </w:tcPr>
          <w:p w:rsidR="00000000" w:rsidDel="00000000" w:rsidP="00000000" w:rsidRDefault="00000000" w:rsidRPr="00000000" w14:paraId="0000004B">
            <w:pPr>
              <w:pBdr>
                <w:top w:space="0" w:sz="0" w:val="nil"/>
                <w:left w:space="0" w:sz="0" w:val="nil"/>
                <w:bottom w:space="0" w:sz="0" w:val="nil"/>
                <w:right w:space="0" w:sz="0" w:val="nil"/>
                <w:between w:space="0" w:sz="0" w:val="nil"/>
              </w:pBdr>
              <w:spacing w:before="1" w:line="276" w:lineRule="auto"/>
              <w:ind w:firstLine="720"/>
              <w:jc w:val="both"/>
              <w:rPr>
                <w:color w:val="000000"/>
                <w:sz w:val="24"/>
                <w:szCs w:val="24"/>
              </w:rPr>
            </w:pPr>
            <w:r w:rsidDel="00000000" w:rsidR="00000000" w:rsidRPr="00000000">
              <w:rPr>
                <w:rtl w:val="0"/>
              </w:rPr>
            </w:r>
          </w:p>
        </w:tc>
      </w:tr>
      <w:tr>
        <w:trPr>
          <w:cantSplit w:val="0"/>
          <w:trHeight w:val="124"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C">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EQI</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D">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E">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64</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F">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3953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0">
            <w:pPr>
              <w:pBdr>
                <w:top w:space="0" w:sz="0" w:val="nil"/>
                <w:left w:space="0" w:sz="0" w:val="nil"/>
                <w:bottom w:space="0" w:sz="0" w:val="nil"/>
                <w:right w:space="0" w:sz="0" w:val="nil"/>
                <w:between w:space="0" w:sz="0" w:val="nil"/>
              </w:pBdr>
              <w:spacing w:before="1" w:line="276" w:lineRule="auto"/>
              <w:jc w:val="center"/>
              <w:rPr>
                <w:color w:val="000000"/>
              </w:rPr>
            </w:pPr>
            <w:r w:rsidDel="00000000" w:rsidR="00000000" w:rsidRPr="00000000">
              <w:rPr>
                <w:color w:val="000000"/>
                <w:rtl w:val="0"/>
              </w:rPr>
              <w:t xml:space="preserve">1,6%</w:t>
            </w:r>
          </w:p>
        </w:tc>
        <w:tc>
          <w:tcPr>
            <w:tcMar>
              <w:left w:w="0.0" w:type="dxa"/>
              <w:right w:w="0.0" w:type="dxa"/>
            </w:tcMar>
            <w:vAlign w:val="center"/>
          </w:tcPr>
          <w:p w:rsidR="00000000" w:rsidDel="00000000" w:rsidP="00000000" w:rsidRDefault="00000000" w:rsidRPr="00000000" w14:paraId="00000051">
            <w:pPr>
              <w:pBdr>
                <w:top w:space="0" w:sz="0" w:val="nil"/>
                <w:left w:space="0" w:sz="0" w:val="nil"/>
                <w:bottom w:space="0" w:sz="0" w:val="nil"/>
                <w:right w:space="0" w:sz="0" w:val="nil"/>
                <w:between w:space="0" w:sz="0" w:val="nil"/>
              </w:pBdr>
              <w:spacing w:before="1" w:line="276" w:lineRule="auto"/>
              <w:ind w:firstLine="720"/>
              <w:jc w:val="both"/>
              <w:rPr>
                <w:color w:val="000000"/>
                <w:sz w:val="24"/>
                <w:szCs w:val="24"/>
              </w:rPr>
            </w:pPr>
            <w:r w:rsidDel="00000000" w:rsidR="00000000" w:rsidRPr="00000000">
              <w:rPr>
                <w:rtl w:val="0"/>
              </w:rPr>
            </w:r>
          </w:p>
        </w:tc>
      </w:tr>
    </w:tbl>
    <w:p w:rsidR="00000000" w:rsidDel="00000000" w:rsidP="00000000" w:rsidRDefault="00000000" w:rsidRPr="00000000" w14:paraId="00000052">
      <w:pPr>
        <w:pBdr>
          <w:top w:space="0" w:sz="0" w:val="nil"/>
          <w:left w:space="0" w:sz="0" w:val="nil"/>
          <w:bottom w:space="0" w:sz="0" w:val="nil"/>
          <w:right w:space="0" w:sz="0" w:val="nil"/>
          <w:between w:space="0" w:sz="0" w:val="nil"/>
        </w:pBdr>
        <w:spacing w:before="1" w:line="360" w:lineRule="auto"/>
        <w:jc w:val="both"/>
        <w:rPr>
          <w:i w:val="1"/>
          <w:iCs w:val="1"/>
          <w:color w:val="000000"/>
          <w:sz w:val="20"/>
          <w:szCs w:val="20"/>
        </w:rPr>
      </w:pPr>
      <w:r w:rsidDel="00000000" w:rsidR="00000000" w:rsidRPr="00000000">
        <w:rPr>
          <w:i w:val="1"/>
          <w:iCs w:val="1"/>
          <w:color w:val="000000"/>
          <w:sz w:val="20"/>
          <w:szCs w:val="20"/>
          <w:rtl w:val="0"/>
        </w:rPr>
        <w:t xml:space="preserve">*CHD = Carga Horária da Disciplina; **CHT = Carga Horária Total do Curso.</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before="1" w:line="360" w:lineRule="auto"/>
        <w:jc w:val="both"/>
        <w:rPr>
          <w:color w:val="000000"/>
          <w:sz w:val="20"/>
          <w:szCs w:val="20"/>
        </w:rPr>
      </w:pPr>
      <w:r w:rsidDel="00000000" w:rsidR="00000000" w:rsidRPr="00000000">
        <w:rPr>
          <w:color w:val="000000"/>
          <w:sz w:val="20"/>
          <w:szCs w:val="20"/>
          <w:rtl w:val="0"/>
        </w:rPr>
        <w:t xml:space="preserve">Fonte: elaboração própria (2025).</w:t>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before="1" w:line="360" w:lineRule="auto"/>
        <w:jc w:val="both"/>
        <w:rPr>
          <w:color w:val="000000"/>
          <w:sz w:val="20"/>
          <w:szCs w:val="20"/>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before="1" w:line="360" w:lineRule="auto"/>
        <w:ind w:firstLine="720"/>
        <w:jc w:val="both"/>
        <w:rPr>
          <w:color w:val="000000"/>
          <w:sz w:val="24"/>
          <w:szCs w:val="24"/>
        </w:rPr>
      </w:pPr>
      <w:r w:rsidDel="00000000" w:rsidR="00000000" w:rsidRPr="00000000">
        <w:rPr>
          <w:color w:val="000000"/>
          <w:sz w:val="24"/>
          <w:szCs w:val="24"/>
          <w:rtl w:val="0"/>
        </w:rPr>
        <w:t xml:space="preserve">A análise mostrou que, contrariando as expectativas, a EAM não apresentou a maior carga horária dedicada a este tema, o que pode estar relacionado à limitação metodológica da busca por termos explícitos nas disciplinas. Ainda assim, o tema aparece de forma transversal no curso, integrado a diferentes eixos temáticos das disciplinas. A atuação do engenheiro ambiental envolve equilibrar desenvolvimento, tecnologia e meio ambiente (Alonso; Alonso, 2014), o que indica que os conceitos de sustentabilidade podem estar incorporados ao PPC da EAM de maneira implícita, permeando áreas como saneamento, recursos hídricos, legislação ambiental e manejo do solo. Já a ECI vem incorporando progressivamente preocupações socioambientais, impulsionada pelas novas exigências do setor da construção, como eficiência energética, redução de emissões e uso de materiais sustentáveis (Pascoal; Gouveia, 2025).</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before="1" w:line="360" w:lineRule="auto"/>
        <w:ind w:firstLine="720"/>
        <w:jc w:val="both"/>
        <w:rPr>
          <w:color w:val="000000"/>
          <w:sz w:val="24"/>
          <w:szCs w:val="24"/>
        </w:rPr>
      </w:pPr>
      <w:r w:rsidDel="00000000" w:rsidR="00000000" w:rsidRPr="00000000">
        <w:rPr>
          <w:color w:val="000000"/>
          <w:sz w:val="24"/>
          <w:szCs w:val="24"/>
          <w:rtl w:val="0"/>
        </w:rPr>
        <w:t xml:space="preserve">No entanto, observou-se que, mesmo nos cursos com a maior presença da temática, a carga horária dedicada à sustentabilidade é reduzida (inferior a 6%), o que limita o aprofundamento crítico e favorece uma visão reformista do desenvolvimento. Essa baixa representatividade pode estar associada ao forte enfoque técnico dos cursos, que priorizam soluções tecnológicas em detrimento de reflexões mais amplas sobre as dimensões socioambientais (Juliano; Melo; Marques, 2017).</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before="1" w:line="360" w:lineRule="auto"/>
        <w:ind w:firstLine="720"/>
        <w:jc w:val="both"/>
        <w:rPr>
          <w:color w:val="000000"/>
          <w:sz w:val="24"/>
          <w:szCs w:val="24"/>
        </w:rPr>
      </w:pPr>
      <w:r w:rsidDel="00000000" w:rsidR="00000000" w:rsidRPr="00000000">
        <w:rPr>
          <w:color w:val="000000"/>
          <w:sz w:val="24"/>
          <w:szCs w:val="24"/>
          <w:rtl w:val="0"/>
        </w:rPr>
        <w:t xml:space="preserve">A análise mais aprofundada das disciplinas (Tabela 2), a partir das seis dimensões da sustentabilidade propostas por Juliano, Melo e Marques (2017), permitiu uma compreensão ampliada do conceito, além do tradicional tripé econômico, social e ambiental. Nos PPCs analisados, destacaram-se principalmente as dimensões ecológica - voltada à preservação ambiental e uso racional dos recursos - e técnico-econômica, relacionada à busca por soluções produtivas eficientes e menos impactantes. A dimensão social apareceu de forma intermediária, geralmente associada à responsabilidade social.</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before="1" w:line="360" w:lineRule="auto"/>
        <w:ind w:firstLine="720"/>
        <w:jc w:val="both"/>
        <w:rPr>
          <w:color w:val="000000"/>
          <w:sz w:val="24"/>
          <w:szCs w:val="24"/>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before="1" w:line="360" w:lineRule="auto"/>
        <w:jc w:val="center"/>
        <w:rPr>
          <w:b w:val="1"/>
          <w:bCs w:val="1"/>
          <w:color w:val="000000"/>
          <w:sz w:val="20"/>
          <w:szCs w:val="20"/>
        </w:rPr>
      </w:pPr>
      <w:r w:rsidDel="00000000" w:rsidR="00000000" w:rsidRPr="00000000">
        <w:rPr>
          <w:b w:val="1"/>
          <w:bCs w:val="1"/>
          <w:color w:val="000000"/>
          <w:sz w:val="20"/>
          <w:szCs w:val="20"/>
          <w:rtl w:val="0"/>
        </w:rPr>
        <w:t xml:space="preserve">Tabela 2 - Dimensões do conceito de sustentabilidade identificadas nas disciplinas.</w:t>
      </w:r>
    </w:p>
    <w:tbl>
      <w:tblPr>
        <w:tblStyle w:val="Table2"/>
        <w:tblW w:w="9165.0" w:type="dxa"/>
        <w:jc w:val="left"/>
        <w:tblInd w:w="-45.0" w:type="dxa"/>
        <w:tblLayout w:type="fixed"/>
        <w:tblLook w:val="0400"/>
      </w:tblPr>
      <w:tblGrid>
        <w:gridCol w:w="3164"/>
        <w:gridCol w:w="1276"/>
        <w:gridCol w:w="1116"/>
        <w:gridCol w:w="913"/>
        <w:gridCol w:w="602"/>
        <w:gridCol w:w="824"/>
        <w:gridCol w:w="735"/>
        <w:gridCol w:w="535"/>
        <w:tblGridChange w:id="0">
          <w:tblGrid>
            <w:gridCol w:w="3164"/>
            <w:gridCol w:w="1276"/>
            <w:gridCol w:w="1116"/>
            <w:gridCol w:w="913"/>
            <w:gridCol w:w="602"/>
            <w:gridCol w:w="824"/>
            <w:gridCol w:w="735"/>
            <w:gridCol w:w="535"/>
          </w:tblGrid>
        </w:tblGridChange>
      </w:tblGrid>
      <w:tr>
        <w:trPr>
          <w:cantSplit w:val="0"/>
          <w:trHeight w:val="315" w:hRule="atLeast"/>
          <w:tblHeader w:val="0"/>
        </w:trPr>
        <w:tc>
          <w:tcPr>
            <w:vMerge w:val="restart"/>
            <w:tcBorders>
              <w:top w:color="ffffff" w:space="0" w:sz="6" w:val="single"/>
              <w:left w:color="ffffff" w:space="0" w:sz="6" w:val="single"/>
              <w:bottom w:color="000000" w:space="0" w:sz="6" w:val="single"/>
              <w:right w:color="ffffff" w:space="0" w:sz="6" w:val="single"/>
            </w:tcBorders>
            <w:shd w:fill="073763" w:val="clear"/>
            <w:tcMar>
              <w:top w:w="30.0" w:type="dxa"/>
              <w:left w:w="45.0" w:type="dxa"/>
              <w:bottom w:w="30.0" w:type="dxa"/>
              <w:right w:w="45.0" w:type="dxa"/>
            </w:tcMar>
            <w:vAlign w:val="center"/>
          </w:tcPr>
          <w:p w:rsidR="00000000" w:rsidDel="00000000" w:rsidP="00000000" w:rsidRDefault="00000000" w:rsidRPr="00000000" w14:paraId="0000005A">
            <w:pPr>
              <w:pBdr>
                <w:top w:space="0" w:sz="0" w:val="nil"/>
                <w:left w:space="0" w:sz="0" w:val="nil"/>
                <w:bottom w:space="0" w:sz="0" w:val="nil"/>
                <w:right w:space="0" w:sz="0" w:val="nil"/>
                <w:between w:space="0" w:sz="0" w:val="nil"/>
              </w:pBdr>
              <w:spacing w:before="1" w:line="276" w:lineRule="auto"/>
              <w:jc w:val="center"/>
              <w:rPr>
                <w:b w:val="1"/>
                <w:bCs w:val="1"/>
                <w:color w:val="ffffff"/>
                <w:sz w:val="20"/>
                <w:szCs w:val="20"/>
              </w:rPr>
            </w:pPr>
            <w:r w:rsidDel="00000000" w:rsidR="00000000" w:rsidRPr="00000000">
              <w:rPr>
                <w:b w:val="1"/>
                <w:bCs w:val="1"/>
                <w:color w:val="ffffff"/>
                <w:sz w:val="20"/>
                <w:szCs w:val="20"/>
                <w:rtl w:val="0"/>
              </w:rPr>
              <w:t xml:space="preserve">Disciplina</w:t>
            </w:r>
          </w:p>
        </w:tc>
        <w:tc>
          <w:tcPr>
            <w:vMerge w:val="restart"/>
            <w:tcBorders>
              <w:top w:color="ffffff" w:space="0" w:sz="6" w:val="single"/>
              <w:left w:color="cccccc" w:space="0" w:sz="6" w:val="single"/>
              <w:bottom w:color="000000" w:space="0" w:sz="6" w:val="single"/>
              <w:right w:color="ffffff" w:space="0" w:sz="6" w:val="single"/>
            </w:tcBorders>
            <w:shd w:fill="073763" w:val="clear"/>
            <w:tcMar>
              <w:top w:w="30.0" w:type="dxa"/>
              <w:left w:w="45.0" w:type="dxa"/>
              <w:bottom w:w="30.0" w:type="dxa"/>
              <w:right w:w="45.0" w:type="dxa"/>
            </w:tcMar>
            <w:vAlign w:val="center"/>
          </w:tcPr>
          <w:p w:rsidR="00000000" w:rsidDel="00000000" w:rsidP="00000000" w:rsidRDefault="00000000" w:rsidRPr="00000000" w14:paraId="0000005B">
            <w:pPr>
              <w:pBdr>
                <w:top w:space="0" w:sz="0" w:val="nil"/>
                <w:left w:space="0" w:sz="0" w:val="nil"/>
                <w:bottom w:space="0" w:sz="0" w:val="nil"/>
                <w:right w:space="0" w:sz="0" w:val="nil"/>
                <w:between w:space="0" w:sz="0" w:val="nil"/>
              </w:pBdr>
              <w:spacing w:before="1" w:line="276" w:lineRule="auto"/>
              <w:jc w:val="center"/>
              <w:rPr>
                <w:b w:val="1"/>
                <w:bCs w:val="1"/>
                <w:color w:val="ffffff"/>
                <w:sz w:val="20"/>
                <w:szCs w:val="20"/>
              </w:rPr>
            </w:pPr>
            <w:r w:rsidDel="00000000" w:rsidR="00000000" w:rsidRPr="00000000">
              <w:rPr>
                <w:b w:val="1"/>
                <w:bCs w:val="1"/>
                <w:color w:val="ffffff"/>
                <w:sz w:val="20"/>
                <w:szCs w:val="20"/>
                <w:rtl w:val="0"/>
              </w:rPr>
              <w:t xml:space="preserve">Curso</w:t>
            </w:r>
          </w:p>
        </w:tc>
        <w:tc>
          <w:tcPr>
            <w:gridSpan w:val="6"/>
            <w:tcBorders>
              <w:top w:color="ffffff" w:space="0" w:sz="6" w:val="single"/>
              <w:left w:color="cccccc" w:space="0" w:sz="6" w:val="single"/>
              <w:bottom w:color="ffffff" w:space="0" w:sz="6" w:val="single"/>
              <w:right w:color="ffffff" w:space="0" w:sz="6" w:val="single"/>
            </w:tcBorders>
            <w:shd w:fill="073763" w:val="clear"/>
            <w:tcMar>
              <w:top w:w="30.0" w:type="dxa"/>
              <w:left w:w="45.0" w:type="dxa"/>
              <w:bottom w:w="30.0" w:type="dxa"/>
              <w:right w:w="45.0" w:type="dxa"/>
            </w:tcMar>
            <w:vAlign w:val="center"/>
          </w:tcPr>
          <w:p w:rsidR="00000000" w:rsidDel="00000000" w:rsidP="00000000" w:rsidRDefault="00000000" w:rsidRPr="00000000" w14:paraId="0000005C">
            <w:pPr>
              <w:pBdr>
                <w:top w:space="0" w:sz="0" w:val="nil"/>
                <w:left w:space="0" w:sz="0" w:val="nil"/>
                <w:bottom w:space="0" w:sz="0" w:val="nil"/>
                <w:right w:space="0" w:sz="0" w:val="nil"/>
                <w:between w:space="0" w:sz="0" w:val="nil"/>
              </w:pBdr>
              <w:spacing w:before="1" w:line="276" w:lineRule="auto"/>
              <w:jc w:val="center"/>
              <w:rPr>
                <w:b w:val="1"/>
                <w:bCs w:val="1"/>
                <w:color w:val="ffffff"/>
                <w:sz w:val="20"/>
                <w:szCs w:val="20"/>
              </w:rPr>
            </w:pPr>
            <w:r w:rsidDel="00000000" w:rsidR="00000000" w:rsidRPr="00000000">
              <w:rPr>
                <w:b w:val="1"/>
                <w:bCs w:val="1"/>
                <w:color w:val="ffffff"/>
                <w:sz w:val="20"/>
                <w:szCs w:val="20"/>
                <w:rtl w:val="0"/>
              </w:rPr>
              <w:t xml:space="preserve">Dimensões conceituais da sustentabilidade</w:t>
            </w:r>
          </w:p>
        </w:tc>
      </w:tr>
      <w:tr>
        <w:trPr>
          <w:cantSplit w:val="0"/>
          <w:trHeight w:val="540" w:hRule="atLeast"/>
          <w:tblHeader w:val="0"/>
        </w:trPr>
        <w:tc>
          <w:tcPr>
            <w:vMerge w:val="continue"/>
            <w:tcBorders>
              <w:top w:color="ffffff" w:space="0" w:sz="6" w:val="single"/>
              <w:left w:color="ffffff" w:space="0" w:sz="6" w:val="single"/>
              <w:bottom w:color="000000" w:space="0" w:sz="6" w:val="single"/>
              <w:right w:color="ffffff" w:space="0" w:sz="6" w:val="single"/>
            </w:tcBorders>
            <w:shd w:fill="073763" w:val="clear"/>
            <w:tcMar>
              <w:top w:w="30.0" w:type="dxa"/>
              <w:left w:w="45.0" w:type="dxa"/>
              <w:bottom w:w="30.0" w:type="dxa"/>
              <w:right w:w="45.0" w:type="dxa"/>
            </w:tcMar>
            <w:vAlign w:val="cente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sz w:val="20"/>
                <w:szCs w:val="20"/>
              </w:rPr>
            </w:pPr>
            <w:r w:rsidDel="00000000" w:rsidR="00000000" w:rsidRPr="00000000">
              <w:rPr>
                <w:rtl w:val="0"/>
              </w:rPr>
            </w:r>
          </w:p>
        </w:tc>
        <w:tc>
          <w:tcPr>
            <w:vMerge w:val="continue"/>
            <w:tcBorders>
              <w:top w:color="ffffff" w:space="0" w:sz="6" w:val="single"/>
              <w:left w:color="cccccc" w:space="0" w:sz="6" w:val="single"/>
              <w:bottom w:color="000000" w:space="0" w:sz="6" w:val="single"/>
              <w:right w:color="ffffff" w:space="0" w:sz="6" w:val="single"/>
            </w:tcBorders>
            <w:shd w:fill="073763" w:val="clear"/>
            <w:tcMar>
              <w:top w:w="30.0" w:type="dxa"/>
              <w:left w:w="45.0" w:type="dxa"/>
              <w:bottom w:w="30.0" w:type="dxa"/>
              <w:right w:w="45.0" w:type="dxa"/>
            </w:tcMar>
            <w:vAlign w:val="center"/>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ffffff" w:space="0" w:sz="6" w:val="single"/>
            </w:tcBorders>
            <w:shd w:fill="073763" w:val="clear"/>
            <w:tcMar>
              <w:top w:w="30.0" w:type="dxa"/>
              <w:left w:w="45.0" w:type="dxa"/>
              <w:bottom w:w="30.0" w:type="dxa"/>
              <w:right w:w="45.0" w:type="dxa"/>
            </w:tcMar>
            <w:vAlign w:val="center"/>
          </w:tcPr>
          <w:p w:rsidR="00000000" w:rsidDel="00000000" w:rsidP="00000000" w:rsidRDefault="00000000" w:rsidRPr="00000000" w14:paraId="00000064">
            <w:pPr>
              <w:pBdr>
                <w:top w:space="0" w:sz="0" w:val="nil"/>
                <w:left w:space="0" w:sz="0" w:val="nil"/>
                <w:bottom w:space="0" w:sz="0" w:val="nil"/>
                <w:right w:space="0" w:sz="0" w:val="nil"/>
                <w:between w:space="0" w:sz="0" w:val="nil"/>
              </w:pBdr>
              <w:spacing w:before="1" w:line="276" w:lineRule="auto"/>
              <w:jc w:val="center"/>
              <w:rPr>
                <w:b w:val="1"/>
                <w:bCs w:val="1"/>
                <w:color w:val="ffffff"/>
                <w:sz w:val="20"/>
                <w:szCs w:val="20"/>
              </w:rPr>
            </w:pPr>
            <w:r w:rsidDel="00000000" w:rsidR="00000000" w:rsidRPr="00000000">
              <w:rPr>
                <w:b w:val="1"/>
                <w:bCs w:val="1"/>
                <w:color w:val="ffffff"/>
                <w:sz w:val="20"/>
                <w:szCs w:val="20"/>
                <w:rtl w:val="0"/>
              </w:rPr>
              <w:t xml:space="preserve">Técnico - Econômica</w:t>
            </w:r>
          </w:p>
        </w:tc>
        <w:tc>
          <w:tcPr>
            <w:tcBorders>
              <w:top w:color="cccccc" w:space="0" w:sz="6" w:val="single"/>
              <w:left w:color="cccccc" w:space="0" w:sz="6" w:val="single"/>
              <w:bottom w:color="000000" w:space="0" w:sz="6" w:val="single"/>
              <w:right w:color="ffffff" w:space="0" w:sz="6" w:val="single"/>
            </w:tcBorders>
            <w:shd w:fill="073763" w:val="clear"/>
            <w:tcMar>
              <w:top w:w="30.0" w:type="dxa"/>
              <w:left w:w="45.0" w:type="dxa"/>
              <w:bottom w:w="30.0" w:type="dxa"/>
              <w:right w:w="45.0" w:type="dxa"/>
            </w:tcMar>
            <w:vAlign w:val="center"/>
          </w:tcPr>
          <w:p w:rsidR="00000000" w:rsidDel="00000000" w:rsidP="00000000" w:rsidRDefault="00000000" w:rsidRPr="00000000" w14:paraId="00000065">
            <w:pPr>
              <w:pBdr>
                <w:top w:space="0" w:sz="0" w:val="nil"/>
                <w:left w:space="0" w:sz="0" w:val="nil"/>
                <w:bottom w:space="0" w:sz="0" w:val="nil"/>
                <w:right w:space="0" w:sz="0" w:val="nil"/>
                <w:between w:space="0" w:sz="0" w:val="nil"/>
              </w:pBdr>
              <w:spacing w:before="1" w:line="276" w:lineRule="auto"/>
              <w:jc w:val="center"/>
              <w:rPr>
                <w:b w:val="1"/>
                <w:bCs w:val="1"/>
                <w:color w:val="ffffff"/>
                <w:sz w:val="20"/>
                <w:szCs w:val="20"/>
              </w:rPr>
            </w:pPr>
            <w:r w:rsidDel="00000000" w:rsidR="00000000" w:rsidRPr="00000000">
              <w:rPr>
                <w:b w:val="1"/>
                <w:bCs w:val="1"/>
                <w:color w:val="ffffff"/>
                <w:sz w:val="20"/>
                <w:szCs w:val="20"/>
                <w:rtl w:val="0"/>
              </w:rPr>
              <w:t xml:space="preserve">Ecológica</w:t>
            </w:r>
          </w:p>
        </w:tc>
        <w:tc>
          <w:tcPr>
            <w:tcBorders>
              <w:top w:color="cccccc" w:space="0" w:sz="6" w:val="single"/>
              <w:left w:color="cccccc" w:space="0" w:sz="6" w:val="single"/>
              <w:bottom w:color="000000" w:space="0" w:sz="6" w:val="single"/>
              <w:right w:color="ffffff" w:space="0" w:sz="6" w:val="single"/>
            </w:tcBorders>
            <w:shd w:fill="073763" w:val="clear"/>
            <w:tcMar>
              <w:top w:w="30.0" w:type="dxa"/>
              <w:left w:w="45.0" w:type="dxa"/>
              <w:bottom w:w="30.0" w:type="dxa"/>
              <w:right w:w="45.0" w:type="dxa"/>
            </w:tcMar>
            <w:vAlign w:val="center"/>
          </w:tcPr>
          <w:p w:rsidR="00000000" w:rsidDel="00000000" w:rsidP="00000000" w:rsidRDefault="00000000" w:rsidRPr="00000000" w14:paraId="00000066">
            <w:pPr>
              <w:pBdr>
                <w:top w:space="0" w:sz="0" w:val="nil"/>
                <w:left w:space="0" w:sz="0" w:val="nil"/>
                <w:bottom w:space="0" w:sz="0" w:val="nil"/>
                <w:right w:space="0" w:sz="0" w:val="nil"/>
                <w:between w:space="0" w:sz="0" w:val="nil"/>
              </w:pBdr>
              <w:spacing w:before="1" w:line="276" w:lineRule="auto"/>
              <w:jc w:val="center"/>
              <w:rPr>
                <w:b w:val="1"/>
                <w:bCs w:val="1"/>
                <w:color w:val="ffffff"/>
                <w:sz w:val="20"/>
                <w:szCs w:val="20"/>
              </w:rPr>
            </w:pPr>
            <w:r w:rsidDel="00000000" w:rsidR="00000000" w:rsidRPr="00000000">
              <w:rPr>
                <w:b w:val="1"/>
                <w:bCs w:val="1"/>
                <w:color w:val="ffffff"/>
                <w:sz w:val="20"/>
                <w:szCs w:val="20"/>
                <w:rtl w:val="0"/>
              </w:rPr>
              <w:t xml:space="preserve">Social</w:t>
            </w:r>
          </w:p>
        </w:tc>
        <w:tc>
          <w:tcPr>
            <w:tcBorders>
              <w:top w:color="cccccc" w:space="0" w:sz="6" w:val="single"/>
              <w:left w:color="cccccc" w:space="0" w:sz="6" w:val="single"/>
              <w:bottom w:color="000000" w:space="0" w:sz="6" w:val="single"/>
              <w:right w:color="ffffff" w:space="0" w:sz="6" w:val="single"/>
            </w:tcBorders>
            <w:shd w:fill="073763" w:val="clear"/>
            <w:tcMar>
              <w:top w:w="30.0" w:type="dxa"/>
              <w:left w:w="45.0" w:type="dxa"/>
              <w:bottom w:w="30.0" w:type="dxa"/>
              <w:right w:w="45.0" w:type="dxa"/>
            </w:tcMar>
            <w:vAlign w:val="center"/>
          </w:tcPr>
          <w:p w:rsidR="00000000" w:rsidDel="00000000" w:rsidP="00000000" w:rsidRDefault="00000000" w:rsidRPr="00000000" w14:paraId="00000067">
            <w:pPr>
              <w:pBdr>
                <w:top w:space="0" w:sz="0" w:val="nil"/>
                <w:left w:space="0" w:sz="0" w:val="nil"/>
                <w:bottom w:space="0" w:sz="0" w:val="nil"/>
                <w:right w:space="0" w:sz="0" w:val="nil"/>
                <w:between w:space="0" w:sz="0" w:val="nil"/>
              </w:pBdr>
              <w:spacing w:before="1" w:line="276" w:lineRule="auto"/>
              <w:jc w:val="center"/>
              <w:rPr>
                <w:b w:val="1"/>
                <w:bCs w:val="1"/>
                <w:color w:val="ffffff"/>
                <w:sz w:val="20"/>
                <w:szCs w:val="20"/>
              </w:rPr>
            </w:pPr>
            <w:r w:rsidDel="00000000" w:rsidR="00000000" w:rsidRPr="00000000">
              <w:rPr>
                <w:b w:val="1"/>
                <w:bCs w:val="1"/>
                <w:color w:val="ffffff"/>
                <w:sz w:val="20"/>
                <w:szCs w:val="20"/>
                <w:rtl w:val="0"/>
              </w:rPr>
              <w:t xml:space="preserve">Cultural</w:t>
            </w:r>
          </w:p>
        </w:tc>
        <w:tc>
          <w:tcPr>
            <w:tcBorders>
              <w:top w:color="cccccc" w:space="0" w:sz="6" w:val="single"/>
              <w:left w:color="cccccc" w:space="0" w:sz="6" w:val="single"/>
              <w:bottom w:color="000000" w:space="0" w:sz="6" w:val="single"/>
              <w:right w:color="ffffff" w:space="0" w:sz="6" w:val="single"/>
            </w:tcBorders>
            <w:shd w:fill="073763" w:val="clear"/>
            <w:tcMar>
              <w:top w:w="30.0" w:type="dxa"/>
              <w:left w:w="45.0" w:type="dxa"/>
              <w:bottom w:w="30.0" w:type="dxa"/>
              <w:right w:w="45.0" w:type="dxa"/>
            </w:tcMar>
            <w:vAlign w:val="center"/>
          </w:tcPr>
          <w:p w:rsidR="00000000" w:rsidDel="00000000" w:rsidP="00000000" w:rsidRDefault="00000000" w:rsidRPr="00000000" w14:paraId="00000068">
            <w:pPr>
              <w:pBdr>
                <w:top w:space="0" w:sz="0" w:val="nil"/>
                <w:left w:space="0" w:sz="0" w:val="nil"/>
                <w:bottom w:space="0" w:sz="0" w:val="nil"/>
                <w:right w:space="0" w:sz="0" w:val="nil"/>
                <w:between w:space="0" w:sz="0" w:val="nil"/>
              </w:pBdr>
              <w:spacing w:before="1" w:line="276" w:lineRule="auto"/>
              <w:jc w:val="center"/>
              <w:rPr>
                <w:b w:val="1"/>
                <w:bCs w:val="1"/>
                <w:color w:val="ffffff"/>
                <w:sz w:val="20"/>
                <w:szCs w:val="20"/>
              </w:rPr>
            </w:pPr>
            <w:r w:rsidDel="00000000" w:rsidR="00000000" w:rsidRPr="00000000">
              <w:rPr>
                <w:b w:val="1"/>
                <w:bCs w:val="1"/>
                <w:color w:val="ffffff"/>
                <w:sz w:val="20"/>
                <w:szCs w:val="20"/>
                <w:rtl w:val="0"/>
              </w:rPr>
              <w:t xml:space="preserve">Política</w:t>
            </w:r>
          </w:p>
        </w:tc>
        <w:tc>
          <w:tcPr>
            <w:tcBorders>
              <w:top w:color="cccccc" w:space="0" w:sz="6" w:val="single"/>
              <w:left w:color="cccccc" w:space="0" w:sz="6" w:val="single"/>
              <w:bottom w:color="000000" w:space="0" w:sz="6" w:val="single"/>
              <w:right w:color="ffffff" w:space="0" w:sz="6" w:val="single"/>
            </w:tcBorders>
            <w:shd w:fill="073763" w:val="clear"/>
            <w:tcMar>
              <w:top w:w="30.0" w:type="dxa"/>
              <w:left w:w="45.0" w:type="dxa"/>
              <w:bottom w:w="30.0" w:type="dxa"/>
              <w:right w:w="45.0" w:type="dxa"/>
            </w:tcMar>
            <w:vAlign w:val="center"/>
          </w:tcPr>
          <w:p w:rsidR="00000000" w:rsidDel="00000000" w:rsidP="00000000" w:rsidRDefault="00000000" w:rsidRPr="00000000" w14:paraId="00000069">
            <w:pPr>
              <w:pBdr>
                <w:top w:space="0" w:sz="0" w:val="nil"/>
                <w:left w:space="0" w:sz="0" w:val="nil"/>
                <w:bottom w:space="0" w:sz="0" w:val="nil"/>
                <w:right w:space="0" w:sz="0" w:val="nil"/>
                <w:between w:space="0" w:sz="0" w:val="nil"/>
              </w:pBdr>
              <w:spacing w:before="1" w:line="276" w:lineRule="auto"/>
              <w:jc w:val="center"/>
              <w:rPr>
                <w:b w:val="1"/>
                <w:bCs w:val="1"/>
                <w:color w:val="ffffff"/>
                <w:sz w:val="20"/>
                <w:szCs w:val="20"/>
              </w:rPr>
            </w:pPr>
            <w:r w:rsidDel="00000000" w:rsidR="00000000" w:rsidRPr="00000000">
              <w:rPr>
                <w:b w:val="1"/>
                <w:bCs w:val="1"/>
                <w:color w:val="ffffff"/>
                <w:sz w:val="20"/>
                <w:szCs w:val="20"/>
                <w:rtl w:val="0"/>
              </w:rPr>
              <w:t xml:space="preserve">Ética</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efefef" w:val="clear"/>
            <w:tcMar>
              <w:top w:w="30.0" w:type="dxa"/>
              <w:left w:w="45.0" w:type="dxa"/>
              <w:bottom w:w="30.0" w:type="dxa"/>
              <w:right w:w="45.0" w:type="dxa"/>
            </w:tcMar>
            <w:vAlign w:val="bottom"/>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Mudanças Climáticas</w:t>
            </w:r>
          </w:p>
        </w:tc>
        <w:tc>
          <w:tcPr>
            <w:vMerge w:val="restart"/>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06B">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CAT</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C">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E">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efefef" w:val="clear"/>
            <w:tcMar>
              <w:top w:w="30.0" w:type="dxa"/>
              <w:left w:w="45.0" w:type="dxa"/>
              <w:bottom w:w="30.0" w:type="dxa"/>
              <w:right w:w="45.0" w:type="dxa"/>
            </w:tcMar>
            <w:vAlign w:val="bottom"/>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Tópicos de Extensão em Tecnologias, Sociedade e Recursos Naturais</w:t>
            </w:r>
          </w:p>
        </w:tc>
        <w:tc>
          <w:tcPr>
            <w:vMerge w:val="continue"/>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efefef" w:val="clear"/>
            <w:tcMar>
              <w:top w:w="30.0" w:type="dxa"/>
              <w:left w:w="45.0" w:type="dxa"/>
              <w:bottom w:w="30.0" w:type="dxa"/>
              <w:right w:w="45.0" w:type="dxa"/>
            </w:tcMar>
            <w:vAlign w:val="bottom"/>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Amigos do Clima</w:t>
            </w:r>
          </w:p>
        </w:tc>
        <w:tc>
          <w:tcPr>
            <w:vMerge w:val="continue"/>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efefef" w:val="clear"/>
            <w:tcMar>
              <w:top w:w="30.0" w:type="dxa"/>
              <w:left w:w="45.0" w:type="dxa"/>
              <w:bottom w:w="30.0" w:type="dxa"/>
              <w:right w:w="45.0" w:type="dxa"/>
            </w:tcMar>
            <w:vAlign w:val="bottom"/>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Biologia da Conservação</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BLI, EAM</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88">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efefef" w:val="clear"/>
            <w:tcMar>
              <w:top w:w="30.0" w:type="dxa"/>
              <w:left w:w="45.0" w:type="dxa"/>
              <w:bottom w:w="30.0" w:type="dxa"/>
              <w:right w:w="45.0" w:type="dxa"/>
            </w:tcMar>
            <w:vAlign w:val="bottom"/>
          </w:tcPr>
          <w:p w:rsidR="00000000" w:rsidDel="00000000" w:rsidP="00000000" w:rsidRDefault="00000000" w:rsidRPr="00000000" w14:paraId="0000008A">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Introdução à Engenharia Ambiental</w:t>
            </w:r>
          </w:p>
        </w:tc>
        <w:tc>
          <w:tcPr>
            <w:vMerge w:val="restart"/>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EAM</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efefef" w:val="clear"/>
            <w:tcMar>
              <w:top w:w="30.0" w:type="dxa"/>
              <w:left w:w="45.0" w:type="dxa"/>
              <w:bottom w:w="30.0" w:type="dxa"/>
              <w:right w:w="45.0" w:type="dxa"/>
            </w:tcMar>
            <w:vAlign w:val="bottom"/>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Gestão Ambiental Pública</w:t>
            </w:r>
          </w:p>
        </w:tc>
        <w:tc>
          <w:tcPr>
            <w:vMerge w:val="continue"/>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96">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98">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efefef" w:val="clear"/>
            <w:tcMar>
              <w:top w:w="30.0" w:type="dxa"/>
              <w:left w:w="45.0" w:type="dxa"/>
              <w:bottom w:w="30.0" w:type="dxa"/>
              <w:right w:w="45.0" w:type="dxa"/>
            </w:tcMar>
            <w:vAlign w:val="bottom"/>
          </w:tcPr>
          <w:p w:rsidR="00000000" w:rsidDel="00000000" w:rsidP="00000000" w:rsidRDefault="00000000" w:rsidRPr="00000000" w14:paraId="0000009A">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Gestão Ambiental Corporativa</w:t>
            </w:r>
          </w:p>
        </w:tc>
        <w:tc>
          <w:tcPr>
            <w:vMerge w:val="continue"/>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efefef" w:val="clear"/>
            <w:tcMar>
              <w:top w:w="30.0" w:type="dxa"/>
              <w:left w:w="45.0" w:type="dxa"/>
              <w:bottom w:w="30.0" w:type="dxa"/>
              <w:right w:w="45.0" w:type="dxa"/>
            </w:tcMar>
            <w:vAlign w:val="bottom"/>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Conflitos Socioambientais</w:t>
            </w:r>
          </w:p>
        </w:tc>
        <w:tc>
          <w:tcPr>
            <w:vMerge w:val="continue"/>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efefef" w:val="clear"/>
            <w:tcMar>
              <w:top w:w="30.0" w:type="dxa"/>
              <w:left w:w="45.0" w:type="dxa"/>
              <w:bottom w:w="30.0" w:type="dxa"/>
              <w:right w:w="45.0" w:type="dxa"/>
            </w:tcMar>
            <w:vAlign w:val="bottom"/>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Sistemas Construtivos Sustentáveis II</w:t>
            </w:r>
          </w:p>
        </w:tc>
        <w:tc>
          <w:tcPr>
            <w:vMerge w:val="restart"/>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ECI</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AE">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efefef" w:val="clear"/>
            <w:tcMar>
              <w:top w:w="30.0" w:type="dxa"/>
              <w:left w:w="45.0" w:type="dxa"/>
              <w:bottom w:w="30.0" w:type="dxa"/>
              <w:right w:w="45.0" w:type="dxa"/>
            </w:tcMar>
            <w:vAlign w:val="bottom"/>
          </w:tcPr>
          <w:p w:rsidR="00000000" w:rsidDel="00000000" w:rsidP="00000000" w:rsidRDefault="00000000" w:rsidRPr="00000000" w14:paraId="000000B2">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Sistemas Construtivos Sustentáveis I</w:t>
            </w:r>
          </w:p>
        </w:tc>
        <w:tc>
          <w:tcPr>
            <w:vMerge w:val="continue"/>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B4">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efefef" w:val="clear"/>
            <w:tcMar>
              <w:top w:w="30.0" w:type="dxa"/>
              <w:left w:w="45.0" w:type="dxa"/>
              <w:bottom w:w="30.0" w:type="dxa"/>
              <w:right w:w="45.0" w:type="dxa"/>
            </w:tcMar>
            <w:vAlign w:val="bottom"/>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Planejamento de transportes</w:t>
            </w:r>
          </w:p>
        </w:tc>
        <w:tc>
          <w:tcPr>
            <w:vMerge w:val="continue"/>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C0">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C1">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efefef" w:val="clear"/>
            <w:tcMar>
              <w:top w:w="30.0" w:type="dxa"/>
              <w:left w:w="45.0" w:type="dxa"/>
              <w:bottom w:w="30.0" w:type="dxa"/>
              <w:right w:w="45.0" w:type="dxa"/>
            </w:tcMar>
            <w:vAlign w:val="bottom"/>
          </w:tcPr>
          <w:p w:rsidR="00000000" w:rsidDel="00000000" w:rsidP="00000000" w:rsidRDefault="00000000" w:rsidRPr="00000000" w14:paraId="000000C2">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Projetos Arquitetônicos Sustentáveis</w:t>
            </w:r>
          </w:p>
        </w:tc>
        <w:tc>
          <w:tcPr>
            <w:vMerge w:val="continue"/>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C4">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C5">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C6">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C7">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C8">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C9">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efefef" w:val="clear"/>
            <w:tcMar>
              <w:top w:w="30.0" w:type="dxa"/>
              <w:left w:w="45.0" w:type="dxa"/>
              <w:bottom w:w="30.0" w:type="dxa"/>
              <w:right w:w="45.0" w:type="dxa"/>
            </w:tcMar>
            <w:vAlign w:val="bottom"/>
          </w:tcPr>
          <w:p w:rsidR="00000000" w:rsidDel="00000000" w:rsidP="00000000" w:rsidRDefault="00000000" w:rsidRPr="00000000" w14:paraId="000000CA">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Cidadania e Responsabilidade Social</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0CB">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EHD</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CD">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CE">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CF">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D0">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D1">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efefef" w:val="clear"/>
            <w:tcMar>
              <w:top w:w="30.0" w:type="dxa"/>
              <w:left w:w="45.0" w:type="dxa"/>
              <w:bottom w:w="30.0" w:type="dxa"/>
              <w:right w:w="45.0" w:type="dxa"/>
            </w:tcMar>
            <w:vAlign w:val="bottom"/>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Controle Ambiental e Tratamento de Resíduos da Indústria Química</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center"/>
          </w:tcPr>
          <w:p w:rsidR="00000000" w:rsidDel="00000000" w:rsidP="00000000" w:rsidRDefault="00000000" w:rsidRPr="00000000" w14:paraId="000000D3">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EQI</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X</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D6">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D8">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rtl w:val="0"/>
              </w:rPr>
            </w:r>
          </w:p>
        </w:tc>
      </w:tr>
      <w:tr>
        <w:trPr>
          <w:cantSplit w:val="0"/>
          <w:trHeight w:val="315" w:hRule="atLeast"/>
          <w:tblHeader w:val="0"/>
        </w:trPr>
        <w:tc>
          <w:tcPr>
            <w:gridSpan w:val="2"/>
            <w:tcBorders>
              <w:top w:color="cccccc" w:space="0" w:sz="6" w:val="single"/>
              <w:left w:color="000000" w:space="0" w:sz="6" w:val="single"/>
              <w:bottom w:color="000000" w:space="0" w:sz="6" w:val="single"/>
              <w:right w:color="000000" w:space="0" w:sz="6" w:val="single"/>
            </w:tcBorders>
            <w:shd w:fill="efefef" w:val="clear"/>
            <w:tcMar>
              <w:top w:w="30.0" w:type="dxa"/>
              <w:left w:w="45.0" w:type="dxa"/>
              <w:bottom w:w="30.0" w:type="dxa"/>
              <w:right w:w="45.0" w:type="dxa"/>
            </w:tcMar>
            <w:vAlign w:val="bottom"/>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before="1" w:line="276" w:lineRule="auto"/>
              <w:jc w:val="center"/>
              <w:rPr>
                <w:b w:val="1"/>
                <w:bCs w:val="1"/>
                <w:color w:val="000000"/>
                <w:sz w:val="20"/>
                <w:szCs w:val="20"/>
              </w:rPr>
            </w:pPr>
            <w:r w:rsidDel="00000000" w:rsidR="00000000" w:rsidRPr="00000000">
              <w:rPr>
                <w:b w:val="1"/>
                <w:bCs w:val="1"/>
                <w:color w:val="000000"/>
                <w:sz w:val="20"/>
                <w:szCs w:val="20"/>
                <w:rtl w:val="0"/>
              </w:rPr>
              <w:t xml:space="preserve">TOTAL</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DC">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8</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13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6</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DF">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5</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E0">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E1">
            <w:pPr>
              <w:pBdr>
                <w:top w:space="0" w:sz="0" w:val="nil"/>
                <w:left w:space="0" w:sz="0" w:val="nil"/>
                <w:bottom w:space="0" w:sz="0" w:val="nil"/>
                <w:right w:space="0" w:sz="0" w:val="nil"/>
                <w:between w:space="0" w:sz="0" w:val="nil"/>
              </w:pBdr>
              <w:spacing w:before="1" w:line="276" w:lineRule="auto"/>
              <w:jc w:val="center"/>
              <w:rPr>
                <w:color w:val="000000"/>
                <w:sz w:val="20"/>
                <w:szCs w:val="20"/>
              </w:rPr>
            </w:pPr>
            <w:r w:rsidDel="00000000" w:rsidR="00000000" w:rsidRPr="00000000">
              <w:rPr>
                <w:color w:val="000000"/>
                <w:sz w:val="20"/>
                <w:szCs w:val="20"/>
                <w:rtl w:val="0"/>
              </w:rPr>
              <w:t xml:space="preserve">1</w:t>
            </w:r>
          </w:p>
        </w:tc>
      </w:tr>
    </w:tbl>
    <w:p w:rsidR="00000000" w:rsidDel="00000000" w:rsidP="00000000" w:rsidRDefault="00000000" w:rsidRPr="00000000" w14:paraId="000000E2">
      <w:pPr>
        <w:pBdr>
          <w:top w:space="0" w:sz="0" w:val="nil"/>
          <w:left w:space="0" w:sz="0" w:val="nil"/>
          <w:bottom w:space="0" w:sz="0" w:val="nil"/>
          <w:right w:space="0" w:sz="0" w:val="nil"/>
          <w:between w:space="0" w:sz="0" w:val="nil"/>
        </w:pBdr>
        <w:spacing w:before="1" w:line="360" w:lineRule="auto"/>
        <w:jc w:val="both"/>
        <w:rPr>
          <w:color w:val="000000"/>
          <w:sz w:val="20"/>
          <w:szCs w:val="20"/>
        </w:rPr>
      </w:pPr>
      <w:r w:rsidDel="00000000" w:rsidR="00000000" w:rsidRPr="00000000">
        <w:rPr>
          <w:color w:val="000000"/>
          <w:sz w:val="20"/>
          <w:szCs w:val="20"/>
          <w:rtl w:val="0"/>
        </w:rPr>
        <w:t xml:space="preserve">Fonte: elaboração própria (2025).</w:t>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before="1" w:line="360" w:lineRule="auto"/>
        <w:jc w:val="both"/>
        <w:rPr>
          <w:color w:val="000000"/>
          <w:sz w:val="20"/>
          <w:szCs w:val="20"/>
        </w:rPr>
      </w:pPr>
      <w:r w:rsidDel="00000000" w:rsidR="00000000" w:rsidRPr="00000000">
        <w:rPr>
          <w:rtl w:val="0"/>
        </w:rPr>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before="1" w:line="360" w:lineRule="auto"/>
        <w:ind w:firstLine="720"/>
        <w:jc w:val="both"/>
        <w:rPr>
          <w:color w:val="000000"/>
          <w:sz w:val="24"/>
          <w:szCs w:val="24"/>
        </w:rPr>
      </w:pPr>
      <w:r w:rsidDel="00000000" w:rsidR="00000000" w:rsidRPr="00000000">
        <w:rPr>
          <w:color w:val="000000"/>
          <w:sz w:val="24"/>
          <w:szCs w:val="24"/>
          <w:rtl w:val="0"/>
        </w:rPr>
        <w:t xml:space="preserve">Por outro lado, as dimensões cultural, política e ética apresentaram baixa representatividade nos currículos, evidenciando uma lacuna importante na formação. Essas dimensões são fundamentais para uma abordagem mais completa da sustentabilidade, pois envolvem valorização de saberes locais, participação social nas decisões e atuação profissional baseada em compromisso com o bem comum (Iaquinto, 2018). </w:t>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before="1" w:line="360" w:lineRule="auto"/>
        <w:ind w:firstLine="720"/>
        <w:jc w:val="both"/>
        <w:rPr>
          <w:color w:val="000000"/>
          <w:sz w:val="24"/>
          <w:szCs w:val="24"/>
        </w:rPr>
      </w:pPr>
      <w:r w:rsidDel="00000000" w:rsidR="00000000" w:rsidRPr="00000000">
        <w:rPr>
          <w:color w:val="000000"/>
          <w:sz w:val="24"/>
          <w:szCs w:val="24"/>
          <w:rtl w:val="0"/>
        </w:rPr>
        <w:t xml:space="preserve">O contexto institucional da UNIFEI, marcado pela forte presença de cursos de Engenharia, parece ter influenciado diretamente a abordagem identificada, reforçando uma visão de sustentabilidade centrada nos impactos dos sistemas produtivos. Nesse cenário, o tema é frequentemente tratado como uma exigência técnica, voltada à gestão de recursos e resíduos, o que limita sua compreensão a uma perspectiva mais instrumental. Contudo, a sustentabilidade deve ser tratada de forma integrada aos demais saberes da formação, como um eixo transversal que articula conhecimentos e promove práticas voltadas à formação de profissionais conscientes de seus impactos socioambientais. Para isso, é necessário que as instituições de ensino adotem uma abordagem holística, conectando continuamente as dimensões ambiental, econômica, social e cultural (Gasques, 2025).</w:t>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before="1" w:line="360" w:lineRule="auto"/>
        <w:ind w:firstLine="720"/>
        <w:jc w:val="both"/>
        <w:rPr>
          <w:color w:val="000000"/>
          <w:sz w:val="24"/>
          <w:szCs w:val="24"/>
        </w:rPr>
      </w:pPr>
      <w:r w:rsidDel="00000000" w:rsidR="00000000" w:rsidRPr="00000000">
        <w:rPr>
          <w:color w:val="000000"/>
          <w:sz w:val="24"/>
          <w:szCs w:val="24"/>
          <w:rtl w:val="0"/>
        </w:rPr>
        <w:t xml:space="preserve">De modo geral, o ensino de sustentabilidade nos cursos de graduação do IRN da UNIFEI mostrou-se ainda fragmentado e incipiente, com predominância de aspectos técnicos e ecológicos em detrimento de uma formação mais crítica e integrada. Essa abordagem vai na contramão de autores como Barth </w:t>
      </w:r>
      <w:r w:rsidDel="00000000" w:rsidR="00000000" w:rsidRPr="00000000">
        <w:rPr>
          <w:i w:val="1"/>
          <w:iCs w:val="1"/>
          <w:color w:val="000000"/>
          <w:sz w:val="24"/>
          <w:szCs w:val="24"/>
          <w:rtl w:val="0"/>
        </w:rPr>
        <w:t xml:space="preserve">et al</w:t>
      </w:r>
      <w:r w:rsidDel="00000000" w:rsidR="00000000" w:rsidRPr="00000000">
        <w:rPr>
          <w:color w:val="000000"/>
          <w:sz w:val="24"/>
          <w:szCs w:val="24"/>
          <w:rtl w:val="0"/>
        </w:rPr>
        <w:t xml:space="preserve">. (2007), que defendem uma educação para a sustentabilidade baseada na interdisciplinaridade e na transformação social, indicando a necessidade de uma integração mais ampla e transversal do tema nos currículos.</w:t>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line="360" w:lineRule="auto"/>
        <w:ind w:firstLine="720"/>
        <w:jc w:val="both"/>
        <w:rPr>
          <w:color w:val="000000"/>
          <w:sz w:val="24"/>
          <w:szCs w:val="24"/>
        </w:rPr>
      </w:pPr>
      <w:r w:rsidDel="00000000" w:rsidR="00000000" w:rsidRPr="00000000">
        <w:rPr>
          <w:rtl w:val="0"/>
        </w:rPr>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line="360" w:lineRule="auto"/>
        <w:jc w:val="both"/>
        <w:rPr>
          <w:b w:val="1"/>
          <w:bCs w:val="1"/>
          <w:color w:val="000000"/>
          <w:sz w:val="28"/>
          <w:szCs w:val="28"/>
        </w:rPr>
      </w:pPr>
      <w:r w:rsidDel="00000000" w:rsidR="00000000" w:rsidRPr="00000000">
        <w:rPr>
          <w:b w:val="1"/>
          <w:bCs w:val="1"/>
          <w:color w:val="000000"/>
          <w:sz w:val="28"/>
          <w:szCs w:val="28"/>
          <w:rtl w:val="0"/>
        </w:rPr>
        <w:t xml:space="preserve">Considerações Finais</w:t>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line="360" w:lineRule="auto"/>
        <w:ind w:firstLine="720"/>
        <w:jc w:val="both"/>
        <w:rPr>
          <w:color w:val="000000"/>
          <w:sz w:val="24"/>
          <w:szCs w:val="24"/>
        </w:rPr>
      </w:pPr>
      <w:r w:rsidDel="00000000" w:rsidR="00000000" w:rsidRPr="00000000">
        <w:rPr>
          <w:sz w:val="24"/>
          <w:szCs w:val="24"/>
          <w:rtl w:val="0"/>
        </w:rPr>
        <w:t xml:space="preserve">Os resultados indicaram que a sustentabilidade ainda é parcialmente institucionalizada no ensino de graduação do IRN da UNIFEI, representando menos de 6% da carga horária dos cursos. Também, predominam abordagens técnico-econômicas e ecológicas, enquanto dimensões sociais, culturais, políticas e éticas recebem menor atenção. Assim, é necessário fortalecer uma formação crítica, interdisciplinar e alinhada às demandas socioambientais. Por fim, estudos futuros podem ampliar a análise para outros cursos e utilizar métodos qualitativos, superando a limitação da busca por termos explícitos nos documentos. </w:t>
      </w: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line="360" w:lineRule="auto"/>
        <w:jc w:val="both"/>
        <w:rPr>
          <w:color w:val="000000"/>
          <w:sz w:val="24"/>
          <w:szCs w:val="24"/>
        </w:rPr>
      </w:pPr>
      <w:r w:rsidDel="00000000" w:rsidR="00000000" w:rsidRPr="00000000">
        <w:rPr>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line="360" w:lineRule="auto"/>
        <w:jc w:val="both"/>
        <w:rPr>
          <w:color w:val="000000"/>
          <w:sz w:val="24"/>
          <w:szCs w:val="24"/>
        </w:rPr>
      </w:pPr>
      <w:r w:rsidDel="00000000" w:rsidR="00000000" w:rsidRPr="00000000">
        <w:rPr>
          <w:b w:val="1"/>
          <w:bCs w:val="1"/>
          <w:color w:val="000000"/>
          <w:sz w:val="28"/>
          <w:szCs w:val="28"/>
          <w:rtl w:val="0"/>
        </w:rPr>
        <w:t xml:space="preserve">Referências</w:t>
      </w:r>
      <w:r w:rsidDel="00000000" w:rsidR="00000000" w:rsidRPr="00000000">
        <w:rPr>
          <w:rtl w:val="0"/>
        </w:rPr>
      </w:r>
    </w:p>
    <w:p w:rsidR="00000000" w:rsidDel="00000000" w:rsidP="00000000" w:rsidRDefault="00000000" w:rsidRPr="00000000" w14:paraId="000000EC">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ALONSO, R.; R. P.; ALONSO, A. A. O Papel do Engenheiro Ambiental na Construção da Sustentabilidade. </w:t>
      </w:r>
      <w:r w:rsidDel="00000000" w:rsidR="00000000" w:rsidRPr="00000000">
        <w:rPr>
          <w:b w:val="1"/>
          <w:bCs w:val="1"/>
          <w:color w:val="000000"/>
          <w:sz w:val="24"/>
          <w:szCs w:val="24"/>
          <w:rtl w:val="0"/>
        </w:rPr>
        <w:t xml:space="preserve">Revista UniAraguaia</w:t>
      </w:r>
      <w:r w:rsidDel="00000000" w:rsidR="00000000" w:rsidRPr="00000000">
        <w:rPr>
          <w:color w:val="000000"/>
          <w:sz w:val="24"/>
          <w:szCs w:val="24"/>
          <w:rtl w:val="0"/>
        </w:rPr>
        <w:t xml:space="preserve">, v.5, n. 5, p. 201-204, 2014.</w:t>
      </w:r>
    </w:p>
    <w:p w:rsidR="00000000" w:rsidDel="00000000" w:rsidP="00000000" w:rsidRDefault="00000000" w:rsidRPr="00000000" w14:paraId="000000ED">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EE">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BARTH, M. </w:t>
      </w:r>
      <w:r w:rsidDel="00000000" w:rsidR="00000000" w:rsidRPr="00000000">
        <w:rPr>
          <w:i w:val="1"/>
          <w:iCs w:val="1"/>
          <w:color w:val="000000"/>
          <w:sz w:val="24"/>
          <w:szCs w:val="24"/>
          <w:rtl w:val="0"/>
        </w:rPr>
        <w:t xml:space="preserve">et al.</w:t>
      </w:r>
      <w:r w:rsidDel="00000000" w:rsidR="00000000" w:rsidRPr="00000000">
        <w:rPr>
          <w:color w:val="000000"/>
          <w:sz w:val="24"/>
          <w:szCs w:val="24"/>
          <w:rtl w:val="0"/>
        </w:rPr>
        <w:t xml:space="preserve"> Developing key competencies for sustainable development in higher education. </w:t>
      </w:r>
      <w:r w:rsidDel="00000000" w:rsidR="00000000" w:rsidRPr="00000000">
        <w:rPr>
          <w:b w:val="1"/>
          <w:bCs w:val="1"/>
          <w:color w:val="000000"/>
          <w:sz w:val="24"/>
          <w:szCs w:val="24"/>
          <w:rtl w:val="0"/>
        </w:rPr>
        <w:t xml:space="preserve">International Journal of Sustainability in Higher Education</w:t>
      </w:r>
      <w:r w:rsidDel="00000000" w:rsidR="00000000" w:rsidRPr="00000000">
        <w:rPr>
          <w:color w:val="000000"/>
          <w:sz w:val="24"/>
          <w:szCs w:val="24"/>
          <w:rtl w:val="0"/>
        </w:rPr>
        <w:t xml:space="preserve">, v. 8, n. 4, p. 416-430, 2007.</w:t>
      </w:r>
    </w:p>
    <w:p w:rsidR="00000000" w:rsidDel="00000000" w:rsidP="00000000" w:rsidRDefault="00000000" w:rsidRPr="00000000" w14:paraId="000000EF">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F0">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BEURON, T. A. </w:t>
      </w:r>
      <w:r w:rsidDel="00000000" w:rsidR="00000000" w:rsidRPr="00000000">
        <w:rPr>
          <w:b w:val="1"/>
          <w:bCs w:val="1"/>
          <w:color w:val="000000"/>
          <w:sz w:val="24"/>
          <w:szCs w:val="24"/>
          <w:rtl w:val="0"/>
        </w:rPr>
        <w:t xml:space="preserve">Contribuições para um modelo de universidade verde: competências e comportamentos para a sustentabilidade</w:t>
      </w:r>
      <w:r w:rsidDel="00000000" w:rsidR="00000000" w:rsidRPr="00000000">
        <w:rPr>
          <w:color w:val="000000"/>
          <w:sz w:val="24"/>
          <w:szCs w:val="24"/>
          <w:rtl w:val="0"/>
        </w:rPr>
        <w:t xml:space="preserve">. 2016. 187 f. Tese (Doutorado em Administração) - Programa de Pós-Graduação em Administração, Universidade Federal de Santa Maria, Santa Maria, 2016.</w:t>
      </w:r>
    </w:p>
    <w:p w:rsidR="00000000" w:rsidDel="00000000" w:rsidP="00000000" w:rsidRDefault="00000000" w:rsidRPr="00000000" w14:paraId="000000F1">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F2">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BOMFIM, D.; RIBEIRO, C. R. P.; DOS SANTOS, A. F. Educação ambiental no Instituto Federal de Alagoas: uma análise dos Projetos Pedagógicos de Curso (PPCs). </w:t>
      </w:r>
      <w:r w:rsidDel="00000000" w:rsidR="00000000" w:rsidRPr="00000000">
        <w:rPr>
          <w:b w:val="1"/>
          <w:bCs w:val="1"/>
          <w:color w:val="000000"/>
          <w:sz w:val="24"/>
          <w:szCs w:val="24"/>
          <w:rtl w:val="0"/>
        </w:rPr>
        <w:t xml:space="preserve">ARACÊ</w:t>
      </w:r>
      <w:r w:rsidDel="00000000" w:rsidR="00000000" w:rsidRPr="00000000">
        <w:rPr>
          <w:color w:val="000000"/>
          <w:sz w:val="24"/>
          <w:szCs w:val="24"/>
          <w:rtl w:val="0"/>
        </w:rPr>
        <w:t xml:space="preserve">, v. 7, n. 3, p. 13339-13352, 2025.</w:t>
      </w:r>
    </w:p>
    <w:p w:rsidR="00000000" w:rsidDel="00000000" w:rsidP="00000000" w:rsidRDefault="00000000" w:rsidRPr="00000000" w14:paraId="000000F3">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F4">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FERREIRA JUNIOR, E. I. F. A dimensão socioambiental dos direitos humanos na Amazônia: perspectivas e desafios para a proteção dos povos tradicionais. </w:t>
      </w:r>
      <w:r w:rsidDel="00000000" w:rsidR="00000000" w:rsidRPr="00000000">
        <w:rPr>
          <w:b w:val="1"/>
          <w:bCs w:val="1"/>
          <w:color w:val="000000"/>
          <w:sz w:val="24"/>
          <w:szCs w:val="24"/>
          <w:rtl w:val="0"/>
        </w:rPr>
        <w:t xml:space="preserve">Revista Contemporânea</w:t>
      </w:r>
      <w:r w:rsidDel="00000000" w:rsidR="00000000" w:rsidRPr="00000000">
        <w:rPr>
          <w:color w:val="000000"/>
          <w:sz w:val="24"/>
          <w:szCs w:val="24"/>
          <w:rtl w:val="0"/>
        </w:rPr>
        <w:t xml:space="preserve">, v. 3, n. 07, p. 8669-8697, 2023.</w:t>
      </w:r>
    </w:p>
    <w:p w:rsidR="00000000" w:rsidDel="00000000" w:rsidP="00000000" w:rsidRDefault="00000000" w:rsidRPr="00000000" w14:paraId="000000F5">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GASQUES, A. C. F. </w:t>
      </w:r>
      <w:r w:rsidDel="00000000" w:rsidR="00000000" w:rsidRPr="00000000">
        <w:rPr>
          <w:b w:val="1"/>
          <w:bCs w:val="1"/>
          <w:color w:val="000000"/>
          <w:sz w:val="24"/>
          <w:szCs w:val="24"/>
          <w:rtl w:val="0"/>
        </w:rPr>
        <w:t xml:space="preserve">Inserção da Sustentabilidade nos cursos de graduação em Engenharia Ambiental nas Universidades Federais brasileiras: análise de aderência às boas práticas internacionais</w:t>
      </w:r>
      <w:r w:rsidDel="00000000" w:rsidR="00000000" w:rsidRPr="00000000">
        <w:rPr>
          <w:color w:val="000000"/>
          <w:sz w:val="24"/>
          <w:szCs w:val="24"/>
          <w:rtl w:val="0"/>
        </w:rPr>
        <w:t xml:space="preserve">. 2025. 187p. Tese (Doutorado em Ciências da Engenharia Ambiental) - Escola de Engenharia de São Carlos, Universidade de São Paulo, São Carlos, 2025.</w:t>
      </w:r>
    </w:p>
    <w:p w:rsidR="00000000" w:rsidDel="00000000" w:rsidP="00000000" w:rsidRDefault="00000000" w:rsidRPr="00000000" w14:paraId="000000F7">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F8">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IAQUINTO, Beatriz Oliveira. A sustentabilidade e suas dimensões. </w:t>
      </w:r>
      <w:r w:rsidDel="00000000" w:rsidR="00000000" w:rsidRPr="00000000">
        <w:rPr>
          <w:b w:val="1"/>
          <w:bCs w:val="1"/>
          <w:color w:val="000000"/>
          <w:sz w:val="24"/>
          <w:szCs w:val="24"/>
          <w:rtl w:val="0"/>
        </w:rPr>
        <w:t xml:space="preserve">Revista da ESMESC-Publicação contínua</w:t>
      </w:r>
      <w:r w:rsidDel="00000000" w:rsidR="00000000" w:rsidRPr="00000000">
        <w:rPr>
          <w:color w:val="000000"/>
          <w:sz w:val="24"/>
          <w:szCs w:val="24"/>
          <w:rtl w:val="0"/>
        </w:rPr>
        <w:t xml:space="preserve">, v. 25, n. 31, p. 157-178, 2018.</w:t>
      </w:r>
    </w:p>
    <w:p w:rsidR="00000000" w:rsidDel="00000000" w:rsidP="00000000" w:rsidRDefault="00000000" w:rsidRPr="00000000" w14:paraId="000000F9">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JULIANO, T.; MELO, I. B. N. de; MARQUES, S. C. M. A sustentabilidade nos projetos pedagógicos no ensino superior: um estudo sobre a engenharia de produção nas universidades públicas do Estado de São Paulo. </w:t>
      </w:r>
      <w:r w:rsidDel="00000000" w:rsidR="00000000" w:rsidRPr="00000000">
        <w:rPr>
          <w:b w:val="1"/>
          <w:bCs w:val="1"/>
          <w:color w:val="000000"/>
          <w:sz w:val="24"/>
          <w:szCs w:val="24"/>
          <w:rtl w:val="0"/>
        </w:rPr>
        <w:t xml:space="preserve">Avaliação: Revista da Avaliação da Educação Superior</w:t>
      </w:r>
      <w:r w:rsidDel="00000000" w:rsidR="00000000" w:rsidRPr="00000000">
        <w:rPr>
          <w:color w:val="000000"/>
          <w:sz w:val="24"/>
          <w:szCs w:val="24"/>
          <w:rtl w:val="0"/>
        </w:rPr>
        <w:t xml:space="preserve"> (Campinas), v. 22, n. 3, p. 676-696, 2017.</w:t>
      </w:r>
    </w:p>
    <w:p w:rsidR="00000000" w:rsidDel="00000000" w:rsidP="00000000" w:rsidRDefault="00000000" w:rsidRPr="00000000" w14:paraId="000000FB">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FC">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PASCOAL, Diogo Rafael Couceiro; GOUVEIA, João Paulo. A influência da sustentabilidade na análise de estruturas. </w:t>
      </w:r>
      <w:r w:rsidDel="00000000" w:rsidR="00000000" w:rsidRPr="00000000">
        <w:rPr>
          <w:b w:val="1"/>
          <w:bCs w:val="1"/>
          <w:color w:val="000000"/>
          <w:sz w:val="24"/>
          <w:szCs w:val="24"/>
          <w:rtl w:val="0"/>
        </w:rPr>
        <w:t xml:space="preserve">Revista Contemporânea</w:t>
      </w:r>
      <w:r w:rsidDel="00000000" w:rsidR="00000000" w:rsidRPr="00000000">
        <w:rPr>
          <w:color w:val="000000"/>
          <w:sz w:val="24"/>
          <w:szCs w:val="24"/>
          <w:rtl w:val="0"/>
        </w:rPr>
        <w:t xml:space="preserve">, v. 5, n. 6, p. e8429-e8429, 2025.</w:t>
      </w:r>
    </w:p>
    <w:p w:rsidR="00000000" w:rsidDel="00000000" w:rsidP="00000000" w:rsidRDefault="00000000" w:rsidRPr="00000000" w14:paraId="000000FD">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ROTTA, M.; BATISTELA, A. C.; FERREIRA, S. R. Ambientalização curricular no ensino superior: formação e sustentabilidade nos cursos de graduação. </w:t>
      </w:r>
      <w:r w:rsidDel="00000000" w:rsidR="00000000" w:rsidRPr="00000000">
        <w:rPr>
          <w:b w:val="1"/>
          <w:bCs w:val="1"/>
          <w:color w:val="000000"/>
          <w:sz w:val="24"/>
          <w:szCs w:val="24"/>
          <w:rtl w:val="0"/>
        </w:rPr>
        <w:t xml:space="preserve">Actualidades investigativas en educación</w:t>
      </w:r>
      <w:r w:rsidDel="00000000" w:rsidR="00000000" w:rsidRPr="00000000">
        <w:rPr>
          <w:color w:val="000000"/>
          <w:sz w:val="24"/>
          <w:szCs w:val="24"/>
          <w:rtl w:val="0"/>
        </w:rPr>
        <w:t xml:space="preserve">, v. 17, n. 2, p. 395-414, 2017.</w:t>
      </w:r>
    </w:p>
    <w:p w:rsidR="00000000" w:rsidDel="00000000" w:rsidP="00000000" w:rsidRDefault="00000000" w:rsidRPr="00000000" w14:paraId="000000FF">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100">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SILVA, Nayara de Paula Martins; BIZERRIL, Marcelo Ximenes Aguiar. As iniciativas de sustentabilidade nas instituições de ensino superior: uma revisão integrativa. </w:t>
      </w:r>
      <w:r w:rsidDel="00000000" w:rsidR="00000000" w:rsidRPr="00000000">
        <w:rPr>
          <w:b w:val="1"/>
          <w:bCs w:val="1"/>
          <w:color w:val="000000"/>
          <w:sz w:val="24"/>
          <w:szCs w:val="24"/>
          <w:rtl w:val="0"/>
        </w:rPr>
        <w:t xml:space="preserve">EDUCERE-Revista da Educação da UNIPAR</w:t>
      </w:r>
      <w:r w:rsidDel="00000000" w:rsidR="00000000" w:rsidRPr="00000000">
        <w:rPr>
          <w:color w:val="000000"/>
          <w:sz w:val="24"/>
          <w:szCs w:val="24"/>
          <w:rtl w:val="0"/>
        </w:rPr>
        <w:t xml:space="preserve">, v. 21, n. 2, 2021.</w:t>
      </w:r>
    </w:p>
    <w:p w:rsidR="00000000" w:rsidDel="00000000" w:rsidP="00000000" w:rsidRDefault="00000000" w:rsidRPr="00000000" w14:paraId="00000101">
      <w:pPr>
        <w:pBdr>
          <w:top w:space="0" w:sz="0" w:val="nil"/>
          <w:left w:space="0" w:sz="0" w:val="nil"/>
          <w:bottom w:space="0" w:sz="0" w:val="nil"/>
          <w:right w:space="0" w:sz="0" w:val="nil"/>
          <w:between w:space="0" w:sz="0" w:val="nil"/>
        </w:pBdr>
        <w:ind w:right="3991"/>
        <w:rPr>
          <w:color w:val="000000"/>
          <w:sz w:val="20"/>
          <w:szCs w:val="20"/>
        </w:rPr>
      </w:pPr>
      <w:r w:rsidDel="00000000" w:rsidR="00000000" w:rsidRPr="00000000">
        <w:rPr>
          <w:rtl w:val="0"/>
        </w:rPr>
      </w:r>
    </w:p>
    <w:sectPr>
      <w:headerReference r:id="rId7" w:type="default"/>
      <w:footerReference r:id="rId8" w:type="default"/>
      <w:pgSz w:h="16840" w:w="11910" w:orient="portrait"/>
      <w:pgMar w:bottom="1133.8582677165355" w:top="1700.7874015748032" w:left="1700.7874015748032" w:right="1133.8582677165355" w:header="0" w:footer="141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3">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2">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color w:val="000000"/>
        <w:sz w:val="24"/>
        <w:szCs w:val="24"/>
      </w:rPr>
      <w:drawing>
        <wp:anchor allowOverlap="1" behindDoc="0" distB="0" distT="0" distL="0" distR="0" hidden="0" layoutInCell="1" locked="0" relativeHeight="0" simplePos="0">
          <wp:simplePos x="0" y="0"/>
          <wp:positionH relativeFrom="page">
            <wp:posOffset>6350</wp:posOffset>
          </wp:positionH>
          <wp:positionV relativeFrom="page">
            <wp:posOffset>0</wp:posOffset>
          </wp:positionV>
          <wp:extent cx="7557072" cy="1060530"/>
          <wp:effectExtent b="0" l="0" r="0" t="0"/>
          <wp:wrapNone/>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57072" cy="1060530"/>
                  </a:xfrm>
                  <a:prstGeom prst="rect"/>
                  <a:ln/>
                </pic:spPr>
              </pic:pic>
            </a:graphicData>
          </a:graphic>
        </wp:anchor>
      </w:drawing>
    </w:r>
    <w:r w:rsidDel="00000000" w:rsidR="00000000" w:rsidRPr="00000000">
      <w:rPr>
        <w:color w:val="000000"/>
        <w:sz w:val="24"/>
        <w:szCs w:val="24"/>
      </w:rPr>
      <w:drawing>
        <wp:inline distB="0" distT="0" distL="0" distR="0">
          <wp:extent cx="5753100" cy="996950"/>
          <wp:effectExtent b="0" l="0" r="0" t="0"/>
          <wp:docPr id="2"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5753100" cy="9969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B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before="367" w:lineRule="auto"/>
      <w:ind w:left="75" w:right="209"/>
      <w:jc w:val="center"/>
    </w:pPr>
    <w:rPr>
      <w:b w:val="1"/>
      <w:bCs w:val="1"/>
      <w:sz w:val="32"/>
      <w:szCs w:val="3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0szrGokRXAWh+DOspGFIR4LY6w==">CgMxLjAyD2lkLmg5dTRmd2t6OTU3bTgAciExdkhuaVBTajh5MC15ZTFUREcxdlpCdkZqektUQXAtRGw=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2026-01-27T00:00:00Z</vt:lpwstr>
  </property>
  <property fmtid="{D5CDD505-2E9C-101B-9397-08002B2CF9AE}" pid="3" name="Creator">
    <vt:lpwstr>Microsoft Word</vt:lpwstr>
  </property>
  <property fmtid="{D5CDD505-2E9C-101B-9397-08002B2CF9AE}" pid="4" name="LastSaved">
    <vt:lpwstr>2026-01-27T00:00:00Z</vt:lpwstr>
  </property>
</Properties>
</file>