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7BC457" w14:textId="7BE30AC1" w:rsidR="00E3782C" w:rsidRPr="00AD22F1" w:rsidRDefault="009F7B05" w:rsidP="00E3782C">
      <w:pPr>
        <w:pStyle w:val="Ttulo"/>
      </w:pPr>
      <w:r w:rsidRPr="009F7B05">
        <w:rPr>
          <w:spacing w:val="-2"/>
        </w:rPr>
        <w:t>PRECIPITAÇÃO QUÍMICA COMO MÉTODO DE REMOÇÃO DE FÓSFORO EM ESGOTO</w:t>
      </w:r>
    </w:p>
    <w:p w14:paraId="19ACAB03" w14:textId="77777777" w:rsidR="00E3782C" w:rsidRDefault="00E3782C" w:rsidP="00E3782C">
      <w:pPr>
        <w:spacing w:line="228" w:lineRule="exact"/>
        <w:ind w:left="77" w:right="209"/>
        <w:jc w:val="center"/>
        <w:rPr>
          <w:i/>
          <w:spacing w:val="-2"/>
          <w:sz w:val="24"/>
          <w:szCs w:val="24"/>
        </w:rPr>
      </w:pPr>
      <w:bookmarkStart w:id="0" w:name="1Primeiro_Autor_com_nome_completo,_2Segu"/>
      <w:bookmarkEnd w:id="0"/>
    </w:p>
    <w:p w14:paraId="17145403" w14:textId="77777777" w:rsidR="007032C5" w:rsidRPr="005F70B0" w:rsidRDefault="007032C5" w:rsidP="007032C5">
      <w:pPr>
        <w:pStyle w:val="Ttulo1"/>
        <w:spacing w:before="251" w:line="242" w:lineRule="auto"/>
        <w:ind w:left="75" w:right="214"/>
        <w:jc w:val="center"/>
        <w:rPr>
          <w:sz w:val="24"/>
          <w:szCs w:val="24"/>
        </w:rPr>
      </w:pPr>
      <w:r w:rsidRPr="005F70B0">
        <w:rPr>
          <w:sz w:val="24"/>
          <w:szCs w:val="24"/>
          <w:vertAlign w:val="superscript"/>
        </w:rPr>
        <w:t>1</w:t>
      </w:r>
      <w:r>
        <w:rPr>
          <w:sz w:val="24"/>
          <w:szCs w:val="24"/>
        </w:rPr>
        <w:t>CAMPOS, Larissa Barcelos</w:t>
      </w:r>
      <w:r w:rsidRPr="005F70B0">
        <w:rPr>
          <w:sz w:val="24"/>
          <w:szCs w:val="24"/>
        </w:rPr>
        <w:t>,</w:t>
      </w:r>
      <w:r w:rsidRPr="005F70B0">
        <w:rPr>
          <w:spacing w:val="-2"/>
          <w:sz w:val="24"/>
          <w:szCs w:val="24"/>
        </w:rPr>
        <w:t xml:space="preserve"> </w:t>
      </w:r>
      <w:r>
        <w:rPr>
          <w:sz w:val="24"/>
          <w:szCs w:val="24"/>
          <w:vertAlign w:val="superscript"/>
        </w:rPr>
        <w:t>2</w:t>
      </w:r>
      <w:r>
        <w:rPr>
          <w:sz w:val="24"/>
          <w:szCs w:val="24"/>
        </w:rPr>
        <w:t xml:space="preserve">SILVA, Lívia Massaro, </w:t>
      </w:r>
      <w:r>
        <w:rPr>
          <w:sz w:val="24"/>
          <w:szCs w:val="24"/>
          <w:vertAlign w:val="superscript"/>
        </w:rPr>
        <w:t>3</w:t>
      </w:r>
      <w:r>
        <w:rPr>
          <w:sz w:val="24"/>
          <w:szCs w:val="24"/>
        </w:rPr>
        <w:t xml:space="preserve">PAULO, Ana Maria Haddad, </w:t>
      </w:r>
      <w:r>
        <w:rPr>
          <w:sz w:val="24"/>
          <w:szCs w:val="24"/>
          <w:vertAlign w:val="superscript"/>
        </w:rPr>
        <w:t>4</w:t>
      </w:r>
      <w:r>
        <w:rPr>
          <w:sz w:val="24"/>
          <w:szCs w:val="24"/>
        </w:rPr>
        <w:t>AGNESINI, Marília Vasconcellos</w:t>
      </w:r>
    </w:p>
    <w:p w14:paraId="01E7B150" w14:textId="77777777" w:rsidR="007032C5" w:rsidRPr="005F70B0" w:rsidRDefault="007032C5" w:rsidP="007032C5">
      <w:pPr>
        <w:spacing w:line="228" w:lineRule="exact"/>
        <w:ind w:left="77" w:right="209"/>
        <w:jc w:val="center"/>
        <w:rPr>
          <w:i/>
          <w:spacing w:val="-2"/>
          <w:sz w:val="24"/>
          <w:szCs w:val="24"/>
        </w:rPr>
      </w:pPr>
      <w:r>
        <w:rPr>
          <w:i/>
          <w:sz w:val="24"/>
          <w:szCs w:val="24"/>
          <w:vertAlign w:val="superscript"/>
        </w:rPr>
        <w:t>1</w:t>
      </w:r>
      <w:r w:rsidRPr="009F7B05">
        <w:rPr>
          <w:i/>
          <w:sz w:val="24"/>
          <w:szCs w:val="24"/>
        </w:rPr>
        <w:t xml:space="preserve">Mestranda do Programa de Pós-Graduação em Tecnologia Ambiental da Universidade de Ribeirão Preto. E-mail: </w:t>
      </w:r>
      <w:r>
        <w:fldChar w:fldCharType="begin"/>
      </w:r>
      <w:r>
        <w:instrText>HYPERLINK "mailto:larissa.campos@sou.unaerp.edu.br"</w:instrText>
      </w:r>
      <w:r>
        <w:fldChar w:fldCharType="separate"/>
      </w:r>
      <w:r w:rsidRPr="009F7B05">
        <w:rPr>
          <w:sz w:val="24"/>
          <w:szCs w:val="24"/>
        </w:rPr>
        <w:t>larissa.campos@sou.unaerp.edu.br</w:t>
      </w:r>
      <w:r>
        <w:rPr>
          <w:sz w:val="24"/>
          <w:szCs w:val="24"/>
        </w:rPr>
        <w:fldChar w:fldCharType="end"/>
      </w:r>
      <w:r w:rsidRPr="005F70B0">
        <w:rPr>
          <w:i/>
          <w:sz w:val="24"/>
          <w:szCs w:val="24"/>
        </w:rPr>
        <w:t>;</w:t>
      </w:r>
      <w:r w:rsidRPr="005F70B0">
        <w:rPr>
          <w:i/>
          <w:spacing w:val="-3"/>
          <w:sz w:val="24"/>
          <w:szCs w:val="24"/>
        </w:rPr>
        <w:t xml:space="preserve"> </w:t>
      </w:r>
      <w:r>
        <w:rPr>
          <w:i/>
          <w:sz w:val="24"/>
          <w:szCs w:val="24"/>
          <w:vertAlign w:val="superscript"/>
        </w:rPr>
        <w:t>2</w:t>
      </w:r>
      <w:r w:rsidRPr="004003A5">
        <w:rPr>
          <w:i/>
          <w:sz w:val="24"/>
          <w:szCs w:val="24"/>
        </w:rPr>
        <w:t>Curso de Engenharia Química</w:t>
      </w:r>
      <w:r>
        <w:rPr>
          <w:i/>
          <w:sz w:val="24"/>
          <w:szCs w:val="24"/>
        </w:rPr>
        <w:t xml:space="preserve"> </w:t>
      </w:r>
      <w:r w:rsidRPr="009F7B05">
        <w:rPr>
          <w:i/>
          <w:sz w:val="24"/>
          <w:szCs w:val="24"/>
        </w:rPr>
        <w:t>da Universidade de Ribeirão Preto</w:t>
      </w:r>
      <w:r>
        <w:rPr>
          <w:i/>
          <w:sz w:val="24"/>
          <w:szCs w:val="24"/>
        </w:rPr>
        <w:t xml:space="preserve">. E-mail: </w:t>
      </w:r>
      <w:r w:rsidRPr="004003A5">
        <w:rPr>
          <w:i/>
          <w:sz w:val="24"/>
          <w:szCs w:val="24"/>
        </w:rPr>
        <w:t>livia.masilva@sou.unaerp.edu.br</w:t>
      </w:r>
      <w:r>
        <w:rPr>
          <w:i/>
          <w:sz w:val="24"/>
          <w:szCs w:val="24"/>
        </w:rPr>
        <w:t xml:space="preserve">; </w:t>
      </w:r>
      <w:r>
        <w:rPr>
          <w:i/>
          <w:sz w:val="24"/>
          <w:szCs w:val="24"/>
          <w:vertAlign w:val="superscript"/>
        </w:rPr>
        <w:t>3</w:t>
      </w:r>
      <w:r w:rsidRPr="004003A5">
        <w:rPr>
          <w:i/>
          <w:sz w:val="24"/>
          <w:szCs w:val="24"/>
        </w:rPr>
        <w:t>Curso de Engenharia Química</w:t>
      </w:r>
      <w:r>
        <w:rPr>
          <w:i/>
          <w:sz w:val="24"/>
          <w:szCs w:val="24"/>
        </w:rPr>
        <w:t xml:space="preserve"> </w:t>
      </w:r>
      <w:r w:rsidRPr="009F7B05">
        <w:rPr>
          <w:i/>
          <w:sz w:val="24"/>
          <w:szCs w:val="24"/>
        </w:rPr>
        <w:t>da Universidade de Ribeirão Preto</w:t>
      </w:r>
      <w:r>
        <w:rPr>
          <w:i/>
          <w:sz w:val="24"/>
          <w:szCs w:val="24"/>
        </w:rPr>
        <w:t xml:space="preserve">. E-mail: </w:t>
      </w:r>
      <w:r w:rsidRPr="004003A5">
        <w:rPr>
          <w:i/>
          <w:sz w:val="24"/>
          <w:szCs w:val="24"/>
        </w:rPr>
        <w:t>ana.paulo@sou.unaerp.edu.br</w:t>
      </w:r>
      <w:r>
        <w:rPr>
          <w:i/>
          <w:sz w:val="24"/>
          <w:szCs w:val="24"/>
        </w:rPr>
        <w:t xml:space="preserve">; </w:t>
      </w:r>
      <w:r>
        <w:rPr>
          <w:i/>
          <w:sz w:val="24"/>
          <w:szCs w:val="24"/>
          <w:vertAlign w:val="superscript"/>
        </w:rPr>
        <w:t>4</w:t>
      </w:r>
      <w:r w:rsidRPr="009F7B05">
        <w:rPr>
          <w:i/>
          <w:sz w:val="24"/>
          <w:szCs w:val="24"/>
        </w:rPr>
        <w:t xml:space="preserve">Docente e Pesquisadora do Programa de Pós-Graduação em Tecnologia Ambiental e do curso de Engenharia Química da Universidade de Ribeirão Preto. E-mail: </w:t>
      </w:r>
      <w:r w:rsidRPr="004003A5">
        <w:rPr>
          <w:i/>
          <w:sz w:val="24"/>
          <w:szCs w:val="24"/>
        </w:rPr>
        <w:t>magnesini@unaerp.br</w:t>
      </w:r>
    </w:p>
    <w:p w14:paraId="4E0453EC" w14:textId="77777777" w:rsidR="007032C5" w:rsidRDefault="007032C5" w:rsidP="00E3782C">
      <w:pPr>
        <w:spacing w:line="228" w:lineRule="exact"/>
        <w:ind w:left="77" w:right="209"/>
        <w:jc w:val="center"/>
        <w:rPr>
          <w:i/>
          <w:spacing w:val="-2"/>
          <w:sz w:val="24"/>
          <w:szCs w:val="24"/>
        </w:rPr>
      </w:pPr>
    </w:p>
    <w:p w14:paraId="122B5756" w14:textId="77777777" w:rsidR="000E0679" w:rsidRPr="005F70B0" w:rsidRDefault="000E0679" w:rsidP="00E3782C">
      <w:pPr>
        <w:spacing w:line="228" w:lineRule="exact"/>
        <w:ind w:left="77" w:right="209"/>
        <w:jc w:val="center"/>
        <w:rPr>
          <w:i/>
          <w:spacing w:val="-2"/>
          <w:sz w:val="24"/>
          <w:szCs w:val="24"/>
        </w:rPr>
      </w:pPr>
    </w:p>
    <w:p w14:paraId="102948F1" w14:textId="7064B61D" w:rsidR="00E3782C" w:rsidRDefault="009F7B05" w:rsidP="00E3782C">
      <w:pPr>
        <w:spacing w:line="228" w:lineRule="exact"/>
        <w:ind w:left="77" w:right="209"/>
        <w:jc w:val="right"/>
        <w:rPr>
          <w:b/>
          <w:bCs/>
          <w:i/>
          <w:spacing w:val="-2"/>
          <w:sz w:val="24"/>
          <w:szCs w:val="24"/>
        </w:rPr>
      </w:pPr>
      <w:r w:rsidRPr="009F7B05">
        <w:rPr>
          <w:b/>
          <w:bCs/>
          <w:i/>
          <w:spacing w:val="-2"/>
          <w:sz w:val="24"/>
          <w:szCs w:val="24"/>
        </w:rPr>
        <w:t xml:space="preserve">Grupo Temático </w:t>
      </w:r>
      <w:r w:rsidR="00447EC5" w:rsidRPr="00447EC5">
        <w:rPr>
          <w:b/>
          <w:bCs/>
          <w:i/>
          <w:spacing w:val="-2"/>
          <w:sz w:val="24"/>
          <w:szCs w:val="24"/>
        </w:rPr>
        <w:t>Gestão Ambiental e Politícas Ambientais</w:t>
      </w:r>
    </w:p>
    <w:p w14:paraId="125F6DD1" w14:textId="02E3DA57" w:rsidR="009C4B75" w:rsidRPr="005F70B0" w:rsidRDefault="009C4B75" w:rsidP="00E3782C">
      <w:pPr>
        <w:spacing w:line="228" w:lineRule="exact"/>
        <w:ind w:left="77" w:right="209"/>
        <w:jc w:val="right"/>
        <w:rPr>
          <w:b/>
          <w:bCs/>
          <w:i/>
          <w:spacing w:val="-2"/>
          <w:sz w:val="24"/>
          <w:szCs w:val="24"/>
        </w:rPr>
      </w:pPr>
      <w:r>
        <w:rPr>
          <w:b/>
          <w:bCs/>
          <w:i/>
          <w:spacing w:val="-2"/>
          <w:sz w:val="24"/>
          <w:szCs w:val="24"/>
        </w:rPr>
        <w:t>Eixo</w:t>
      </w:r>
      <w:r w:rsidR="009F7B05">
        <w:rPr>
          <w:b/>
          <w:bCs/>
          <w:i/>
          <w:spacing w:val="-2"/>
          <w:sz w:val="24"/>
          <w:szCs w:val="24"/>
        </w:rPr>
        <w:t xml:space="preserve"> </w:t>
      </w:r>
      <w:r w:rsidR="00447EC5" w:rsidRPr="00447EC5">
        <w:rPr>
          <w:b/>
          <w:bCs/>
          <w:i/>
          <w:spacing w:val="-2"/>
          <w:sz w:val="24"/>
          <w:szCs w:val="24"/>
        </w:rPr>
        <w:t>Inovação tecnológica para sustentabilidade</w:t>
      </w:r>
    </w:p>
    <w:p w14:paraId="1ADFF788" w14:textId="77777777" w:rsidR="00E3782C" w:rsidRPr="005F70B0" w:rsidRDefault="00E3782C" w:rsidP="00E3782C">
      <w:pPr>
        <w:spacing w:line="228" w:lineRule="exact"/>
        <w:ind w:left="77" w:right="209"/>
        <w:jc w:val="center"/>
        <w:rPr>
          <w:i/>
          <w:spacing w:val="-2"/>
          <w:sz w:val="24"/>
          <w:szCs w:val="24"/>
        </w:rPr>
      </w:pPr>
    </w:p>
    <w:p w14:paraId="6AEEDD8A" w14:textId="77777777" w:rsidR="000E0679" w:rsidRDefault="000E0679" w:rsidP="00E3782C">
      <w:pPr>
        <w:spacing w:line="228" w:lineRule="exact"/>
        <w:ind w:left="77" w:right="209"/>
        <w:jc w:val="center"/>
        <w:rPr>
          <w:b/>
          <w:bCs/>
          <w:iCs/>
          <w:sz w:val="28"/>
          <w:szCs w:val="28"/>
        </w:rPr>
      </w:pPr>
    </w:p>
    <w:p w14:paraId="1D27D5CE" w14:textId="23C22AC0" w:rsidR="00E3782C" w:rsidRPr="005F70B0" w:rsidRDefault="00E3782C" w:rsidP="00E3782C">
      <w:pPr>
        <w:spacing w:line="228" w:lineRule="exact"/>
        <w:ind w:left="77" w:right="209"/>
        <w:jc w:val="center"/>
        <w:rPr>
          <w:b/>
          <w:bCs/>
          <w:iCs/>
          <w:sz w:val="28"/>
          <w:szCs w:val="28"/>
        </w:rPr>
      </w:pPr>
      <w:r w:rsidRPr="005F70B0">
        <w:rPr>
          <w:b/>
          <w:bCs/>
          <w:iCs/>
          <w:sz w:val="28"/>
          <w:szCs w:val="28"/>
        </w:rPr>
        <w:t>Resumo</w:t>
      </w:r>
    </w:p>
    <w:p w14:paraId="1C41F88F" w14:textId="77777777" w:rsidR="00E3782C" w:rsidRPr="005F70B0" w:rsidRDefault="00E3782C" w:rsidP="00E3782C">
      <w:pPr>
        <w:spacing w:line="228" w:lineRule="exact"/>
        <w:ind w:left="77" w:right="209"/>
        <w:jc w:val="both"/>
        <w:rPr>
          <w:iCs/>
          <w:sz w:val="24"/>
          <w:szCs w:val="24"/>
        </w:rPr>
      </w:pPr>
    </w:p>
    <w:p w14:paraId="29E94CAF" w14:textId="46457111" w:rsidR="00E3782C" w:rsidRPr="005F70B0" w:rsidRDefault="001C1AE7" w:rsidP="00E3782C">
      <w:pPr>
        <w:ind w:right="209"/>
        <w:jc w:val="both"/>
        <w:rPr>
          <w:iCs/>
          <w:sz w:val="24"/>
          <w:szCs w:val="24"/>
        </w:rPr>
      </w:pPr>
      <w:r w:rsidRPr="00CB422E">
        <w:rPr>
          <w:iCs/>
          <w:sz w:val="24"/>
          <w:szCs w:val="24"/>
        </w:rPr>
        <w:t xml:space="preserve">A presença de fósforo em </w:t>
      </w:r>
      <w:r w:rsidR="00CB422E" w:rsidRPr="00CB422E">
        <w:rPr>
          <w:iCs/>
          <w:sz w:val="24"/>
          <w:szCs w:val="24"/>
        </w:rPr>
        <w:t>esgotos</w:t>
      </w:r>
      <w:r w:rsidRPr="00CB422E">
        <w:rPr>
          <w:iCs/>
          <w:sz w:val="24"/>
          <w:szCs w:val="24"/>
        </w:rPr>
        <w:t xml:space="preserve"> sanitários tratados representa um desafio crescente para a gestão dos recursos hídricos, uma vez que esse nutriente está diretamente associado aos processos de eutrofização de corpos d’água. </w:t>
      </w:r>
      <w:r w:rsidR="00C91422">
        <w:rPr>
          <w:iCs/>
          <w:sz w:val="24"/>
          <w:szCs w:val="24"/>
        </w:rPr>
        <w:t>E</w:t>
      </w:r>
      <w:r w:rsidRPr="00CB422E">
        <w:rPr>
          <w:iCs/>
          <w:sz w:val="24"/>
          <w:szCs w:val="24"/>
        </w:rPr>
        <w:t xml:space="preserve">ste estudo teve como objetivo avaliar a eficiência da precipitação química com hidróxido de cálcio para remoção de fósforo em esgoto sanitário. Amostras de esgoto provenientes de uma estação de tratamento de esgoto municipal foram submetidas a ensaios de precipitação em escala laboratorial. Foram avaliadas cinco condições experimentais: esgoto bruto e amostras fortificadas com 10, 25, 50 e </w:t>
      </w:r>
      <w:r w:rsidR="00C91422">
        <w:rPr>
          <w:iCs/>
          <w:sz w:val="24"/>
          <w:szCs w:val="24"/>
        </w:rPr>
        <w:t>2</w:t>
      </w:r>
      <w:r w:rsidRPr="00CB422E">
        <w:rPr>
          <w:iCs/>
          <w:sz w:val="24"/>
          <w:szCs w:val="24"/>
        </w:rPr>
        <w:t>00 mg L</w:t>
      </w:r>
      <w:r w:rsidR="009E1A80" w:rsidRPr="009E1A80">
        <w:rPr>
          <w:iCs/>
          <w:sz w:val="24"/>
          <w:szCs w:val="24"/>
          <w:vertAlign w:val="superscript"/>
        </w:rPr>
        <w:t>-1</w:t>
      </w:r>
      <w:r w:rsidRPr="00CB422E">
        <w:rPr>
          <w:iCs/>
          <w:sz w:val="24"/>
          <w:szCs w:val="24"/>
        </w:rPr>
        <w:t xml:space="preserve"> de fósforo. Os ensaios foram conduzidos sob agitação mecânica a 610 rpm por 2 horas, com correção do pH para valores superiores a 10 mediante adição de hidróxido de cálcio, seguidos por sedimentação durante 24 horas e filtração a vácuo. As eficiências de remoção de fósforo variaram entre 89,2% e 99,7%</w:t>
      </w:r>
      <w:r w:rsidR="009462FD">
        <w:rPr>
          <w:iCs/>
          <w:sz w:val="24"/>
          <w:szCs w:val="24"/>
        </w:rPr>
        <w:t>, com valores residuais entre 0,5 e 1,4 mg L</w:t>
      </w:r>
      <w:r w:rsidR="009E1A80" w:rsidRPr="009E1A80">
        <w:rPr>
          <w:iCs/>
          <w:sz w:val="24"/>
          <w:szCs w:val="24"/>
          <w:vertAlign w:val="superscript"/>
        </w:rPr>
        <w:t>-1</w:t>
      </w:r>
      <w:r w:rsidRPr="00CB422E">
        <w:rPr>
          <w:iCs/>
          <w:sz w:val="24"/>
          <w:szCs w:val="24"/>
        </w:rPr>
        <w:t>, sendo observada tendência de aumento da eficiência com o incremento da concentração inicial do nutriente. Os resultados demonstram que a precipitação química com cálcio constitui uma alternativa promissora para remoção e recuperação de fósforo em sistemas de tratamento de esgoto, favorecendo estratégias alinhadas à economia circular</w:t>
      </w:r>
      <w:r w:rsidR="00E3782C" w:rsidRPr="00CB422E">
        <w:rPr>
          <w:iCs/>
          <w:sz w:val="24"/>
          <w:szCs w:val="24"/>
        </w:rPr>
        <w:t>.</w:t>
      </w:r>
    </w:p>
    <w:p w14:paraId="762F9B08" w14:textId="77777777" w:rsidR="00E3782C" w:rsidRPr="005F70B0" w:rsidRDefault="00E3782C" w:rsidP="00E3782C">
      <w:pPr>
        <w:jc w:val="both"/>
        <w:rPr>
          <w:b/>
          <w:sz w:val="24"/>
          <w:szCs w:val="24"/>
        </w:rPr>
      </w:pPr>
    </w:p>
    <w:p w14:paraId="006243D2" w14:textId="38115EAA" w:rsidR="009C4B75" w:rsidRDefault="00E3782C" w:rsidP="009C4B75">
      <w:pPr>
        <w:jc w:val="both"/>
        <w:rPr>
          <w:spacing w:val="-2"/>
          <w:sz w:val="24"/>
          <w:szCs w:val="24"/>
        </w:rPr>
      </w:pPr>
      <w:r w:rsidRPr="00E93879">
        <w:rPr>
          <w:b/>
          <w:sz w:val="24"/>
          <w:szCs w:val="24"/>
        </w:rPr>
        <w:t>Palavras-chave:</w:t>
      </w:r>
      <w:r w:rsidR="001C1AE7" w:rsidRPr="00E93879">
        <w:rPr>
          <w:sz w:val="24"/>
          <w:szCs w:val="24"/>
        </w:rPr>
        <w:t xml:space="preserve"> Esgoto Sanitário; Recuperação </w:t>
      </w:r>
      <w:r w:rsidR="00E93879">
        <w:rPr>
          <w:sz w:val="24"/>
          <w:szCs w:val="24"/>
        </w:rPr>
        <w:t>d</w:t>
      </w:r>
      <w:r w:rsidR="001C1AE7" w:rsidRPr="00E93879">
        <w:rPr>
          <w:sz w:val="24"/>
          <w:szCs w:val="24"/>
        </w:rPr>
        <w:t>e Nutrientes; Hidroxiapatita</w:t>
      </w:r>
      <w:r w:rsidRPr="00E93879">
        <w:rPr>
          <w:spacing w:val="-2"/>
          <w:sz w:val="24"/>
          <w:szCs w:val="24"/>
        </w:rPr>
        <w:t>.</w:t>
      </w:r>
    </w:p>
    <w:p w14:paraId="0F7CD38A" w14:textId="77777777" w:rsidR="009C4B75" w:rsidRDefault="009C4B75" w:rsidP="009C4B75">
      <w:pPr>
        <w:jc w:val="both"/>
        <w:rPr>
          <w:b/>
          <w:bCs/>
          <w:spacing w:val="-2"/>
          <w:sz w:val="28"/>
          <w:szCs w:val="28"/>
        </w:rPr>
      </w:pPr>
    </w:p>
    <w:p w14:paraId="5878A4D9" w14:textId="36E1CCDC" w:rsidR="00E3782C" w:rsidRPr="005F70B0" w:rsidRDefault="00E3782C" w:rsidP="00E93879">
      <w:pPr>
        <w:spacing w:line="360" w:lineRule="auto"/>
        <w:jc w:val="both"/>
        <w:rPr>
          <w:b/>
          <w:bCs/>
          <w:spacing w:val="-2"/>
          <w:sz w:val="28"/>
          <w:szCs w:val="28"/>
        </w:rPr>
      </w:pPr>
      <w:r w:rsidRPr="005F70B0">
        <w:rPr>
          <w:b/>
          <w:bCs/>
          <w:spacing w:val="-2"/>
          <w:sz w:val="28"/>
          <w:szCs w:val="28"/>
        </w:rPr>
        <w:t>Introdução</w:t>
      </w:r>
    </w:p>
    <w:p w14:paraId="173761AD" w14:textId="64059C9B" w:rsidR="001C1AE7" w:rsidRPr="00AC4E85" w:rsidRDefault="001C1AE7" w:rsidP="001C1AE7">
      <w:pPr>
        <w:pStyle w:val="Corpodetexto"/>
        <w:spacing w:before="1" w:line="360" w:lineRule="auto"/>
        <w:ind w:firstLine="720"/>
        <w:jc w:val="both"/>
        <w:rPr>
          <w:sz w:val="24"/>
          <w:szCs w:val="24"/>
          <w:lang w:val="pt-BR"/>
        </w:rPr>
      </w:pPr>
      <w:r w:rsidRPr="001C1AE7">
        <w:rPr>
          <w:sz w:val="24"/>
          <w:szCs w:val="24"/>
          <w:lang w:val="pt-BR"/>
        </w:rPr>
        <w:t xml:space="preserve">O fósforo é um dos nutrientes essenciais para o desenvolvimento dos organismos vivos, desempenhando papel fundamental em processos metabólicos, na transferência de energia celular e no crescimento vegetal. Entretanto, quando presente em excesso nos corpos hídricos, esse elemento torna-se um dos principais responsáveis pela eutrofização de ambientes aquáticos, processo caracterizado pela proliferação excessiva de algas e macrófitas, </w:t>
      </w:r>
      <w:r w:rsidR="00516685" w:rsidRPr="001C1AE7">
        <w:rPr>
          <w:sz w:val="24"/>
          <w:szCs w:val="24"/>
          <w:lang w:val="pt-BR"/>
        </w:rPr>
        <w:t>redução dos níveis de oxigênio dissolvido</w:t>
      </w:r>
      <w:r w:rsidR="00516685">
        <w:rPr>
          <w:sz w:val="24"/>
          <w:szCs w:val="24"/>
          <w:lang w:val="pt-BR"/>
        </w:rPr>
        <w:t xml:space="preserve">, </w:t>
      </w:r>
      <w:r w:rsidR="00516685" w:rsidRPr="001C1AE7">
        <w:rPr>
          <w:sz w:val="24"/>
          <w:szCs w:val="24"/>
          <w:lang w:val="pt-BR"/>
        </w:rPr>
        <w:t>mortalidade de organismos aquáticos</w:t>
      </w:r>
      <w:r w:rsidRPr="001C1AE7">
        <w:rPr>
          <w:sz w:val="24"/>
          <w:szCs w:val="24"/>
          <w:lang w:val="pt-BR"/>
        </w:rPr>
        <w:t xml:space="preserve"> e comprometimento </w:t>
      </w:r>
      <w:r w:rsidRPr="001C1AE7">
        <w:rPr>
          <w:sz w:val="24"/>
          <w:szCs w:val="24"/>
          <w:lang w:val="pt-BR"/>
        </w:rPr>
        <w:lastRenderedPageBreak/>
        <w:t xml:space="preserve">dos múltiplos usos dos recursos </w:t>
      </w:r>
      <w:r w:rsidRPr="00AC4E85">
        <w:rPr>
          <w:sz w:val="24"/>
          <w:szCs w:val="24"/>
          <w:lang w:val="pt-BR"/>
        </w:rPr>
        <w:t>hídricos</w:t>
      </w:r>
      <w:r w:rsidR="00AC4E85" w:rsidRPr="00AC4E85">
        <w:rPr>
          <w:sz w:val="24"/>
          <w:szCs w:val="24"/>
          <w:lang w:val="pt-BR"/>
        </w:rPr>
        <w:t xml:space="preserve"> (</w:t>
      </w:r>
      <w:r w:rsidR="009462FD" w:rsidRPr="00AC4E85">
        <w:rPr>
          <w:sz w:val="24"/>
          <w:szCs w:val="24"/>
        </w:rPr>
        <w:t>F</w:t>
      </w:r>
      <w:r w:rsidR="009462FD" w:rsidRPr="00731BDF">
        <w:rPr>
          <w:sz w:val="24"/>
          <w:szCs w:val="24"/>
        </w:rPr>
        <w:t>ischer</w:t>
      </w:r>
      <w:r w:rsidR="00AC4E85" w:rsidRPr="00AC4E85">
        <w:rPr>
          <w:sz w:val="24"/>
          <w:szCs w:val="24"/>
        </w:rPr>
        <w:t xml:space="preserve"> </w:t>
      </w:r>
      <w:r w:rsidR="00AC4E85" w:rsidRPr="00AC4E85">
        <w:rPr>
          <w:i/>
          <w:iCs/>
          <w:sz w:val="24"/>
          <w:szCs w:val="24"/>
        </w:rPr>
        <w:t>et al.,</w:t>
      </w:r>
      <w:r w:rsidR="00AC4E85" w:rsidRPr="00AC4E85">
        <w:rPr>
          <w:sz w:val="24"/>
          <w:szCs w:val="24"/>
        </w:rPr>
        <w:t xml:space="preserve"> 2025)</w:t>
      </w:r>
      <w:r w:rsidRPr="00AC4E85">
        <w:rPr>
          <w:sz w:val="24"/>
          <w:szCs w:val="24"/>
          <w:lang w:val="pt-BR"/>
        </w:rPr>
        <w:t xml:space="preserve">. </w:t>
      </w:r>
    </w:p>
    <w:p w14:paraId="42AAD9F4" w14:textId="0D081ED6" w:rsidR="001C1AE7" w:rsidRPr="001C1AE7" w:rsidRDefault="001C1AE7" w:rsidP="001C1AE7">
      <w:pPr>
        <w:pStyle w:val="Corpodetexto"/>
        <w:spacing w:before="1" w:line="360" w:lineRule="auto"/>
        <w:ind w:firstLine="720"/>
        <w:jc w:val="both"/>
        <w:rPr>
          <w:sz w:val="24"/>
          <w:szCs w:val="24"/>
          <w:lang w:val="pt-BR"/>
        </w:rPr>
      </w:pPr>
      <w:r w:rsidRPr="001C1AE7">
        <w:rPr>
          <w:sz w:val="24"/>
          <w:szCs w:val="24"/>
          <w:lang w:val="pt-BR"/>
        </w:rPr>
        <w:t>Os sistemas convencionais de tratamento de esgoto sanitário, amplamente empregados no Brasil, são projetados prioritariamente para a remoção de matéria orgânica, apresentando eficiência limitada na remoção de nutrientes, especialmente fósforo</w:t>
      </w:r>
      <w:r w:rsidR="00AC4E85">
        <w:rPr>
          <w:sz w:val="24"/>
          <w:szCs w:val="24"/>
          <w:lang w:val="pt-BR"/>
        </w:rPr>
        <w:t xml:space="preserve"> </w:t>
      </w:r>
      <w:r w:rsidR="00AC4E85" w:rsidRPr="00AC4E85">
        <w:rPr>
          <w:sz w:val="24"/>
          <w:szCs w:val="24"/>
          <w:lang w:val="pt-BR"/>
        </w:rPr>
        <w:t>(</w:t>
      </w:r>
      <w:r w:rsidR="009462FD" w:rsidRPr="00AC4E85">
        <w:rPr>
          <w:sz w:val="24"/>
          <w:szCs w:val="24"/>
        </w:rPr>
        <w:t>Alves</w:t>
      </w:r>
      <w:r w:rsidR="00AC4E85" w:rsidRPr="00AC4E85">
        <w:rPr>
          <w:sz w:val="24"/>
          <w:szCs w:val="24"/>
        </w:rPr>
        <w:t>, 2025)</w:t>
      </w:r>
      <w:r w:rsidRPr="00AC4E85">
        <w:rPr>
          <w:sz w:val="24"/>
          <w:szCs w:val="24"/>
          <w:lang w:val="pt-BR"/>
        </w:rPr>
        <w:t>. Dessa</w:t>
      </w:r>
      <w:r w:rsidRPr="001C1AE7">
        <w:rPr>
          <w:sz w:val="24"/>
          <w:szCs w:val="24"/>
          <w:lang w:val="pt-BR"/>
        </w:rPr>
        <w:t xml:space="preserve"> forma, mesmo após o tratamento secundário, quantidades significativas desse nutriente permanecem nos efluentes tratados e são continuamente lançadas nos corpos receptores. </w:t>
      </w:r>
    </w:p>
    <w:p w14:paraId="2F7830A5" w14:textId="4277631C" w:rsidR="001C1AE7" w:rsidRDefault="001C1AE7" w:rsidP="001C1AE7">
      <w:pPr>
        <w:pStyle w:val="Corpodetexto"/>
        <w:spacing w:before="1" w:line="360" w:lineRule="auto"/>
        <w:ind w:firstLine="720"/>
        <w:jc w:val="both"/>
        <w:rPr>
          <w:sz w:val="24"/>
          <w:szCs w:val="24"/>
          <w:lang w:val="pt-BR"/>
        </w:rPr>
      </w:pPr>
      <w:r w:rsidRPr="001C1AE7">
        <w:rPr>
          <w:sz w:val="24"/>
          <w:szCs w:val="24"/>
          <w:lang w:val="pt-BR"/>
        </w:rPr>
        <w:t xml:space="preserve">Nesse contexto, a precipitação química destaca-se como uma alternativa tecnicamente viável para a remoção de fósforo em estações de tratamento de esgoto (ETEs). </w:t>
      </w:r>
      <w:r w:rsidR="00C77A49" w:rsidRPr="00C77A49">
        <w:rPr>
          <w:sz w:val="24"/>
          <w:szCs w:val="24"/>
          <w:lang w:val="pt-BR"/>
        </w:rPr>
        <w:t xml:space="preserve">O processo baseia-se na adição de reagentes capazes de promover a formação de compostos insolúveis, permitindo a transferência do fósforo da fase líquida para a fase sólida (JENKINS; FERGUSON; MENAR, 1971). </w:t>
      </w:r>
      <w:r w:rsidRPr="001C1AE7">
        <w:rPr>
          <w:sz w:val="24"/>
          <w:szCs w:val="24"/>
          <w:lang w:val="pt-BR"/>
        </w:rPr>
        <w:t>Dentre os diferentes mecanismos envolvidos, a utilização de compostos à base de cálcio em meio alcalino favorece a formação de fosfatos de cálcio, incluindo a hidroxiapatita (HAP</w:t>
      </w:r>
      <w:r w:rsidR="00516685">
        <w:rPr>
          <w:sz w:val="24"/>
          <w:szCs w:val="24"/>
          <w:lang w:val="pt-BR"/>
        </w:rPr>
        <w:t xml:space="preserve">; </w:t>
      </w:r>
      <w:r w:rsidR="00516685" w:rsidRPr="00AC4E85">
        <w:rPr>
          <w:sz w:val="24"/>
          <w:szCs w:val="24"/>
        </w:rPr>
        <w:t>Ca</w:t>
      </w:r>
      <w:r w:rsidR="00516685" w:rsidRPr="00AC4E85">
        <w:rPr>
          <w:sz w:val="24"/>
          <w:szCs w:val="24"/>
          <w:vertAlign w:val="subscript"/>
        </w:rPr>
        <w:t>10</w:t>
      </w:r>
      <w:r w:rsidR="00516685" w:rsidRPr="00AC4E85">
        <w:rPr>
          <w:sz w:val="24"/>
          <w:szCs w:val="24"/>
        </w:rPr>
        <w:t>(PO</w:t>
      </w:r>
      <w:r w:rsidR="00516685" w:rsidRPr="00AC4E85">
        <w:rPr>
          <w:sz w:val="24"/>
          <w:szCs w:val="24"/>
          <w:vertAlign w:val="subscript"/>
        </w:rPr>
        <w:t>4</w:t>
      </w:r>
      <w:r w:rsidR="00516685" w:rsidRPr="00AC4E85">
        <w:rPr>
          <w:sz w:val="24"/>
          <w:szCs w:val="24"/>
        </w:rPr>
        <w:t>)</w:t>
      </w:r>
      <w:r w:rsidR="00516685" w:rsidRPr="00AC4E85">
        <w:rPr>
          <w:sz w:val="24"/>
          <w:szCs w:val="24"/>
          <w:vertAlign w:val="subscript"/>
        </w:rPr>
        <w:t>6</w:t>
      </w:r>
      <w:r w:rsidR="00516685" w:rsidRPr="00AC4E85">
        <w:rPr>
          <w:sz w:val="24"/>
          <w:szCs w:val="24"/>
        </w:rPr>
        <w:t>(OH)</w:t>
      </w:r>
      <w:r w:rsidR="00516685" w:rsidRPr="00AC4E85">
        <w:rPr>
          <w:sz w:val="24"/>
          <w:szCs w:val="24"/>
          <w:vertAlign w:val="subscript"/>
        </w:rPr>
        <w:t>2</w:t>
      </w:r>
      <w:r w:rsidRPr="001C1AE7">
        <w:rPr>
          <w:sz w:val="24"/>
          <w:szCs w:val="24"/>
          <w:lang w:val="pt-BR"/>
        </w:rPr>
        <w:t xml:space="preserve">), mineral amplamente conhecido por sua </w:t>
      </w:r>
      <w:r w:rsidR="00516685">
        <w:rPr>
          <w:sz w:val="24"/>
          <w:szCs w:val="24"/>
          <w:lang w:val="pt-BR"/>
        </w:rPr>
        <w:t>biocompatibilidade</w:t>
      </w:r>
      <w:r w:rsidRPr="001C1AE7">
        <w:rPr>
          <w:sz w:val="24"/>
          <w:szCs w:val="24"/>
          <w:lang w:val="pt-BR"/>
        </w:rPr>
        <w:t xml:space="preserve"> e elevado teor de </w:t>
      </w:r>
      <w:r w:rsidRPr="00D94A28">
        <w:rPr>
          <w:sz w:val="24"/>
          <w:szCs w:val="24"/>
          <w:lang w:val="pt-BR"/>
        </w:rPr>
        <w:t>fósforo</w:t>
      </w:r>
      <w:r w:rsidR="00D94A28" w:rsidRPr="00D94A28">
        <w:rPr>
          <w:sz w:val="24"/>
          <w:szCs w:val="24"/>
          <w:lang w:val="pt-BR"/>
        </w:rPr>
        <w:t xml:space="preserve"> (</w:t>
      </w:r>
      <w:r w:rsidR="009462FD" w:rsidRPr="00D94A28">
        <w:rPr>
          <w:sz w:val="24"/>
          <w:szCs w:val="24"/>
        </w:rPr>
        <w:t>Noruzi</w:t>
      </w:r>
      <w:r w:rsidR="00D94A28" w:rsidRPr="00D94A28">
        <w:rPr>
          <w:sz w:val="24"/>
          <w:szCs w:val="24"/>
        </w:rPr>
        <w:t>, 2023)</w:t>
      </w:r>
      <w:r w:rsidRPr="00D94A28">
        <w:rPr>
          <w:sz w:val="24"/>
          <w:szCs w:val="24"/>
          <w:lang w:val="pt-BR"/>
        </w:rPr>
        <w:t>.</w:t>
      </w:r>
    </w:p>
    <w:p w14:paraId="74FDB9CB" w14:textId="4B5CA412" w:rsidR="004E5337" w:rsidRDefault="004E5337" w:rsidP="00D94A28">
      <w:pPr>
        <w:pStyle w:val="Corpodetexto"/>
        <w:spacing w:before="1" w:line="360" w:lineRule="auto"/>
        <w:ind w:firstLine="720"/>
        <w:jc w:val="both"/>
        <w:rPr>
          <w:sz w:val="24"/>
          <w:szCs w:val="24"/>
        </w:rPr>
      </w:pPr>
      <w:r w:rsidRPr="004E5337">
        <w:rPr>
          <w:sz w:val="24"/>
          <w:szCs w:val="24"/>
        </w:rPr>
        <w:t>A utilização de cálcio como agente precipitante apresenta vantagens em relação aos sais de alumínio e ferro, incluindo menor custo e maior potencial de aproveitamento agrícola do precipitado, uma vez que compostos à base de cálcio já são amplamente empregados na correção da acidez do solo. Além da eficiência na remoção de fósforo, a formação de hidroxiapatita possibilita a recuperação desse nutriente para potencial uso como fertilizante, contribuindo para a economia circular e para a redução da dependência de fontes minerais não renováveis</w:t>
      </w:r>
      <w:r w:rsidR="00FD3FC2">
        <w:rPr>
          <w:sz w:val="24"/>
          <w:szCs w:val="24"/>
        </w:rPr>
        <w:t xml:space="preserve"> na produção de fertilizantes agrícolas</w:t>
      </w:r>
      <w:r w:rsidRPr="004E5337">
        <w:rPr>
          <w:sz w:val="24"/>
          <w:szCs w:val="24"/>
        </w:rPr>
        <w:t>.</w:t>
      </w:r>
    </w:p>
    <w:p w14:paraId="2089AD52" w14:textId="0C2EA85D" w:rsidR="00D94A28" w:rsidRPr="00D94A28" w:rsidRDefault="004003A5" w:rsidP="00D94A28">
      <w:pPr>
        <w:pStyle w:val="Corpodetexto"/>
        <w:spacing w:before="1" w:line="360" w:lineRule="auto"/>
        <w:ind w:firstLine="720"/>
        <w:jc w:val="both"/>
        <w:rPr>
          <w:sz w:val="24"/>
          <w:szCs w:val="24"/>
          <w:lang w:val="pt-BR"/>
        </w:rPr>
      </w:pPr>
      <w:r w:rsidRPr="004003A5">
        <w:rPr>
          <w:sz w:val="24"/>
          <w:szCs w:val="24"/>
          <w:lang w:val="pt-BR"/>
        </w:rPr>
        <w:t>Diante desse cenário, este estudo teve como objetivo avaliar a eficiência da precipitação química utilizando hidróxido de cálcio na remoção de fósforo de esgoto sanitário submetido a diferentes concentrações do nutriente, investigando a influência da concentração inicial de fósforo sobre o desempenho do processo e a obtenção de precipitados com potencial para recuperação e aproveitamento futuro do fósforo.</w:t>
      </w:r>
    </w:p>
    <w:p w14:paraId="16FDABA8" w14:textId="77777777" w:rsidR="009C4B75" w:rsidRPr="005F70B0" w:rsidRDefault="009C4B75" w:rsidP="009C4B75">
      <w:pPr>
        <w:pStyle w:val="Corpodetexto"/>
        <w:spacing w:before="1" w:line="360" w:lineRule="auto"/>
        <w:ind w:firstLine="720"/>
        <w:jc w:val="both"/>
        <w:rPr>
          <w:sz w:val="24"/>
          <w:szCs w:val="24"/>
        </w:rPr>
      </w:pPr>
    </w:p>
    <w:p w14:paraId="208760B7" w14:textId="653A6907" w:rsidR="00E3782C" w:rsidRPr="005F70B0" w:rsidRDefault="00E3782C" w:rsidP="009C4B75">
      <w:pPr>
        <w:pStyle w:val="Corpodetexto"/>
        <w:spacing w:before="1" w:line="360" w:lineRule="auto"/>
        <w:jc w:val="both"/>
        <w:rPr>
          <w:b/>
          <w:bCs/>
          <w:sz w:val="28"/>
          <w:szCs w:val="28"/>
        </w:rPr>
      </w:pPr>
      <w:r w:rsidRPr="005F70B0">
        <w:rPr>
          <w:b/>
          <w:bCs/>
          <w:sz w:val="28"/>
          <w:szCs w:val="28"/>
        </w:rPr>
        <w:t>Metodologia</w:t>
      </w:r>
    </w:p>
    <w:p w14:paraId="227B7168" w14:textId="77777777" w:rsidR="005C190A" w:rsidRPr="005C190A" w:rsidRDefault="005C190A" w:rsidP="005C190A">
      <w:pPr>
        <w:pStyle w:val="Corpodetexto"/>
        <w:spacing w:line="360" w:lineRule="auto"/>
        <w:ind w:firstLine="720"/>
        <w:jc w:val="both"/>
        <w:rPr>
          <w:sz w:val="24"/>
          <w:szCs w:val="24"/>
          <w:lang w:val="pt-BR"/>
        </w:rPr>
      </w:pPr>
      <w:r w:rsidRPr="005C190A">
        <w:rPr>
          <w:sz w:val="24"/>
          <w:szCs w:val="24"/>
          <w:lang w:val="pt-BR"/>
        </w:rPr>
        <w:t xml:space="preserve">Foram utilizadas amostras de esgoto sanitário de uma ETE sob concessão municipal, localizada em município de médio porte (~800.000 habitantes) do estado de São Paulo, cuja carga afluente é predominantemente doméstica. A unidade opera com sistema de lodos ativados, aeração por difusores de membrana e digestão aeróbia de alta carga para estabilização do lodo. As coletas foram realizadas no reator biológico primário da ETE. </w:t>
      </w:r>
    </w:p>
    <w:p w14:paraId="2ECD8E25" w14:textId="3EEAD977" w:rsidR="005C190A" w:rsidRPr="005C190A" w:rsidRDefault="005C190A" w:rsidP="005C190A">
      <w:pPr>
        <w:pStyle w:val="Corpodetexto"/>
        <w:spacing w:line="360" w:lineRule="auto"/>
        <w:ind w:firstLine="720"/>
        <w:jc w:val="both"/>
        <w:rPr>
          <w:sz w:val="24"/>
          <w:szCs w:val="24"/>
          <w:lang w:val="pt-BR"/>
        </w:rPr>
      </w:pPr>
      <w:r w:rsidRPr="005C190A">
        <w:rPr>
          <w:sz w:val="24"/>
          <w:szCs w:val="24"/>
          <w:lang w:val="pt-BR"/>
        </w:rPr>
        <w:lastRenderedPageBreak/>
        <w:t xml:space="preserve">A metodologia foi adaptada de </w:t>
      </w:r>
      <w:r w:rsidRPr="005C190A">
        <w:rPr>
          <w:sz w:val="24"/>
          <w:szCs w:val="24"/>
        </w:rPr>
        <w:t xml:space="preserve">Noruzi </w:t>
      </w:r>
      <w:r w:rsidRPr="005C190A">
        <w:rPr>
          <w:i/>
          <w:iCs/>
          <w:sz w:val="24"/>
          <w:szCs w:val="24"/>
        </w:rPr>
        <w:t>et al</w:t>
      </w:r>
      <w:r w:rsidRPr="005C190A">
        <w:rPr>
          <w:sz w:val="24"/>
          <w:szCs w:val="24"/>
        </w:rPr>
        <w:t>. (2023), com reagentes de grau analítico. Utilizou-se solução padrão de fósforo (1.000 mg L</w:t>
      </w:r>
      <w:r w:rsidRPr="005C190A">
        <w:rPr>
          <w:sz w:val="24"/>
          <w:szCs w:val="24"/>
          <w:vertAlign w:val="superscript"/>
        </w:rPr>
        <w:t>-1</w:t>
      </w:r>
      <w:r w:rsidRPr="005C190A">
        <w:rPr>
          <w:sz w:val="24"/>
          <w:szCs w:val="24"/>
          <w:lang w:val="pt-BR"/>
        </w:rPr>
        <w:t>, a partir de NaH</w:t>
      </w:r>
      <w:r w:rsidRPr="005C190A">
        <w:rPr>
          <w:sz w:val="24"/>
          <w:szCs w:val="24"/>
          <w:vertAlign w:val="subscript"/>
          <w:lang w:val="pt-BR"/>
        </w:rPr>
        <w:t>2</w:t>
      </w:r>
      <w:r w:rsidRPr="005C190A">
        <w:rPr>
          <w:sz w:val="24"/>
          <w:szCs w:val="24"/>
          <w:lang w:val="pt-BR"/>
        </w:rPr>
        <w:t>PO</w:t>
      </w:r>
      <w:r w:rsidRPr="005C190A">
        <w:rPr>
          <w:sz w:val="24"/>
          <w:szCs w:val="24"/>
          <w:vertAlign w:val="subscript"/>
          <w:lang w:val="pt-BR"/>
        </w:rPr>
        <w:t>4</w:t>
      </w:r>
      <w:r w:rsidRPr="005C190A">
        <w:rPr>
          <w:sz w:val="24"/>
          <w:szCs w:val="24"/>
          <w:lang w:val="pt-BR"/>
        </w:rPr>
        <w:t>) para fortificação, e hidróxido de cálcio [Ca(OH)₂] (10 g L</w:t>
      </w:r>
      <w:r w:rsidRPr="005C190A">
        <w:rPr>
          <w:sz w:val="24"/>
          <w:szCs w:val="24"/>
          <w:vertAlign w:val="superscript"/>
        </w:rPr>
        <w:t>-1</w:t>
      </w:r>
      <w:r w:rsidRPr="005C190A">
        <w:rPr>
          <w:sz w:val="24"/>
          <w:szCs w:val="24"/>
        </w:rPr>
        <w:t>) como fonte de cálcio, agente precipitante e corretor de pH.</w:t>
      </w:r>
      <w:r w:rsidR="007D627F">
        <w:rPr>
          <w:sz w:val="24"/>
          <w:szCs w:val="24"/>
        </w:rPr>
        <w:t xml:space="preserve"> </w:t>
      </w:r>
      <w:r w:rsidRPr="005C190A">
        <w:rPr>
          <w:sz w:val="24"/>
          <w:szCs w:val="24"/>
          <w:lang w:val="pt-BR"/>
        </w:rPr>
        <w:t>Os ensaios foram conduzidos em escala laboratorial, com alíquotas de 1 L de esgoto distribuídas em cinco condições: controle (esgoto bruto) e fortificações com 10, 25, 50 e 200 mg L</w:t>
      </w:r>
      <w:r w:rsidRPr="005C190A">
        <w:rPr>
          <w:sz w:val="24"/>
          <w:szCs w:val="24"/>
          <w:vertAlign w:val="superscript"/>
          <w:lang w:val="pt-BR"/>
        </w:rPr>
        <w:t>-1</w:t>
      </w:r>
      <w:r w:rsidRPr="005C190A">
        <w:rPr>
          <w:sz w:val="24"/>
          <w:szCs w:val="24"/>
          <w:lang w:val="pt-BR"/>
        </w:rPr>
        <w:t xml:space="preserve"> de fósforo, permitindo avaliar a influência da concentração inicial na eficiência do processo.</w:t>
      </w:r>
    </w:p>
    <w:p w14:paraId="1E0D55B2" w14:textId="083865B0" w:rsidR="005C190A" w:rsidRPr="005C190A" w:rsidRDefault="005C190A" w:rsidP="00BE07F9">
      <w:pPr>
        <w:pStyle w:val="Corpodetexto"/>
        <w:spacing w:line="360" w:lineRule="auto"/>
        <w:ind w:firstLine="720"/>
        <w:jc w:val="both"/>
        <w:rPr>
          <w:sz w:val="24"/>
          <w:szCs w:val="24"/>
          <w:lang w:val="pt-BR"/>
        </w:rPr>
      </w:pPr>
      <w:r w:rsidRPr="005C190A">
        <w:rPr>
          <w:sz w:val="24"/>
          <w:szCs w:val="24"/>
          <w:lang w:val="pt-BR"/>
        </w:rPr>
        <w:t>Cada ensaio foi realizado em agitador mecânico (610 rpm, temperatura ambiente). Após a fortificação e homogeneização, coletou-se alíquota para determinação da concentração inicial de fósforo, seguida da adição gradual de hidróxido de cálcio até pH igual ou superior a 10, condição estabelecida para favorecer a formação de fosfatos de cálcio, principalmente HAP.</w:t>
      </w:r>
      <w:r w:rsidR="00BE07F9">
        <w:rPr>
          <w:sz w:val="24"/>
          <w:szCs w:val="24"/>
          <w:lang w:val="pt-BR"/>
        </w:rPr>
        <w:t xml:space="preserve"> </w:t>
      </w:r>
      <w:r w:rsidRPr="005C190A">
        <w:rPr>
          <w:sz w:val="24"/>
          <w:szCs w:val="24"/>
          <w:lang w:val="pt-BR"/>
        </w:rPr>
        <w:t>As amostras permaneceram sob agitação por 2 horas para promover a precipitação, seguidas de repouso por 24 horas para sedimentação e separação das fases por filtração a vácuo.</w:t>
      </w:r>
    </w:p>
    <w:p w14:paraId="009D4198" w14:textId="77777777" w:rsidR="005C190A" w:rsidRPr="005C190A" w:rsidRDefault="005C190A" w:rsidP="00BE07F9">
      <w:pPr>
        <w:pStyle w:val="Corpodetexto"/>
        <w:spacing w:line="360" w:lineRule="auto"/>
        <w:ind w:firstLine="720"/>
        <w:jc w:val="both"/>
        <w:rPr>
          <w:sz w:val="24"/>
          <w:szCs w:val="24"/>
          <w:lang w:val="pt-BR"/>
        </w:rPr>
      </w:pPr>
      <w:r w:rsidRPr="005C190A">
        <w:rPr>
          <w:sz w:val="24"/>
          <w:szCs w:val="24"/>
          <w:lang w:val="pt-BR"/>
        </w:rPr>
        <w:t xml:space="preserve">A concentração residual de fósforo na fase líquida foi determinada pelo método </w:t>
      </w:r>
      <w:r w:rsidRPr="005C190A">
        <w:rPr>
          <w:i/>
          <w:iCs/>
          <w:sz w:val="24"/>
          <w:szCs w:val="24"/>
        </w:rPr>
        <w:t>Vanadomolybdophosphoric Acid Colorimetric Method</w:t>
      </w:r>
      <w:r w:rsidRPr="005C190A">
        <w:rPr>
          <w:sz w:val="24"/>
          <w:szCs w:val="24"/>
          <w:lang w:val="pt-BR"/>
        </w:rPr>
        <w:t xml:space="preserve"> (Standard </w:t>
      </w:r>
      <w:proofErr w:type="spellStart"/>
      <w:r w:rsidRPr="005C190A">
        <w:rPr>
          <w:sz w:val="24"/>
          <w:szCs w:val="24"/>
          <w:lang w:val="pt-BR"/>
        </w:rPr>
        <w:t>Methods</w:t>
      </w:r>
      <w:proofErr w:type="spellEnd"/>
      <w:r w:rsidRPr="005C190A">
        <w:rPr>
          <w:sz w:val="24"/>
          <w:szCs w:val="24"/>
          <w:lang w:val="pt-BR"/>
        </w:rPr>
        <w:t xml:space="preserve"> 4500-P C), permitindo calcular a eficiência de remoção em cada condição.</w:t>
      </w:r>
    </w:p>
    <w:p w14:paraId="2BEA12FA" w14:textId="77777777" w:rsidR="005C190A" w:rsidRPr="005C190A" w:rsidRDefault="005C190A" w:rsidP="00BE07F9">
      <w:pPr>
        <w:pStyle w:val="Corpodetexto"/>
        <w:spacing w:line="360" w:lineRule="auto"/>
        <w:ind w:firstLine="720"/>
        <w:jc w:val="both"/>
        <w:rPr>
          <w:sz w:val="24"/>
          <w:szCs w:val="24"/>
          <w:lang w:val="pt-BR"/>
        </w:rPr>
      </w:pPr>
      <w:r w:rsidRPr="005C190A">
        <w:rPr>
          <w:sz w:val="24"/>
          <w:szCs w:val="24"/>
          <w:lang w:val="pt-BR"/>
        </w:rPr>
        <w:t>A fração sólida foi seca em estufa (100 °C) e armazenada em recipientes hermeticamente fechados para futuras análises de caracterização e avaliação do potencial agronômico. Cada condição experimental foi conduzida em ensaio único, dado o caráter exploratório do estudo, sem aplicação de tratamento estatístico.</w:t>
      </w:r>
    </w:p>
    <w:p w14:paraId="6AB1C1F9" w14:textId="77777777" w:rsidR="00E3782C" w:rsidRPr="005C190A" w:rsidRDefault="00E3782C" w:rsidP="00E3782C">
      <w:pPr>
        <w:pStyle w:val="Corpodetexto"/>
        <w:spacing w:before="1" w:line="360" w:lineRule="auto"/>
        <w:rPr>
          <w:sz w:val="24"/>
          <w:szCs w:val="24"/>
          <w:lang w:val="pt-BR"/>
        </w:rPr>
      </w:pPr>
    </w:p>
    <w:p w14:paraId="71573541" w14:textId="4E79BD08" w:rsidR="00E3782C" w:rsidRPr="005F70B0" w:rsidRDefault="00E3782C" w:rsidP="009C4B75">
      <w:pPr>
        <w:pStyle w:val="Corpodetexto"/>
        <w:spacing w:before="1" w:line="360" w:lineRule="auto"/>
        <w:jc w:val="both"/>
        <w:rPr>
          <w:b/>
          <w:bCs/>
          <w:sz w:val="28"/>
          <w:szCs w:val="28"/>
        </w:rPr>
      </w:pPr>
      <w:r w:rsidRPr="005F70B0">
        <w:rPr>
          <w:b/>
          <w:bCs/>
          <w:sz w:val="28"/>
          <w:szCs w:val="28"/>
        </w:rPr>
        <w:t>Resultados e Discussão</w:t>
      </w:r>
    </w:p>
    <w:p w14:paraId="03F717AD" w14:textId="2023C852" w:rsidR="00D51D46" w:rsidRPr="00314935" w:rsidRDefault="00314935" w:rsidP="00314935">
      <w:pPr>
        <w:pStyle w:val="Corpodetexto"/>
        <w:spacing w:line="360" w:lineRule="auto"/>
        <w:ind w:firstLine="720"/>
        <w:jc w:val="both"/>
        <w:rPr>
          <w:sz w:val="24"/>
          <w:szCs w:val="24"/>
          <w:lang w:val="pt-BR"/>
        </w:rPr>
      </w:pPr>
      <w:r w:rsidRPr="00314935">
        <w:rPr>
          <w:sz w:val="24"/>
          <w:szCs w:val="24"/>
          <w:lang w:val="pt-BR"/>
        </w:rPr>
        <w:t xml:space="preserve">Os resultados dos ensaios de precipitação química são apresentados na Tabela </w:t>
      </w:r>
      <w:r w:rsidR="007069BA">
        <w:rPr>
          <w:sz w:val="24"/>
          <w:szCs w:val="24"/>
          <w:lang w:val="pt-BR"/>
        </w:rPr>
        <w:t>1</w:t>
      </w:r>
      <w:r w:rsidR="00F53508">
        <w:rPr>
          <w:sz w:val="24"/>
          <w:szCs w:val="24"/>
        </w:rPr>
        <w:t>.</w:t>
      </w:r>
      <w:r w:rsidR="00872742">
        <w:rPr>
          <w:sz w:val="24"/>
          <w:szCs w:val="24"/>
        </w:rPr>
        <w:t xml:space="preserve"> </w:t>
      </w:r>
      <w:r w:rsidR="00872742" w:rsidRPr="00872742">
        <w:rPr>
          <w:sz w:val="24"/>
          <w:szCs w:val="24"/>
        </w:rPr>
        <w:t>A fortificação permitiu avaliar o desempenho do processo sob diferentes cargas de fósforo, simulando cenários de maior concentração do nutriente.</w:t>
      </w:r>
    </w:p>
    <w:p w14:paraId="78576A60" w14:textId="77777777" w:rsidR="00D51D46" w:rsidRDefault="00D51D46" w:rsidP="00E870D6">
      <w:pPr>
        <w:pStyle w:val="Corpodetexto"/>
        <w:spacing w:line="360" w:lineRule="auto"/>
        <w:ind w:firstLine="720"/>
        <w:jc w:val="both"/>
        <w:rPr>
          <w:sz w:val="24"/>
          <w:szCs w:val="24"/>
        </w:rPr>
      </w:pPr>
    </w:p>
    <w:p w14:paraId="6F62E8D0" w14:textId="7093CD38" w:rsidR="00D51D46" w:rsidRPr="00184B82" w:rsidRDefault="00D51D46" w:rsidP="00D51D46">
      <w:pPr>
        <w:pStyle w:val="Corpodetexto"/>
        <w:spacing w:before="1" w:line="360" w:lineRule="auto"/>
        <w:jc w:val="center"/>
        <w:rPr>
          <w:b/>
          <w:bCs/>
        </w:rPr>
      </w:pPr>
      <w:r w:rsidRPr="00184B82">
        <w:rPr>
          <w:b/>
          <w:bCs/>
        </w:rPr>
        <w:t xml:space="preserve">Tabela </w:t>
      </w:r>
      <w:r w:rsidR="007069BA">
        <w:rPr>
          <w:b/>
          <w:bCs/>
        </w:rPr>
        <w:t>1</w:t>
      </w:r>
      <w:r w:rsidRPr="00184B82">
        <w:rPr>
          <w:b/>
          <w:bCs/>
        </w:rPr>
        <w:t>. Resultados d</w:t>
      </w:r>
      <w:r>
        <w:rPr>
          <w:b/>
          <w:bCs/>
        </w:rPr>
        <w:t>o experimento de precipitação química</w:t>
      </w:r>
    </w:p>
    <w:tbl>
      <w:tblPr>
        <w:tblW w:w="9002" w:type="dxa"/>
        <w:tblInd w:w="70" w:type="dxa"/>
        <w:tblLayout w:type="fixed"/>
        <w:tblCellMar>
          <w:left w:w="70" w:type="dxa"/>
          <w:right w:w="70" w:type="dxa"/>
        </w:tblCellMar>
        <w:tblLook w:val="04A0" w:firstRow="1" w:lastRow="0" w:firstColumn="1" w:lastColumn="0" w:noHBand="0" w:noVBand="1"/>
      </w:tblPr>
      <w:tblGrid>
        <w:gridCol w:w="1348"/>
        <w:gridCol w:w="1215"/>
        <w:gridCol w:w="1288"/>
        <w:gridCol w:w="1717"/>
        <w:gridCol w:w="1717"/>
        <w:gridCol w:w="1717"/>
      </w:tblGrid>
      <w:tr w:rsidR="0038366C" w:rsidRPr="00872742" w14:paraId="4C68B8AC" w14:textId="77777777" w:rsidTr="0038366C">
        <w:trPr>
          <w:trHeight w:val="1152"/>
        </w:trPr>
        <w:tc>
          <w:tcPr>
            <w:tcW w:w="1348" w:type="dxa"/>
            <w:tcBorders>
              <w:top w:val="nil"/>
              <w:left w:val="nil"/>
              <w:bottom w:val="nil"/>
              <w:right w:val="nil"/>
            </w:tcBorders>
            <w:shd w:val="clear" w:color="000000" w:fill="0C769E"/>
            <w:noWrap/>
            <w:vAlign w:val="center"/>
            <w:hideMark/>
          </w:tcPr>
          <w:p w14:paraId="0532AA9D" w14:textId="77777777" w:rsidR="0038366C" w:rsidRPr="00872742" w:rsidRDefault="0038366C" w:rsidP="00D51D46">
            <w:pPr>
              <w:widowControl/>
              <w:autoSpaceDE/>
              <w:autoSpaceDN/>
              <w:jc w:val="center"/>
              <w:rPr>
                <w:b/>
                <w:bCs/>
                <w:color w:val="FFFFFF"/>
                <w:lang w:val="pt-BR" w:eastAsia="pt-BR"/>
              </w:rPr>
            </w:pPr>
            <w:r w:rsidRPr="00872742">
              <w:rPr>
                <w:b/>
                <w:bCs/>
                <w:color w:val="FFFFFF"/>
                <w:lang w:val="pt-BR" w:eastAsia="pt-BR"/>
              </w:rPr>
              <w:t>Fortificação</w:t>
            </w:r>
          </w:p>
        </w:tc>
        <w:tc>
          <w:tcPr>
            <w:tcW w:w="1215" w:type="dxa"/>
            <w:tcBorders>
              <w:top w:val="nil"/>
              <w:left w:val="nil"/>
              <w:bottom w:val="nil"/>
              <w:right w:val="nil"/>
            </w:tcBorders>
            <w:shd w:val="clear" w:color="000000" w:fill="0C769E"/>
            <w:noWrap/>
            <w:vAlign w:val="center"/>
            <w:hideMark/>
          </w:tcPr>
          <w:p w14:paraId="3166B2C2" w14:textId="4679BF38" w:rsidR="0038366C" w:rsidRPr="00872742" w:rsidRDefault="0038366C" w:rsidP="00D51D46">
            <w:pPr>
              <w:widowControl/>
              <w:autoSpaceDE/>
              <w:autoSpaceDN/>
              <w:jc w:val="center"/>
              <w:rPr>
                <w:b/>
                <w:bCs/>
                <w:color w:val="FFFFFF"/>
                <w:lang w:val="pt-BR" w:eastAsia="pt-BR"/>
              </w:rPr>
            </w:pPr>
            <w:r w:rsidRPr="00872742">
              <w:rPr>
                <w:b/>
                <w:bCs/>
                <w:color w:val="FFFFFF"/>
                <w:lang w:val="pt-BR" w:eastAsia="pt-BR"/>
              </w:rPr>
              <w:t xml:space="preserve">pH </w:t>
            </w:r>
          </w:p>
          <w:p w14:paraId="3C3A1B9D" w14:textId="55E0D034" w:rsidR="0038366C" w:rsidRPr="00872742" w:rsidRDefault="0038366C" w:rsidP="00D51D46">
            <w:pPr>
              <w:widowControl/>
              <w:autoSpaceDE/>
              <w:autoSpaceDN/>
              <w:jc w:val="center"/>
              <w:rPr>
                <w:b/>
                <w:bCs/>
                <w:color w:val="FFFFFF"/>
                <w:lang w:val="pt-BR" w:eastAsia="pt-BR"/>
              </w:rPr>
            </w:pPr>
            <w:r w:rsidRPr="00872742">
              <w:rPr>
                <w:b/>
                <w:bCs/>
                <w:color w:val="FFFFFF"/>
                <w:lang w:val="pt-BR" w:eastAsia="pt-BR"/>
              </w:rPr>
              <w:t>Inicial</w:t>
            </w:r>
          </w:p>
        </w:tc>
        <w:tc>
          <w:tcPr>
            <w:tcW w:w="1288" w:type="dxa"/>
            <w:tcBorders>
              <w:top w:val="nil"/>
              <w:left w:val="nil"/>
              <w:bottom w:val="nil"/>
              <w:right w:val="nil"/>
            </w:tcBorders>
            <w:shd w:val="clear" w:color="000000" w:fill="0C769E"/>
            <w:vAlign w:val="center"/>
            <w:hideMark/>
          </w:tcPr>
          <w:p w14:paraId="32E2CE29" w14:textId="58A6003B" w:rsidR="0038366C" w:rsidRPr="00872742" w:rsidRDefault="0038366C" w:rsidP="00D51D46">
            <w:pPr>
              <w:widowControl/>
              <w:autoSpaceDE/>
              <w:autoSpaceDN/>
              <w:jc w:val="center"/>
              <w:rPr>
                <w:b/>
                <w:bCs/>
                <w:color w:val="FFFFFF"/>
                <w:lang w:val="pt-BR" w:eastAsia="pt-BR"/>
              </w:rPr>
            </w:pPr>
            <w:r w:rsidRPr="00872742">
              <w:rPr>
                <w:b/>
                <w:bCs/>
                <w:color w:val="FFFFFF"/>
                <w:lang w:val="pt-BR" w:eastAsia="pt-BR"/>
              </w:rPr>
              <w:t xml:space="preserve">Volume de </w:t>
            </w:r>
            <w:proofErr w:type="gramStart"/>
            <w:r w:rsidR="005C190A" w:rsidRPr="005C190A">
              <w:rPr>
                <w:b/>
                <w:bCs/>
                <w:color w:val="FFFFFF"/>
                <w:lang w:val="pt-BR" w:eastAsia="pt-BR"/>
              </w:rPr>
              <w:t>Ca(</w:t>
            </w:r>
            <w:proofErr w:type="gramEnd"/>
            <w:r w:rsidR="005C190A">
              <w:rPr>
                <w:b/>
                <w:bCs/>
                <w:color w:val="FFFFFF"/>
                <w:lang w:val="pt-BR" w:eastAsia="pt-BR"/>
              </w:rPr>
              <w:t>OH)</w:t>
            </w:r>
            <w:r w:rsidR="005C190A" w:rsidRPr="005C190A">
              <w:rPr>
                <w:b/>
                <w:bCs/>
                <w:color w:val="FFFFFF"/>
                <w:vertAlign w:val="subscript"/>
                <w:lang w:val="pt-BR" w:eastAsia="pt-BR"/>
              </w:rPr>
              <w:t>2</w:t>
            </w:r>
            <w:r w:rsidRPr="00872742">
              <w:rPr>
                <w:b/>
                <w:bCs/>
                <w:color w:val="FFFFFF"/>
                <w:lang w:val="pt-BR" w:eastAsia="pt-BR"/>
              </w:rPr>
              <w:t xml:space="preserve"> (</w:t>
            </w:r>
            <w:proofErr w:type="spellStart"/>
            <w:r w:rsidRPr="00872742">
              <w:rPr>
                <w:b/>
                <w:bCs/>
                <w:color w:val="FFFFFF"/>
                <w:lang w:val="pt-BR" w:eastAsia="pt-BR"/>
              </w:rPr>
              <w:t>m</w:t>
            </w:r>
            <w:r>
              <w:rPr>
                <w:b/>
                <w:bCs/>
                <w:color w:val="FFFFFF"/>
                <w:lang w:val="pt-BR" w:eastAsia="pt-BR"/>
              </w:rPr>
              <w:t>L</w:t>
            </w:r>
            <w:proofErr w:type="spellEnd"/>
            <w:r w:rsidRPr="00872742">
              <w:rPr>
                <w:b/>
                <w:bCs/>
                <w:color w:val="FFFFFF"/>
                <w:lang w:val="pt-BR" w:eastAsia="pt-BR"/>
              </w:rPr>
              <w:t>)</w:t>
            </w:r>
          </w:p>
        </w:tc>
        <w:tc>
          <w:tcPr>
            <w:tcW w:w="1717" w:type="dxa"/>
            <w:tcBorders>
              <w:top w:val="nil"/>
              <w:left w:val="nil"/>
              <w:bottom w:val="nil"/>
              <w:right w:val="nil"/>
            </w:tcBorders>
            <w:shd w:val="clear" w:color="000000" w:fill="0C769E"/>
            <w:vAlign w:val="center"/>
            <w:hideMark/>
          </w:tcPr>
          <w:p w14:paraId="420BBF14" w14:textId="1D094828" w:rsidR="0038366C" w:rsidRPr="00872742" w:rsidRDefault="0038366C" w:rsidP="00D51D46">
            <w:pPr>
              <w:widowControl/>
              <w:autoSpaceDE/>
              <w:autoSpaceDN/>
              <w:jc w:val="center"/>
              <w:rPr>
                <w:b/>
                <w:bCs/>
                <w:color w:val="FFFFFF"/>
                <w:lang w:val="pt-BR" w:eastAsia="pt-BR"/>
              </w:rPr>
            </w:pPr>
            <w:r w:rsidRPr="00872742">
              <w:rPr>
                <w:b/>
                <w:bCs/>
                <w:color w:val="FFFFFF"/>
                <w:lang w:val="pt-BR" w:eastAsia="pt-BR"/>
              </w:rPr>
              <w:t>Conc</w:t>
            </w:r>
            <w:r>
              <w:rPr>
                <w:b/>
                <w:bCs/>
                <w:color w:val="FFFFFF"/>
                <w:lang w:val="pt-BR" w:eastAsia="pt-BR"/>
              </w:rPr>
              <w:t>entração</w:t>
            </w:r>
            <w:r w:rsidRPr="00872742">
              <w:rPr>
                <w:b/>
                <w:bCs/>
                <w:color w:val="FFFFFF"/>
                <w:lang w:val="pt-BR" w:eastAsia="pt-BR"/>
              </w:rPr>
              <w:t xml:space="preserve"> Inicial de P </w:t>
            </w:r>
            <w:r w:rsidRPr="00872742">
              <w:rPr>
                <w:b/>
                <w:bCs/>
                <w:color w:val="FFFFFF"/>
                <w:lang w:val="pt-BR" w:eastAsia="pt-BR"/>
              </w:rPr>
              <w:br/>
              <w:t>(mg</w:t>
            </w:r>
            <w:r>
              <w:rPr>
                <w:b/>
                <w:bCs/>
                <w:color w:val="FFFFFF"/>
                <w:lang w:val="pt-BR" w:eastAsia="pt-BR"/>
              </w:rPr>
              <w:t xml:space="preserve"> </w:t>
            </w:r>
            <w:r w:rsidRPr="00872742">
              <w:rPr>
                <w:b/>
                <w:bCs/>
                <w:color w:val="FFFFFF"/>
                <w:lang w:val="pt-BR" w:eastAsia="pt-BR"/>
              </w:rPr>
              <w:t>L</w:t>
            </w:r>
            <w:r w:rsidRPr="00C36D35">
              <w:rPr>
                <w:b/>
                <w:bCs/>
                <w:color w:val="FFFFFF"/>
                <w:vertAlign w:val="superscript"/>
                <w:lang w:val="pt-BR" w:eastAsia="pt-BR"/>
              </w:rPr>
              <w:t>-1</w:t>
            </w:r>
            <w:r w:rsidRPr="00872742">
              <w:rPr>
                <w:b/>
                <w:bCs/>
                <w:color w:val="FFFFFF"/>
                <w:lang w:val="pt-BR" w:eastAsia="pt-BR"/>
              </w:rPr>
              <w:t>)</w:t>
            </w:r>
          </w:p>
        </w:tc>
        <w:tc>
          <w:tcPr>
            <w:tcW w:w="1717" w:type="dxa"/>
            <w:tcBorders>
              <w:top w:val="nil"/>
              <w:left w:val="nil"/>
              <w:bottom w:val="nil"/>
              <w:right w:val="nil"/>
            </w:tcBorders>
            <w:shd w:val="clear" w:color="000000" w:fill="0C769E"/>
            <w:vAlign w:val="center"/>
            <w:hideMark/>
          </w:tcPr>
          <w:p w14:paraId="57AE4758" w14:textId="10028CC0" w:rsidR="0038366C" w:rsidRPr="00872742" w:rsidRDefault="0038366C" w:rsidP="00D51D46">
            <w:pPr>
              <w:widowControl/>
              <w:autoSpaceDE/>
              <w:autoSpaceDN/>
              <w:jc w:val="center"/>
              <w:rPr>
                <w:b/>
                <w:bCs/>
                <w:color w:val="FFFFFF"/>
                <w:lang w:val="pt-BR" w:eastAsia="pt-BR"/>
              </w:rPr>
            </w:pPr>
            <w:r w:rsidRPr="00872742">
              <w:rPr>
                <w:b/>
                <w:bCs/>
                <w:color w:val="FFFFFF"/>
                <w:lang w:val="pt-BR" w:eastAsia="pt-BR"/>
              </w:rPr>
              <w:t>Conc</w:t>
            </w:r>
            <w:r>
              <w:rPr>
                <w:b/>
                <w:bCs/>
                <w:color w:val="FFFFFF"/>
                <w:lang w:val="pt-BR" w:eastAsia="pt-BR"/>
              </w:rPr>
              <w:t>entração</w:t>
            </w:r>
            <w:r w:rsidRPr="00872742">
              <w:rPr>
                <w:b/>
                <w:bCs/>
                <w:color w:val="FFFFFF"/>
                <w:lang w:val="pt-BR" w:eastAsia="pt-BR"/>
              </w:rPr>
              <w:t xml:space="preserve"> Final de P</w:t>
            </w:r>
            <w:r w:rsidRPr="00872742">
              <w:rPr>
                <w:b/>
                <w:bCs/>
                <w:color w:val="FFFFFF"/>
                <w:lang w:val="pt-BR" w:eastAsia="pt-BR"/>
              </w:rPr>
              <w:br/>
              <w:t>(mg</w:t>
            </w:r>
            <w:r>
              <w:rPr>
                <w:b/>
                <w:bCs/>
                <w:color w:val="FFFFFF"/>
                <w:lang w:val="pt-BR" w:eastAsia="pt-BR"/>
              </w:rPr>
              <w:t xml:space="preserve"> </w:t>
            </w:r>
            <w:r w:rsidRPr="00872742">
              <w:rPr>
                <w:b/>
                <w:bCs/>
                <w:color w:val="FFFFFF"/>
                <w:lang w:val="pt-BR" w:eastAsia="pt-BR"/>
              </w:rPr>
              <w:t>L</w:t>
            </w:r>
            <w:r w:rsidRPr="0038366C">
              <w:rPr>
                <w:b/>
                <w:bCs/>
                <w:color w:val="FFFFFF"/>
                <w:vertAlign w:val="superscript"/>
                <w:lang w:val="pt-BR" w:eastAsia="pt-BR"/>
              </w:rPr>
              <w:t>-1</w:t>
            </w:r>
            <w:r w:rsidRPr="00872742">
              <w:rPr>
                <w:b/>
                <w:bCs/>
                <w:color w:val="FFFFFF"/>
                <w:lang w:val="pt-BR" w:eastAsia="pt-BR"/>
              </w:rPr>
              <w:t>)</w:t>
            </w:r>
          </w:p>
        </w:tc>
        <w:tc>
          <w:tcPr>
            <w:tcW w:w="1717" w:type="dxa"/>
            <w:tcBorders>
              <w:top w:val="nil"/>
              <w:left w:val="nil"/>
              <w:bottom w:val="nil"/>
              <w:right w:val="nil"/>
            </w:tcBorders>
            <w:shd w:val="clear" w:color="000000" w:fill="0C769E"/>
            <w:vAlign w:val="center"/>
            <w:hideMark/>
          </w:tcPr>
          <w:p w14:paraId="53F3D615" w14:textId="6A97EFBD" w:rsidR="0038366C" w:rsidRPr="00872742" w:rsidRDefault="0038366C" w:rsidP="00D51D46">
            <w:pPr>
              <w:widowControl/>
              <w:autoSpaceDE/>
              <w:autoSpaceDN/>
              <w:jc w:val="center"/>
              <w:rPr>
                <w:b/>
                <w:bCs/>
                <w:color w:val="FFFFFF"/>
                <w:lang w:val="pt-BR" w:eastAsia="pt-BR"/>
              </w:rPr>
            </w:pPr>
            <w:r w:rsidRPr="00872742">
              <w:rPr>
                <w:b/>
                <w:bCs/>
                <w:color w:val="FFFFFF"/>
                <w:lang w:val="pt-BR" w:eastAsia="pt-BR"/>
              </w:rPr>
              <w:t>Eficiência</w:t>
            </w:r>
            <w:r w:rsidRPr="00872742">
              <w:rPr>
                <w:b/>
                <w:bCs/>
                <w:color w:val="FFFFFF"/>
                <w:lang w:val="pt-BR" w:eastAsia="pt-BR"/>
              </w:rPr>
              <w:br/>
              <w:t>(%)</w:t>
            </w:r>
          </w:p>
        </w:tc>
      </w:tr>
      <w:tr w:rsidR="0038366C" w:rsidRPr="00872742" w14:paraId="19DBA8AA" w14:textId="77777777" w:rsidTr="0038366C">
        <w:trPr>
          <w:trHeight w:val="288"/>
        </w:trPr>
        <w:tc>
          <w:tcPr>
            <w:tcW w:w="1348" w:type="dxa"/>
            <w:tcBorders>
              <w:top w:val="nil"/>
              <w:left w:val="nil"/>
              <w:bottom w:val="nil"/>
              <w:right w:val="nil"/>
            </w:tcBorders>
            <w:shd w:val="clear" w:color="000000" w:fill="CAEDFB"/>
            <w:noWrap/>
            <w:vAlign w:val="bottom"/>
            <w:hideMark/>
          </w:tcPr>
          <w:p w14:paraId="68817E8A" w14:textId="77777777" w:rsidR="0038366C" w:rsidRPr="00872742" w:rsidRDefault="0038366C" w:rsidP="00D51D46">
            <w:pPr>
              <w:widowControl/>
              <w:autoSpaceDE/>
              <w:autoSpaceDN/>
              <w:jc w:val="center"/>
              <w:rPr>
                <w:color w:val="000000"/>
                <w:lang w:val="pt-BR" w:eastAsia="pt-BR"/>
              </w:rPr>
            </w:pPr>
            <w:r w:rsidRPr="00872742">
              <w:rPr>
                <w:color w:val="000000"/>
                <w:lang w:val="pt-BR" w:eastAsia="pt-BR"/>
              </w:rPr>
              <w:t>Bruto</w:t>
            </w:r>
          </w:p>
        </w:tc>
        <w:tc>
          <w:tcPr>
            <w:tcW w:w="1215" w:type="dxa"/>
            <w:tcBorders>
              <w:top w:val="nil"/>
              <w:left w:val="nil"/>
              <w:bottom w:val="nil"/>
              <w:right w:val="nil"/>
            </w:tcBorders>
            <w:shd w:val="clear" w:color="000000" w:fill="CAEDFB"/>
            <w:noWrap/>
            <w:vAlign w:val="bottom"/>
            <w:hideMark/>
          </w:tcPr>
          <w:p w14:paraId="28DC6E0D" w14:textId="7701C73C" w:rsidR="0038366C" w:rsidRPr="00872742" w:rsidRDefault="0038366C" w:rsidP="00D51D46">
            <w:pPr>
              <w:widowControl/>
              <w:autoSpaceDE/>
              <w:autoSpaceDN/>
              <w:jc w:val="center"/>
              <w:rPr>
                <w:color w:val="000000"/>
                <w:lang w:val="pt-BR" w:eastAsia="pt-BR"/>
              </w:rPr>
            </w:pPr>
            <w:r w:rsidRPr="00872742">
              <w:rPr>
                <w:color w:val="000000"/>
                <w:lang w:val="pt-BR" w:eastAsia="pt-BR"/>
              </w:rPr>
              <w:t>10,4</w:t>
            </w:r>
          </w:p>
        </w:tc>
        <w:tc>
          <w:tcPr>
            <w:tcW w:w="1288" w:type="dxa"/>
            <w:tcBorders>
              <w:top w:val="nil"/>
              <w:left w:val="nil"/>
              <w:bottom w:val="nil"/>
              <w:right w:val="nil"/>
            </w:tcBorders>
            <w:shd w:val="clear" w:color="000000" w:fill="CAEDFB"/>
            <w:noWrap/>
            <w:vAlign w:val="bottom"/>
            <w:hideMark/>
          </w:tcPr>
          <w:p w14:paraId="0626FF15" w14:textId="073C6442" w:rsidR="0038366C" w:rsidRPr="00872742" w:rsidRDefault="0038366C" w:rsidP="00D51D46">
            <w:pPr>
              <w:widowControl/>
              <w:autoSpaceDE/>
              <w:autoSpaceDN/>
              <w:jc w:val="center"/>
              <w:rPr>
                <w:color w:val="000000"/>
                <w:lang w:val="pt-BR" w:eastAsia="pt-BR"/>
              </w:rPr>
            </w:pPr>
            <w:r w:rsidRPr="00872742">
              <w:rPr>
                <w:color w:val="000000"/>
                <w:lang w:val="pt-BR" w:eastAsia="pt-BR"/>
              </w:rPr>
              <w:t>60</w:t>
            </w:r>
            <w:r>
              <w:rPr>
                <w:color w:val="000000"/>
                <w:lang w:val="pt-BR" w:eastAsia="pt-BR"/>
              </w:rPr>
              <w:t>,0</w:t>
            </w:r>
          </w:p>
        </w:tc>
        <w:tc>
          <w:tcPr>
            <w:tcW w:w="1717" w:type="dxa"/>
            <w:tcBorders>
              <w:top w:val="nil"/>
              <w:left w:val="nil"/>
              <w:bottom w:val="nil"/>
              <w:right w:val="nil"/>
            </w:tcBorders>
            <w:shd w:val="clear" w:color="000000" w:fill="CAEDFB"/>
            <w:noWrap/>
            <w:vAlign w:val="bottom"/>
            <w:hideMark/>
          </w:tcPr>
          <w:p w14:paraId="2114852C" w14:textId="344D59E5" w:rsidR="0038366C" w:rsidRPr="00872742" w:rsidRDefault="0038366C" w:rsidP="00D51D46">
            <w:pPr>
              <w:widowControl/>
              <w:autoSpaceDE/>
              <w:autoSpaceDN/>
              <w:jc w:val="center"/>
              <w:rPr>
                <w:color w:val="000000"/>
                <w:lang w:val="pt-BR" w:eastAsia="pt-BR"/>
              </w:rPr>
            </w:pPr>
            <w:r w:rsidRPr="00872742">
              <w:rPr>
                <w:color w:val="000000"/>
                <w:lang w:val="pt-BR" w:eastAsia="pt-BR"/>
              </w:rPr>
              <w:t>5,5</w:t>
            </w:r>
          </w:p>
        </w:tc>
        <w:tc>
          <w:tcPr>
            <w:tcW w:w="1717" w:type="dxa"/>
            <w:tcBorders>
              <w:top w:val="nil"/>
              <w:left w:val="nil"/>
              <w:bottom w:val="nil"/>
              <w:right w:val="nil"/>
            </w:tcBorders>
            <w:shd w:val="clear" w:color="000000" w:fill="CAEDFB"/>
            <w:noWrap/>
            <w:vAlign w:val="bottom"/>
            <w:hideMark/>
          </w:tcPr>
          <w:p w14:paraId="2B45B9D5" w14:textId="77777777" w:rsidR="0038366C" w:rsidRPr="00872742" w:rsidRDefault="0038366C" w:rsidP="00D51D46">
            <w:pPr>
              <w:widowControl/>
              <w:autoSpaceDE/>
              <w:autoSpaceDN/>
              <w:jc w:val="center"/>
              <w:rPr>
                <w:color w:val="000000"/>
                <w:lang w:val="pt-BR" w:eastAsia="pt-BR"/>
              </w:rPr>
            </w:pPr>
            <w:r w:rsidRPr="00872742">
              <w:rPr>
                <w:color w:val="000000"/>
                <w:lang w:val="pt-BR" w:eastAsia="pt-BR"/>
              </w:rPr>
              <w:t>0,6</w:t>
            </w:r>
          </w:p>
        </w:tc>
        <w:tc>
          <w:tcPr>
            <w:tcW w:w="1717" w:type="dxa"/>
            <w:tcBorders>
              <w:top w:val="nil"/>
              <w:left w:val="nil"/>
              <w:bottom w:val="nil"/>
              <w:right w:val="nil"/>
            </w:tcBorders>
            <w:shd w:val="clear" w:color="000000" w:fill="CAEDFB"/>
            <w:noWrap/>
            <w:vAlign w:val="bottom"/>
            <w:hideMark/>
          </w:tcPr>
          <w:p w14:paraId="2CF6F9D8" w14:textId="45B41472" w:rsidR="0038366C" w:rsidRPr="00872742" w:rsidRDefault="0038366C" w:rsidP="00D51D46">
            <w:pPr>
              <w:widowControl/>
              <w:autoSpaceDE/>
              <w:autoSpaceDN/>
              <w:jc w:val="center"/>
              <w:rPr>
                <w:color w:val="000000"/>
                <w:lang w:val="pt-BR" w:eastAsia="pt-BR"/>
              </w:rPr>
            </w:pPr>
            <w:r w:rsidRPr="00872742">
              <w:rPr>
                <w:color w:val="000000"/>
                <w:lang w:val="pt-BR" w:eastAsia="pt-BR"/>
              </w:rPr>
              <w:t>89,2</w:t>
            </w:r>
          </w:p>
        </w:tc>
      </w:tr>
      <w:tr w:rsidR="0038366C" w:rsidRPr="00872742" w14:paraId="582D9F5E" w14:textId="77777777" w:rsidTr="0038366C">
        <w:trPr>
          <w:trHeight w:val="288"/>
        </w:trPr>
        <w:tc>
          <w:tcPr>
            <w:tcW w:w="1348" w:type="dxa"/>
            <w:tcBorders>
              <w:top w:val="nil"/>
              <w:left w:val="nil"/>
              <w:bottom w:val="nil"/>
              <w:right w:val="nil"/>
            </w:tcBorders>
            <w:shd w:val="clear" w:color="000000" w:fill="CAEDFB"/>
            <w:noWrap/>
            <w:vAlign w:val="bottom"/>
            <w:hideMark/>
          </w:tcPr>
          <w:p w14:paraId="1AE24964" w14:textId="77777777" w:rsidR="0038366C" w:rsidRPr="00872742" w:rsidRDefault="0038366C" w:rsidP="00D51D46">
            <w:pPr>
              <w:widowControl/>
              <w:autoSpaceDE/>
              <w:autoSpaceDN/>
              <w:jc w:val="center"/>
              <w:rPr>
                <w:color w:val="000000"/>
                <w:lang w:val="pt-BR" w:eastAsia="pt-BR"/>
              </w:rPr>
            </w:pPr>
            <w:r w:rsidRPr="00872742">
              <w:rPr>
                <w:color w:val="000000"/>
                <w:lang w:val="pt-BR" w:eastAsia="pt-BR"/>
              </w:rPr>
              <w:t>10</w:t>
            </w:r>
          </w:p>
        </w:tc>
        <w:tc>
          <w:tcPr>
            <w:tcW w:w="1215" w:type="dxa"/>
            <w:tcBorders>
              <w:top w:val="nil"/>
              <w:left w:val="nil"/>
              <w:bottom w:val="nil"/>
              <w:right w:val="nil"/>
            </w:tcBorders>
            <w:shd w:val="clear" w:color="000000" w:fill="CAEDFB"/>
            <w:noWrap/>
            <w:vAlign w:val="bottom"/>
            <w:hideMark/>
          </w:tcPr>
          <w:p w14:paraId="3DD36C77" w14:textId="1A454D1F" w:rsidR="0038366C" w:rsidRPr="00872742" w:rsidRDefault="0038366C" w:rsidP="00D51D46">
            <w:pPr>
              <w:widowControl/>
              <w:autoSpaceDE/>
              <w:autoSpaceDN/>
              <w:jc w:val="center"/>
              <w:rPr>
                <w:color w:val="000000"/>
                <w:lang w:val="pt-BR" w:eastAsia="pt-BR"/>
              </w:rPr>
            </w:pPr>
            <w:r w:rsidRPr="00872742">
              <w:rPr>
                <w:color w:val="000000"/>
                <w:lang w:val="pt-BR" w:eastAsia="pt-BR"/>
              </w:rPr>
              <w:t>10,3</w:t>
            </w:r>
          </w:p>
        </w:tc>
        <w:tc>
          <w:tcPr>
            <w:tcW w:w="1288" w:type="dxa"/>
            <w:tcBorders>
              <w:top w:val="nil"/>
              <w:left w:val="nil"/>
              <w:bottom w:val="nil"/>
              <w:right w:val="nil"/>
            </w:tcBorders>
            <w:shd w:val="clear" w:color="000000" w:fill="CAEDFB"/>
            <w:noWrap/>
            <w:vAlign w:val="bottom"/>
            <w:hideMark/>
          </w:tcPr>
          <w:p w14:paraId="3AA86F2B" w14:textId="2D26B0E0" w:rsidR="0038366C" w:rsidRPr="00872742" w:rsidRDefault="0038366C" w:rsidP="00D51D46">
            <w:pPr>
              <w:widowControl/>
              <w:autoSpaceDE/>
              <w:autoSpaceDN/>
              <w:jc w:val="center"/>
              <w:rPr>
                <w:color w:val="000000"/>
                <w:lang w:val="pt-BR" w:eastAsia="pt-BR"/>
              </w:rPr>
            </w:pPr>
            <w:r w:rsidRPr="00872742">
              <w:rPr>
                <w:color w:val="000000"/>
                <w:lang w:val="pt-BR" w:eastAsia="pt-BR"/>
              </w:rPr>
              <w:t>55</w:t>
            </w:r>
            <w:r>
              <w:rPr>
                <w:color w:val="000000"/>
                <w:lang w:val="pt-BR" w:eastAsia="pt-BR"/>
              </w:rPr>
              <w:t>,0</w:t>
            </w:r>
          </w:p>
        </w:tc>
        <w:tc>
          <w:tcPr>
            <w:tcW w:w="1717" w:type="dxa"/>
            <w:tcBorders>
              <w:top w:val="nil"/>
              <w:left w:val="nil"/>
              <w:bottom w:val="nil"/>
              <w:right w:val="nil"/>
            </w:tcBorders>
            <w:shd w:val="clear" w:color="000000" w:fill="CAEDFB"/>
            <w:noWrap/>
            <w:vAlign w:val="bottom"/>
            <w:hideMark/>
          </w:tcPr>
          <w:p w14:paraId="6ABD8522" w14:textId="77777777" w:rsidR="0038366C" w:rsidRPr="00872742" w:rsidRDefault="0038366C" w:rsidP="00D51D46">
            <w:pPr>
              <w:widowControl/>
              <w:autoSpaceDE/>
              <w:autoSpaceDN/>
              <w:jc w:val="center"/>
              <w:rPr>
                <w:color w:val="000000"/>
                <w:lang w:val="pt-BR" w:eastAsia="pt-BR"/>
              </w:rPr>
            </w:pPr>
            <w:r w:rsidRPr="00872742">
              <w:rPr>
                <w:color w:val="000000"/>
                <w:lang w:val="pt-BR" w:eastAsia="pt-BR"/>
              </w:rPr>
              <w:t>13,3</w:t>
            </w:r>
          </w:p>
        </w:tc>
        <w:tc>
          <w:tcPr>
            <w:tcW w:w="1717" w:type="dxa"/>
            <w:tcBorders>
              <w:top w:val="nil"/>
              <w:left w:val="nil"/>
              <w:bottom w:val="nil"/>
              <w:right w:val="nil"/>
            </w:tcBorders>
            <w:shd w:val="clear" w:color="000000" w:fill="CAEDFB"/>
            <w:noWrap/>
            <w:vAlign w:val="bottom"/>
            <w:hideMark/>
          </w:tcPr>
          <w:p w14:paraId="03A95241" w14:textId="77777777" w:rsidR="0038366C" w:rsidRPr="00872742" w:rsidRDefault="0038366C" w:rsidP="00D51D46">
            <w:pPr>
              <w:widowControl/>
              <w:autoSpaceDE/>
              <w:autoSpaceDN/>
              <w:jc w:val="center"/>
              <w:rPr>
                <w:color w:val="000000"/>
                <w:lang w:val="pt-BR" w:eastAsia="pt-BR"/>
              </w:rPr>
            </w:pPr>
            <w:r w:rsidRPr="00872742">
              <w:rPr>
                <w:color w:val="000000"/>
                <w:lang w:val="pt-BR" w:eastAsia="pt-BR"/>
              </w:rPr>
              <w:t>1,4</w:t>
            </w:r>
          </w:p>
        </w:tc>
        <w:tc>
          <w:tcPr>
            <w:tcW w:w="1717" w:type="dxa"/>
            <w:tcBorders>
              <w:top w:val="nil"/>
              <w:left w:val="nil"/>
              <w:bottom w:val="nil"/>
              <w:right w:val="nil"/>
            </w:tcBorders>
            <w:shd w:val="clear" w:color="000000" w:fill="CAEDFB"/>
            <w:noWrap/>
            <w:vAlign w:val="bottom"/>
            <w:hideMark/>
          </w:tcPr>
          <w:p w14:paraId="11C5467B" w14:textId="28812997" w:rsidR="0038366C" w:rsidRPr="00872742" w:rsidRDefault="0038366C" w:rsidP="00D51D46">
            <w:pPr>
              <w:widowControl/>
              <w:autoSpaceDE/>
              <w:autoSpaceDN/>
              <w:jc w:val="center"/>
              <w:rPr>
                <w:color w:val="000000"/>
                <w:lang w:val="pt-BR" w:eastAsia="pt-BR"/>
              </w:rPr>
            </w:pPr>
            <w:r w:rsidRPr="00872742">
              <w:rPr>
                <w:color w:val="000000"/>
                <w:lang w:val="pt-BR" w:eastAsia="pt-BR"/>
              </w:rPr>
              <w:t>89,4</w:t>
            </w:r>
          </w:p>
        </w:tc>
      </w:tr>
      <w:tr w:rsidR="0038366C" w:rsidRPr="00872742" w14:paraId="31179A9D" w14:textId="77777777" w:rsidTr="0038366C">
        <w:trPr>
          <w:trHeight w:val="288"/>
        </w:trPr>
        <w:tc>
          <w:tcPr>
            <w:tcW w:w="1348" w:type="dxa"/>
            <w:tcBorders>
              <w:top w:val="nil"/>
              <w:left w:val="nil"/>
              <w:bottom w:val="nil"/>
              <w:right w:val="nil"/>
            </w:tcBorders>
            <w:shd w:val="clear" w:color="000000" w:fill="CAEDFB"/>
            <w:noWrap/>
            <w:vAlign w:val="bottom"/>
            <w:hideMark/>
          </w:tcPr>
          <w:p w14:paraId="6947CC50" w14:textId="77777777" w:rsidR="0038366C" w:rsidRPr="00872742" w:rsidRDefault="0038366C" w:rsidP="00D51D46">
            <w:pPr>
              <w:widowControl/>
              <w:autoSpaceDE/>
              <w:autoSpaceDN/>
              <w:jc w:val="center"/>
              <w:rPr>
                <w:color w:val="000000"/>
                <w:lang w:val="pt-BR" w:eastAsia="pt-BR"/>
              </w:rPr>
            </w:pPr>
            <w:r w:rsidRPr="00872742">
              <w:rPr>
                <w:color w:val="000000"/>
                <w:lang w:val="pt-BR" w:eastAsia="pt-BR"/>
              </w:rPr>
              <w:t>25</w:t>
            </w:r>
          </w:p>
        </w:tc>
        <w:tc>
          <w:tcPr>
            <w:tcW w:w="1215" w:type="dxa"/>
            <w:tcBorders>
              <w:top w:val="nil"/>
              <w:left w:val="nil"/>
              <w:bottom w:val="nil"/>
              <w:right w:val="nil"/>
            </w:tcBorders>
            <w:shd w:val="clear" w:color="000000" w:fill="CAEDFB"/>
            <w:noWrap/>
            <w:vAlign w:val="bottom"/>
            <w:hideMark/>
          </w:tcPr>
          <w:p w14:paraId="25B24715" w14:textId="77777777" w:rsidR="0038366C" w:rsidRPr="00872742" w:rsidRDefault="0038366C" w:rsidP="00D51D46">
            <w:pPr>
              <w:widowControl/>
              <w:autoSpaceDE/>
              <w:autoSpaceDN/>
              <w:jc w:val="center"/>
              <w:rPr>
                <w:color w:val="000000"/>
                <w:lang w:val="pt-BR" w:eastAsia="pt-BR"/>
              </w:rPr>
            </w:pPr>
            <w:r w:rsidRPr="00872742">
              <w:rPr>
                <w:color w:val="000000"/>
                <w:lang w:val="pt-BR" w:eastAsia="pt-BR"/>
              </w:rPr>
              <w:t>10,3</w:t>
            </w:r>
          </w:p>
        </w:tc>
        <w:tc>
          <w:tcPr>
            <w:tcW w:w="1288" w:type="dxa"/>
            <w:tcBorders>
              <w:top w:val="nil"/>
              <w:left w:val="nil"/>
              <w:bottom w:val="nil"/>
              <w:right w:val="nil"/>
            </w:tcBorders>
            <w:shd w:val="clear" w:color="000000" w:fill="CAEDFB"/>
            <w:noWrap/>
            <w:vAlign w:val="bottom"/>
            <w:hideMark/>
          </w:tcPr>
          <w:p w14:paraId="7B9B15E4" w14:textId="2E8F27E9" w:rsidR="0038366C" w:rsidRPr="00872742" w:rsidRDefault="0038366C" w:rsidP="00D51D46">
            <w:pPr>
              <w:widowControl/>
              <w:autoSpaceDE/>
              <w:autoSpaceDN/>
              <w:jc w:val="center"/>
              <w:rPr>
                <w:color w:val="000000"/>
                <w:lang w:val="pt-BR" w:eastAsia="pt-BR"/>
              </w:rPr>
            </w:pPr>
            <w:r w:rsidRPr="00872742">
              <w:rPr>
                <w:color w:val="000000"/>
                <w:lang w:val="pt-BR" w:eastAsia="pt-BR"/>
              </w:rPr>
              <w:t>65</w:t>
            </w:r>
            <w:r>
              <w:rPr>
                <w:color w:val="000000"/>
                <w:lang w:val="pt-BR" w:eastAsia="pt-BR"/>
              </w:rPr>
              <w:t>,0</w:t>
            </w:r>
          </w:p>
        </w:tc>
        <w:tc>
          <w:tcPr>
            <w:tcW w:w="1717" w:type="dxa"/>
            <w:tcBorders>
              <w:top w:val="nil"/>
              <w:left w:val="nil"/>
              <w:bottom w:val="nil"/>
              <w:right w:val="nil"/>
            </w:tcBorders>
            <w:shd w:val="clear" w:color="000000" w:fill="CAEDFB"/>
            <w:noWrap/>
            <w:vAlign w:val="bottom"/>
            <w:hideMark/>
          </w:tcPr>
          <w:p w14:paraId="07A3D301" w14:textId="77777777" w:rsidR="0038366C" w:rsidRPr="00872742" w:rsidRDefault="0038366C" w:rsidP="00D51D46">
            <w:pPr>
              <w:widowControl/>
              <w:autoSpaceDE/>
              <w:autoSpaceDN/>
              <w:jc w:val="center"/>
              <w:rPr>
                <w:color w:val="000000"/>
                <w:lang w:val="pt-BR" w:eastAsia="pt-BR"/>
              </w:rPr>
            </w:pPr>
            <w:r w:rsidRPr="00872742">
              <w:rPr>
                <w:color w:val="000000"/>
                <w:lang w:val="pt-BR" w:eastAsia="pt-BR"/>
              </w:rPr>
              <w:t>28,8</w:t>
            </w:r>
          </w:p>
        </w:tc>
        <w:tc>
          <w:tcPr>
            <w:tcW w:w="1717" w:type="dxa"/>
            <w:tcBorders>
              <w:top w:val="nil"/>
              <w:left w:val="nil"/>
              <w:bottom w:val="nil"/>
              <w:right w:val="nil"/>
            </w:tcBorders>
            <w:shd w:val="clear" w:color="000000" w:fill="CAEDFB"/>
            <w:noWrap/>
            <w:vAlign w:val="bottom"/>
            <w:hideMark/>
          </w:tcPr>
          <w:p w14:paraId="32E2748D" w14:textId="03A12774" w:rsidR="0038366C" w:rsidRPr="00872742" w:rsidRDefault="0038366C" w:rsidP="00D51D46">
            <w:pPr>
              <w:widowControl/>
              <w:autoSpaceDE/>
              <w:autoSpaceDN/>
              <w:jc w:val="center"/>
              <w:rPr>
                <w:color w:val="000000"/>
                <w:lang w:val="pt-BR" w:eastAsia="pt-BR"/>
              </w:rPr>
            </w:pPr>
            <w:r w:rsidRPr="00872742">
              <w:rPr>
                <w:color w:val="000000"/>
                <w:lang w:val="pt-BR" w:eastAsia="pt-BR"/>
              </w:rPr>
              <w:t>1</w:t>
            </w:r>
            <w:r>
              <w:rPr>
                <w:color w:val="000000"/>
                <w:lang w:val="pt-BR" w:eastAsia="pt-BR"/>
              </w:rPr>
              <w:t>,0</w:t>
            </w:r>
          </w:p>
        </w:tc>
        <w:tc>
          <w:tcPr>
            <w:tcW w:w="1717" w:type="dxa"/>
            <w:tcBorders>
              <w:top w:val="nil"/>
              <w:left w:val="nil"/>
              <w:bottom w:val="nil"/>
              <w:right w:val="nil"/>
            </w:tcBorders>
            <w:shd w:val="clear" w:color="000000" w:fill="CAEDFB"/>
            <w:noWrap/>
            <w:vAlign w:val="bottom"/>
            <w:hideMark/>
          </w:tcPr>
          <w:p w14:paraId="349E1EFD" w14:textId="7E2546F7" w:rsidR="0038366C" w:rsidRPr="00872742" w:rsidRDefault="0038366C" w:rsidP="00D51D46">
            <w:pPr>
              <w:widowControl/>
              <w:autoSpaceDE/>
              <w:autoSpaceDN/>
              <w:jc w:val="center"/>
              <w:rPr>
                <w:color w:val="000000"/>
                <w:lang w:val="pt-BR" w:eastAsia="pt-BR"/>
              </w:rPr>
            </w:pPr>
            <w:r w:rsidRPr="00872742">
              <w:rPr>
                <w:color w:val="000000"/>
                <w:lang w:val="pt-BR" w:eastAsia="pt-BR"/>
              </w:rPr>
              <w:t>96,5</w:t>
            </w:r>
          </w:p>
        </w:tc>
      </w:tr>
      <w:tr w:rsidR="0038366C" w:rsidRPr="00872742" w14:paraId="5C049C45" w14:textId="77777777" w:rsidTr="0038366C">
        <w:trPr>
          <w:trHeight w:val="288"/>
        </w:trPr>
        <w:tc>
          <w:tcPr>
            <w:tcW w:w="1348" w:type="dxa"/>
            <w:tcBorders>
              <w:top w:val="nil"/>
              <w:left w:val="nil"/>
              <w:bottom w:val="nil"/>
              <w:right w:val="nil"/>
            </w:tcBorders>
            <w:shd w:val="clear" w:color="000000" w:fill="CAEDFB"/>
            <w:noWrap/>
            <w:vAlign w:val="bottom"/>
            <w:hideMark/>
          </w:tcPr>
          <w:p w14:paraId="7193568B" w14:textId="77777777" w:rsidR="0038366C" w:rsidRPr="00872742" w:rsidRDefault="0038366C" w:rsidP="00D51D46">
            <w:pPr>
              <w:widowControl/>
              <w:autoSpaceDE/>
              <w:autoSpaceDN/>
              <w:jc w:val="center"/>
              <w:rPr>
                <w:color w:val="000000"/>
                <w:lang w:val="pt-BR" w:eastAsia="pt-BR"/>
              </w:rPr>
            </w:pPr>
            <w:r w:rsidRPr="00872742">
              <w:rPr>
                <w:color w:val="000000"/>
                <w:lang w:val="pt-BR" w:eastAsia="pt-BR"/>
              </w:rPr>
              <w:t>50</w:t>
            </w:r>
          </w:p>
        </w:tc>
        <w:tc>
          <w:tcPr>
            <w:tcW w:w="1215" w:type="dxa"/>
            <w:tcBorders>
              <w:top w:val="nil"/>
              <w:left w:val="nil"/>
              <w:bottom w:val="nil"/>
              <w:right w:val="nil"/>
            </w:tcBorders>
            <w:shd w:val="clear" w:color="000000" w:fill="CAEDFB"/>
            <w:noWrap/>
            <w:vAlign w:val="bottom"/>
            <w:hideMark/>
          </w:tcPr>
          <w:p w14:paraId="170B13C9" w14:textId="6FAC6FB5" w:rsidR="0038366C" w:rsidRPr="00872742" w:rsidRDefault="0038366C" w:rsidP="00D51D46">
            <w:pPr>
              <w:widowControl/>
              <w:autoSpaceDE/>
              <w:autoSpaceDN/>
              <w:jc w:val="center"/>
              <w:rPr>
                <w:color w:val="000000"/>
                <w:lang w:val="pt-BR" w:eastAsia="pt-BR"/>
              </w:rPr>
            </w:pPr>
            <w:r w:rsidRPr="00872742">
              <w:rPr>
                <w:color w:val="000000"/>
                <w:lang w:val="pt-BR" w:eastAsia="pt-BR"/>
              </w:rPr>
              <w:t>10,7</w:t>
            </w:r>
          </w:p>
        </w:tc>
        <w:tc>
          <w:tcPr>
            <w:tcW w:w="1288" w:type="dxa"/>
            <w:tcBorders>
              <w:top w:val="nil"/>
              <w:left w:val="nil"/>
              <w:bottom w:val="nil"/>
              <w:right w:val="nil"/>
            </w:tcBorders>
            <w:shd w:val="clear" w:color="000000" w:fill="CAEDFB"/>
            <w:noWrap/>
            <w:vAlign w:val="bottom"/>
            <w:hideMark/>
          </w:tcPr>
          <w:p w14:paraId="46BB4CFF" w14:textId="657B0AFD" w:rsidR="0038366C" w:rsidRPr="00872742" w:rsidRDefault="0038366C" w:rsidP="00D51D46">
            <w:pPr>
              <w:widowControl/>
              <w:autoSpaceDE/>
              <w:autoSpaceDN/>
              <w:jc w:val="center"/>
              <w:rPr>
                <w:color w:val="000000"/>
                <w:lang w:val="pt-BR" w:eastAsia="pt-BR"/>
              </w:rPr>
            </w:pPr>
            <w:r w:rsidRPr="00872742">
              <w:rPr>
                <w:color w:val="000000"/>
                <w:lang w:val="pt-BR" w:eastAsia="pt-BR"/>
              </w:rPr>
              <w:t>90</w:t>
            </w:r>
            <w:r>
              <w:rPr>
                <w:color w:val="000000"/>
                <w:lang w:val="pt-BR" w:eastAsia="pt-BR"/>
              </w:rPr>
              <w:t>,0</w:t>
            </w:r>
          </w:p>
        </w:tc>
        <w:tc>
          <w:tcPr>
            <w:tcW w:w="1717" w:type="dxa"/>
            <w:tcBorders>
              <w:top w:val="nil"/>
              <w:left w:val="nil"/>
              <w:bottom w:val="nil"/>
              <w:right w:val="nil"/>
            </w:tcBorders>
            <w:shd w:val="clear" w:color="000000" w:fill="CAEDFB"/>
            <w:noWrap/>
            <w:vAlign w:val="bottom"/>
            <w:hideMark/>
          </w:tcPr>
          <w:p w14:paraId="1A85BF10" w14:textId="5360669C" w:rsidR="0038366C" w:rsidRPr="00872742" w:rsidRDefault="0038366C" w:rsidP="00D51D46">
            <w:pPr>
              <w:widowControl/>
              <w:autoSpaceDE/>
              <w:autoSpaceDN/>
              <w:jc w:val="center"/>
              <w:rPr>
                <w:color w:val="000000"/>
                <w:lang w:val="pt-BR" w:eastAsia="pt-BR"/>
              </w:rPr>
            </w:pPr>
            <w:r w:rsidRPr="00872742">
              <w:rPr>
                <w:color w:val="000000"/>
                <w:lang w:val="pt-BR" w:eastAsia="pt-BR"/>
              </w:rPr>
              <w:t>52</w:t>
            </w:r>
            <w:r>
              <w:rPr>
                <w:color w:val="000000"/>
                <w:lang w:val="pt-BR" w:eastAsia="pt-BR"/>
              </w:rPr>
              <w:t>,0</w:t>
            </w:r>
          </w:p>
        </w:tc>
        <w:tc>
          <w:tcPr>
            <w:tcW w:w="1717" w:type="dxa"/>
            <w:tcBorders>
              <w:top w:val="nil"/>
              <w:left w:val="nil"/>
              <w:bottom w:val="nil"/>
              <w:right w:val="nil"/>
            </w:tcBorders>
            <w:shd w:val="clear" w:color="000000" w:fill="CAEDFB"/>
            <w:noWrap/>
            <w:vAlign w:val="bottom"/>
            <w:hideMark/>
          </w:tcPr>
          <w:p w14:paraId="17FF75EC" w14:textId="77777777" w:rsidR="0038366C" w:rsidRPr="00872742" w:rsidRDefault="0038366C" w:rsidP="00D51D46">
            <w:pPr>
              <w:widowControl/>
              <w:autoSpaceDE/>
              <w:autoSpaceDN/>
              <w:jc w:val="center"/>
              <w:rPr>
                <w:color w:val="000000"/>
                <w:lang w:val="pt-BR" w:eastAsia="pt-BR"/>
              </w:rPr>
            </w:pPr>
            <w:r w:rsidRPr="00872742">
              <w:rPr>
                <w:color w:val="000000"/>
                <w:lang w:val="pt-BR" w:eastAsia="pt-BR"/>
              </w:rPr>
              <w:t>1,1</w:t>
            </w:r>
          </w:p>
        </w:tc>
        <w:tc>
          <w:tcPr>
            <w:tcW w:w="1717" w:type="dxa"/>
            <w:tcBorders>
              <w:top w:val="nil"/>
              <w:left w:val="nil"/>
              <w:bottom w:val="nil"/>
              <w:right w:val="nil"/>
            </w:tcBorders>
            <w:shd w:val="clear" w:color="000000" w:fill="CAEDFB"/>
            <w:noWrap/>
            <w:vAlign w:val="bottom"/>
            <w:hideMark/>
          </w:tcPr>
          <w:p w14:paraId="3E5B9F8C" w14:textId="77206C03" w:rsidR="0038366C" w:rsidRPr="00872742" w:rsidRDefault="0038366C" w:rsidP="00D51D46">
            <w:pPr>
              <w:widowControl/>
              <w:autoSpaceDE/>
              <w:autoSpaceDN/>
              <w:jc w:val="center"/>
              <w:rPr>
                <w:color w:val="000000"/>
                <w:lang w:val="pt-BR" w:eastAsia="pt-BR"/>
              </w:rPr>
            </w:pPr>
            <w:r w:rsidRPr="00872742">
              <w:rPr>
                <w:color w:val="000000"/>
                <w:lang w:val="pt-BR" w:eastAsia="pt-BR"/>
              </w:rPr>
              <w:t>97,8</w:t>
            </w:r>
          </w:p>
        </w:tc>
      </w:tr>
      <w:tr w:rsidR="0038366C" w:rsidRPr="00872742" w14:paraId="1883A4C5" w14:textId="77777777" w:rsidTr="0038366C">
        <w:trPr>
          <w:trHeight w:val="288"/>
        </w:trPr>
        <w:tc>
          <w:tcPr>
            <w:tcW w:w="1348" w:type="dxa"/>
            <w:tcBorders>
              <w:top w:val="nil"/>
              <w:left w:val="nil"/>
              <w:bottom w:val="nil"/>
              <w:right w:val="nil"/>
            </w:tcBorders>
            <w:shd w:val="clear" w:color="000000" w:fill="CAEDFB"/>
            <w:noWrap/>
            <w:vAlign w:val="bottom"/>
            <w:hideMark/>
          </w:tcPr>
          <w:p w14:paraId="37EBD7D0" w14:textId="378E7FA7" w:rsidR="0038366C" w:rsidRPr="00872742" w:rsidRDefault="0038366C" w:rsidP="00D51D46">
            <w:pPr>
              <w:widowControl/>
              <w:autoSpaceDE/>
              <w:autoSpaceDN/>
              <w:jc w:val="center"/>
              <w:rPr>
                <w:color w:val="000000"/>
                <w:lang w:val="pt-BR" w:eastAsia="pt-BR"/>
              </w:rPr>
            </w:pPr>
            <w:r w:rsidRPr="00872742">
              <w:rPr>
                <w:color w:val="000000"/>
                <w:lang w:val="pt-BR" w:eastAsia="pt-BR"/>
              </w:rPr>
              <w:lastRenderedPageBreak/>
              <w:t>200</w:t>
            </w:r>
          </w:p>
        </w:tc>
        <w:tc>
          <w:tcPr>
            <w:tcW w:w="1215" w:type="dxa"/>
            <w:tcBorders>
              <w:top w:val="nil"/>
              <w:left w:val="nil"/>
              <w:bottom w:val="nil"/>
              <w:right w:val="nil"/>
            </w:tcBorders>
            <w:shd w:val="clear" w:color="000000" w:fill="CAEDFB"/>
            <w:noWrap/>
            <w:vAlign w:val="bottom"/>
            <w:hideMark/>
          </w:tcPr>
          <w:p w14:paraId="45507E6B" w14:textId="45465D9A" w:rsidR="0038366C" w:rsidRPr="00872742" w:rsidRDefault="0038366C" w:rsidP="00D51D46">
            <w:pPr>
              <w:widowControl/>
              <w:autoSpaceDE/>
              <w:autoSpaceDN/>
              <w:jc w:val="center"/>
              <w:rPr>
                <w:color w:val="000000"/>
                <w:lang w:val="pt-BR" w:eastAsia="pt-BR"/>
              </w:rPr>
            </w:pPr>
            <w:r w:rsidRPr="00872742">
              <w:rPr>
                <w:color w:val="000000"/>
                <w:lang w:val="pt-BR" w:eastAsia="pt-BR"/>
              </w:rPr>
              <w:t>10,2</w:t>
            </w:r>
          </w:p>
        </w:tc>
        <w:tc>
          <w:tcPr>
            <w:tcW w:w="1288" w:type="dxa"/>
            <w:tcBorders>
              <w:top w:val="nil"/>
              <w:left w:val="nil"/>
              <w:bottom w:val="nil"/>
              <w:right w:val="nil"/>
            </w:tcBorders>
            <w:shd w:val="clear" w:color="000000" w:fill="CAEDFB"/>
            <w:noWrap/>
            <w:vAlign w:val="bottom"/>
            <w:hideMark/>
          </w:tcPr>
          <w:p w14:paraId="19C15BE9" w14:textId="04CD6BC6" w:rsidR="0038366C" w:rsidRPr="00872742" w:rsidRDefault="0038366C" w:rsidP="00D51D46">
            <w:pPr>
              <w:widowControl/>
              <w:autoSpaceDE/>
              <w:autoSpaceDN/>
              <w:jc w:val="center"/>
              <w:rPr>
                <w:color w:val="000000"/>
                <w:lang w:val="pt-BR" w:eastAsia="pt-BR"/>
              </w:rPr>
            </w:pPr>
            <w:r w:rsidRPr="00872742">
              <w:rPr>
                <w:color w:val="000000"/>
                <w:lang w:val="pt-BR" w:eastAsia="pt-BR"/>
              </w:rPr>
              <w:t>80</w:t>
            </w:r>
            <w:r>
              <w:rPr>
                <w:color w:val="000000"/>
                <w:lang w:val="pt-BR" w:eastAsia="pt-BR"/>
              </w:rPr>
              <w:t>,0</w:t>
            </w:r>
          </w:p>
        </w:tc>
        <w:tc>
          <w:tcPr>
            <w:tcW w:w="1717" w:type="dxa"/>
            <w:tcBorders>
              <w:top w:val="nil"/>
              <w:left w:val="nil"/>
              <w:bottom w:val="nil"/>
              <w:right w:val="nil"/>
            </w:tcBorders>
            <w:shd w:val="clear" w:color="000000" w:fill="CAEDFB"/>
            <w:noWrap/>
            <w:vAlign w:val="bottom"/>
            <w:hideMark/>
          </w:tcPr>
          <w:p w14:paraId="29EFCA7E" w14:textId="0D98295E" w:rsidR="0038366C" w:rsidRPr="00872742" w:rsidRDefault="0038366C" w:rsidP="00D51D46">
            <w:pPr>
              <w:widowControl/>
              <w:autoSpaceDE/>
              <w:autoSpaceDN/>
              <w:jc w:val="center"/>
              <w:rPr>
                <w:color w:val="000000"/>
                <w:lang w:val="pt-BR" w:eastAsia="pt-BR"/>
              </w:rPr>
            </w:pPr>
            <w:r w:rsidRPr="00872742">
              <w:rPr>
                <w:color w:val="000000"/>
                <w:lang w:val="pt-BR" w:eastAsia="pt-BR"/>
              </w:rPr>
              <w:t>198</w:t>
            </w:r>
            <w:r>
              <w:rPr>
                <w:color w:val="000000"/>
                <w:lang w:val="pt-BR" w:eastAsia="pt-BR"/>
              </w:rPr>
              <w:t>,0</w:t>
            </w:r>
          </w:p>
        </w:tc>
        <w:tc>
          <w:tcPr>
            <w:tcW w:w="1717" w:type="dxa"/>
            <w:tcBorders>
              <w:top w:val="nil"/>
              <w:left w:val="nil"/>
              <w:bottom w:val="nil"/>
              <w:right w:val="nil"/>
            </w:tcBorders>
            <w:shd w:val="clear" w:color="000000" w:fill="CAEDFB"/>
            <w:noWrap/>
            <w:vAlign w:val="bottom"/>
            <w:hideMark/>
          </w:tcPr>
          <w:p w14:paraId="6F381D3C" w14:textId="77777777" w:rsidR="0038366C" w:rsidRPr="00872742" w:rsidRDefault="0038366C" w:rsidP="00D51D46">
            <w:pPr>
              <w:widowControl/>
              <w:autoSpaceDE/>
              <w:autoSpaceDN/>
              <w:jc w:val="center"/>
              <w:rPr>
                <w:color w:val="000000"/>
                <w:lang w:val="pt-BR" w:eastAsia="pt-BR"/>
              </w:rPr>
            </w:pPr>
            <w:r w:rsidRPr="00872742">
              <w:rPr>
                <w:color w:val="000000"/>
                <w:lang w:val="pt-BR" w:eastAsia="pt-BR"/>
              </w:rPr>
              <w:t>0,5</w:t>
            </w:r>
          </w:p>
        </w:tc>
        <w:tc>
          <w:tcPr>
            <w:tcW w:w="1717" w:type="dxa"/>
            <w:tcBorders>
              <w:top w:val="nil"/>
              <w:left w:val="nil"/>
              <w:bottom w:val="nil"/>
              <w:right w:val="nil"/>
            </w:tcBorders>
            <w:shd w:val="clear" w:color="000000" w:fill="CAEDFB"/>
            <w:noWrap/>
            <w:vAlign w:val="bottom"/>
            <w:hideMark/>
          </w:tcPr>
          <w:p w14:paraId="56C6825A" w14:textId="31DC99B7" w:rsidR="0038366C" w:rsidRPr="00872742" w:rsidRDefault="0038366C" w:rsidP="00D51D46">
            <w:pPr>
              <w:widowControl/>
              <w:autoSpaceDE/>
              <w:autoSpaceDN/>
              <w:jc w:val="center"/>
              <w:rPr>
                <w:color w:val="000000"/>
                <w:lang w:val="pt-BR" w:eastAsia="pt-BR"/>
              </w:rPr>
            </w:pPr>
            <w:r w:rsidRPr="00872742">
              <w:rPr>
                <w:color w:val="000000"/>
                <w:lang w:val="pt-BR" w:eastAsia="pt-BR"/>
              </w:rPr>
              <w:t>99,7</w:t>
            </w:r>
          </w:p>
        </w:tc>
      </w:tr>
    </w:tbl>
    <w:p w14:paraId="371532C3" w14:textId="77777777" w:rsidR="00872742" w:rsidRDefault="00872742" w:rsidP="00314935">
      <w:pPr>
        <w:pStyle w:val="Corpodetexto"/>
        <w:spacing w:line="360" w:lineRule="auto"/>
        <w:ind w:firstLine="720"/>
        <w:jc w:val="both"/>
        <w:rPr>
          <w:sz w:val="24"/>
          <w:szCs w:val="24"/>
          <w:lang w:val="pt-BR"/>
        </w:rPr>
      </w:pPr>
    </w:p>
    <w:p w14:paraId="536BAD74" w14:textId="77777777" w:rsidR="005C190A" w:rsidRPr="005C190A" w:rsidRDefault="005C190A" w:rsidP="005C190A">
      <w:pPr>
        <w:pStyle w:val="Corpodetexto"/>
        <w:spacing w:line="360" w:lineRule="auto"/>
        <w:ind w:firstLine="720"/>
        <w:jc w:val="both"/>
        <w:rPr>
          <w:sz w:val="24"/>
          <w:szCs w:val="24"/>
        </w:rPr>
      </w:pPr>
      <w:r w:rsidRPr="005C190A">
        <w:rPr>
          <w:sz w:val="24"/>
          <w:szCs w:val="24"/>
        </w:rPr>
        <w:t>Se faz importante observar que as diferentes condições de fortificação representam faixas de concentração e que o valor exato da concentração inicial de fósforo na solução pode variar, decorrente das condições de homogeneização, erros humanos ou instrumentais. Entretanto, tal fato não inviabiliza a condução do estudo.</w:t>
      </w:r>
    </w:p>
    <w:p w14:paraId="64EA1607" w14:textId="77777777" w:rsidR="005C190A" w:rsidRPr="005C190A" w:rsidRDefault="005C190A" w:rsidP="005C190A">
      <w:pPr>
        <w:pStyle w:val="Corpodetexto"/>
        <w:spacing w:line="360" w:lineRule="auto"/>
        <w:ind w:firstLine="720"/>
        <w:jc w:val="both"/>
        <w:rPr>
          <w:sz w:val="24"/>
          <w:szCs w:val="24"/>
        </w:rPr>
      </w:pPr>
      <w:r w:rsidRPr="005C190A">
        <w:rPr>
          <w:sz w:val="24"/>
          <w:szCs w:val="24"/>
        </w:rPr>
        <w:t>Os resultados demonstram elevada eficiência de remoção de fósforo em todas as condições experimentais avaliadas, com valores variando entre 89,2% e 99,7%. Mesmo na condição de esgoto bruto, sem fortificação, a concentração de fósforo foi reduzida de 5,5 mg L</w:t>
      </w:r>
      <w:r w:rsidRPr="005C190A">
        <w:rPr>
          <w:sz w:val="24"/>
          <w:szCs w:val="24"/>
          <w:vertAlign w:val="superscript"/>
        </w:rPr>
        <w:t>-1</w:t>
      </w:r>
      <w:r w:rsidRPr="005C190A">
        <w:rPr>
          <w:sz w:val="24"/>
          <w:szCs w:val="24"/>
        </w:rPr>
        <w:t xml:space="preserve"> para 0,6 mg L</w:t>
      </w:r>
      <w:r w:rsidRPr="005C190A">
        <w:rPr>
          <w:sz w:val="24"/>
          <w:szCs w:val="24"/>
          <w:vertAlign w:val="superscript"/>
        </w:rPr>
        <w:t>-1</w:t>
      </w:r>
      <w:r w:rsidRPr="005C190A">
        <w:rPr>
          <w:sz w:val="24"/>
          <w:szCs w:val="24"/>
        </w:rPr>
        <w:t>, indicando a capacidade do processo em remover o nutriente presente naturalmente na matriz. Observa-se o mesmo comportamento a partir dos estudos desenvolvidos por Kulbat e Czerwionka (2023), que atingiram eficiências superiores a 99% de remoção de fósforo em efluente de descarte de ETE municipais na Polônia, utilizando hidróxido de cálcio como agente precipitante.</w:t>
      </w:r>
    </w:p>
    <w:p w14:paraId="035BF10D" w14:textId="77777777" w:rsidR="005C190A" w:rsidRPr="005C190A" w:rsidRDefault="005C190A" w:rsidP="005C190A">
      <w:pPr>
        <w:pStyle w:val="Corpodetexto"/>
        <w:spacing w:line="360" w:lineRule="auto"/>
        <w:ind w:firstLine="720"/>
        <w:jc w:val="both"/>
        <w:rPr>
          <w:sz w:val="24"/>
          <w:szCs w:val="24"/>
        </w:rPr>
      </w:pPr>
      <w:r w:rsidRPr="005C190A">
        <w:rPr>
          <w:sz w:val="24"/>
          <w:szCs w:val="24"/>
        </w:rPr>
        <w:t>Observa-se que o aumento da concentração inicial de fósforo resultou em incremento da eficiência de remoção. As amostras fortificadas com 25, 50 e 200 mg L</w:t>
      </w:r>
      <w:r w:rsidRPr="005C190A">
        <w:rPr>
          <w:sz w:val="24"/>
          <w:szCs w:val="24"/>
          <w:vertAlign w:val="superscript"/>
        </w:rPr>
        <w:t>-1</w:t>
      </w:r>
      <w:r w:rsidRPr="005C190A">
        <w:rPr>
          <w:sz w:val="24"/>
          <w:szCs w:val="24"/>
        </w:rPr>
        <w:t xml:space="preserve"> apresentaram remoções superiores a 96%, atingindo concentrações finais iguais ou inferiores a 1,1 mg L</w:t>
      </w:r>
      <w:r w:rsidRPr="005C190A">
        <w:rPr>
          <w:sz w:val="24"/>
          <w:szCs w:val="24"/>
          <w:vertAlign w:val="superscript"/>
        </w:rPr>
        <w:t>-1</w:t>
      </w:r>
      <w:r w:rsidRPr="005C190A">
        <w:rPr>
          <w:sz w:val="24"/>
          <w:szCs w:val="24"/>
        </w:rPr>
        <w:t>. O melhor desempenho foi observado na condição de maior carga de fósforo, na qual a concentração foi reduzida de 198 mg L</w:t>
      </w:r>
      <w:r w:rsidRPr="005C190A">
        <w:rPr>
          <w:sz w:val="24"/>
          <w:szCs w:val="24"/>
          <w:vertAlign w:val="superscript"/>
        </w:rPr>
        <w:t>-1</w:t>
      </w:r>
      <w:r w:rsidRPr="005C190A">
        <w:rPr>
          <w:sz w:val="24"/>
          <w:szCs w:val="24"/>
        </w:rPr>
        <w:t xml:space="preserve"> para apenas 0,5 mg L</w:t>
      </w:r>
      <w:r w:rsidRPr="005C190A">
        <w:rPr>
          <w:sz w:val="24"/>
          <w:szCs w:val="24"/>
          <w:vertAlign w:val="superscript"/>
        </w:rPr>
        <w:t>-1</w:t>
      </w:r>
      <w:r w:rsidRPr="005C190A">
        <w:rPr>
          <w:sz w:val="24"/>
          <w:szCs w:val="24"/>
        </w:rPr>
        <w:t xml:space="preserve">, correspondendo a uma eficiência de 99,7%. </w:t>
      </w:r>
    </w:p>
    <w:p w14:paraId="793B1F6A" w14:textId="77777777" w:rsidR="005C190A" w:rsidRPr="005C190A" w:rsidRDefault="005C190A" w:rsidP="005C190A">
      <w:pPr>
        <w:pStyle w:val="Corpodetexto"/>
        <w:spacing w:line="360" w:lineRule="auto"/>
        <w:ind w:firstLine="720"/>
        <w:jc w:val="both"/>
        <w:rPr>
          <w:sz w:val="24"/>
          <w:szCs w:val="24"/>
        </w:rPr>
      </w:pPr>
      <w:r w:rsidRPr="005C190A">
        <w:rPr>
          <w:sz w:val="24"/>
          <w:szCs w:val="24"/>
        </w:rPr>
        <w:t>Esse comportamento sugere que o processo de precipitação química empregado apresenta maior desempenho quando submetido a elevadas cargas de fósforo. Em concentrações mais baixas, a quantidade de íons fosfato disponível para reagir com os íons cálcio é reduzida, o que pode limitar a formação de núcleos de cristalização e, consequentemente, a geração de precipitados. Além disso, em sistemas contendo baixas concentrações de fósforo, fenômenos competitivos, como adsorção em partículas suspensas, complexação por matéria orgânica dissolvida ou interferências causadas por outros íons presentes no esgoto, tendem a exercer influência proporcionalmente maior sobre a eficiência global do processo.</w:t>
      </w:r>
    </w:p>
    <w:p w14:paraId="6C311F57" w14:textId="77777777" w:rsidR="005C190A" w:rsidRPr="005C190A" w:rsidRDefault="005C190A" w:rsidP="005C190A">
      <w:pPr>
        <w:pStyle w:val="Corpodetexto"/>
        <w:spacing w:line="360" w:lineRule="auto"/>
        <w:ind w:firstLine="720"/>
        <w:jc w:val="both"/>
        <w:rPr>
          <w:sz w:val="24"/>
          <w:szCs w:val="24"/>
        </w:rPr>
      </w:pPr>
      <w:r w:rsidRPr="005C190A">
        <w:rPr>
          <w:sz w:val="24"/>
          <w:szCs w:val="24"/>
        </w:rPr>
        <w:t xml:space="preserve">Por outro lado, o aumento da concentração inicial de fósforo pode favorecer a supersaturação da solução em relação aos compostos fosfatados de cálcio, aumentando a probabilidade de colisão entre os íons reagentes e possivelmente acelerando os mecanismos de nucleação e crescimento cristalino. Como consequência, pode ocorrer a formação de </w:t>
      </w:r>
      <w:r w:rsidRPr="005C190A">
        <w:rPr>
          <w:sz w:val="24"/>
          <w:szCs w:val="24"/>
        </w:rPr>
        <w:lastRenderedPageBreak/>
        <w:t>precipitados mais estáveis e facilmente sedimentáveis, o que possivelmente está associado às maiores eficiências observadas nas condições de 25, 50 e 200 mg L</w:t>
      </w:r>
      <w:r w:rsidRPr="005C190A">
        <w:rPr>
          <w:sz w:val="24"/>
          <w:szCs w:val="24"/>
          <w:vertAlign w:val="superscript"/>
        </w:rPr>
        <w:t>-1</w:t>
      </w:r>
      <w:r w:rsidRPr="005C190A">
        <w:rPr>
          <w:sz w:val="24"/>
          <w:szCs w:val="24"/>
        </w:rPr>
        <w:t>. Em relação às concentrações finais de fósforo obtidas após o tratamento, apesar da ampla variação nas concentrações iniciais, as concentrações residuais permaneceram em uma faixa relativamente estreita, entre 0,5 e 1,4 mg L</w:t>
      </w:r>
      <w:r w:rsidRPr="005C190A">
        <w:rPr>
          <w:sz w:val="24"/>
          <w:szCs w:val="24"/>
          <w:vertAlign w:val="superscript"/>
        </w:rPr>
        <w:t>-1</w:t>
      </w:r>
      <w:r w:rsidRPr="005C190A">
        <w:rPr>
          <w:sz w:val="24"/>
          <w:szCs w:val="24"/>
        </w:rPr>
        <w:t xml:space="preserve">. </w:t>
      </w:r>
    </w:p>
    <w:p w14:paraId="338C33EF" w14:textId="77777777" w:rsidR="005C190A" w:rsidRPr="005C190A" w:rsidRDefault="005C190A" w:rsidP="005C190A">
      <w:pPr>
        <w:pStyle w:val="Corpodetexto"/>
        <w:spacing w:line="360" w:lineRule="auto"/>
        <w:ind w:firstLine="720"/>
        <w:jc w:val="both"/>
        <w:rPr>
          <w:sz w:val="24"/>
          <w:szCs w:val="24"/>
        </w:rPr>
      </w:pPr>
      <w:r w:rsidRPr="005C190A">
        <w:rPr>
          <w:sz w:val="24"/>
          <w:szCs w:val="24"/>
        </w:rPr>
        <w:t xml:space="preserve">Esse comportamento indica que o processo não apenas removeu uma fração significativa do fósforo presente, mas também conduziu o sistema a uma condição próxima do equilíbrio químico entre as fases líquida e sólida. Em outras palavras, independentemente da carga inicial aplicada, a concentração residual de fósforo tendeu a convergir para valores próximos ao limite e equilíbrio de solubilidade dos compostos precipitados e da HAP nas condições de pH adotadas. </w:t>
      </w:r>
    </w:p>
    <w:p w14:paraId="24B11DE2" w14:textId="77777777" w:rsidR="005C190A" w:rsidRPr="005C190A" w:rsidRDefault="005C190A" w:rsidP="005C190A">
      <w:pPr>
        <w:pStyle w:val="Corpodetexto"/>
        <w:spacing w:line="360" w:lineRule="auto"/>
        <w:ind w:firstLine="720"/>
        <w:jc w:val="both"/>
        <w:rPr>
          <w:sz w:val="24"/>
          <w:szCs w:val="24"/>
        </w:rPr>
      </w:pPr>
      <w:r w:rsidRPr="005C190A">
        <w:rPr>
          <w:sz w:val="24"/>
          <w:szCs w:val="24"/>
        </w:rPr>
        <w:t>Embora tenha sido necessário aumentar o volume de hidróxido de cálcio adicionado em algumas condições experimentais, não foi observada relação linear entre a dosagem aplicada e a concentração inicial de fósforo. Esse comportamento pode estar associado à capacidade tamponante do esgoto, à presença de compostos orgânicos e inorgânicos consumidores de alcalinidade e às características intrínsecas da matriz, fatores que influenciam diretamente a demanda de reagente para ajuste do pH. Esse maior consumo de alcalinizante, associado à geração de lodo químico decorrente da precipitação, representa uma limitação do processo a ser considerada em sua aplicação em escala real.</w:t>
      </w:r>
    </w:p>
    <w:p w14:paraId="39D43A93" w14:textId="77777777" w:rsidR="005C190A" w:rsidRPr="005C190A" w:rsidRDefault="005C190A" w:rsidP="005C190A">
      <w:pPr>
        <w:pStyle w:val="Corpodetexto"/>
        <w:spacing w:line="360" w:lineRule="auto"/>
        <w:ind w:firstLine="720"/>
        <w:jc w:val="both"/>
        <w:rPr>
          <w:sz w:val="24"/>
          <w:szCs w:val="24"/>
        </w:rPr>
      </w:pPr>
      <w:r w:rsidRPr="005C190A">
        <w:rPr>
          <w:sz w:val="24"/>
          <w:szCs w:val="24"/>
        </w:rPr>
        <w:t>O precipitado gerado na forma de lodo pode representar uma alternativa para futuro aproveitamento agrícola, considerando o potencial de recuperação de fósforo e cálcio, elementos amplamente empregados na agricultura. No entanto, essa possibilidade depende de investigações complementares que confirmem a incorporação do fósforo à fase sólida, avaliação da ausência de contaminantes e verificação da viabilidade agronômica do material.</w:t>
      </w:r>
    </w:p>
    <w:p w14:paraId="1DD7DA38" w14:textId="77777777" w:rsidR="005C190A" w:rsidRPr="005C190A" w:rsidRDefault="005C190A" w:rsidP="005C190A">
      <w:pPr>
        <w:pStyle w:val="Corpodetexto"/>
        <w:spacing w:line="360" w:lineRule="auto"/>
        <w:jc w:val="both"/>
        <w:rPr>
          <w:sz w:val="24"/>
          <w:szCs w:val="24"/>
        </w:rPr>
      </w:pPr>
      <w:r w:rsidRPr="005C190A">
        <w:rPr>
          <w:sz w:val="24"/>
          <w:szCs w:val="24"/>
        </w:rPr>
        <w:t xml:space="preserve">De maneira geral, os resultados indicam que a precipitação química utilizando cálcio em meio alcalino constitui uma alternativa promissora para remoção de fósforo de esgotos sanitários. As concentrações residuais inferiores a 1,5 mg L-1 em todas as condições experimentais sugerem que o processo possui potencial tanto para polimento de efluentes sanitários quanto para recuperação de fósforo em correntes com cargas elevadas do nutriente. </w:t>
      </w:r>
    </w:p>
    <w:p w14:paraId="5A547A8D" w14:textId="2626F5CE" w:rsidR="00F53508" w:rsidRPr="005F70B0" w:rsidRDefault="001C1AE7" w:rsidP="009C4B75">
      <w:pPr>
        <w:pStyle w:val="Corpodetexto"/>
        <w:spacing w:line="360" w:lineRule="auto"/>
        <w:ind w:firstLine="720"/>
        <w:jc w:val="both"/>
        <w:rPr>
          <w:sz w:val="24"/>
          <w:szCs w:val="24"/>
        </w:rPr>
      </w:pPr>
      <w:r>
        <w:rPr>
          <w:sz w:val="24"/>
          <w:szCs w:val="24"/>
        </w:rPr>
        <w:t xml:space="preserve"> </w:t>
      </w:r>
    </w:p>
    <w:p w14:paraId="1C25DF7A" w14:textId="0A6ED6F2" w:rsidR="00243512" w:rsidRPr="005F70B0" w:rsidRDefault="00243512" w:rsidP="009C4B75">
      <w:pPr>
        <w:pStyle w:val="Corpodetexto"/>
        <w:spacing w:line="360" w:lineRule="auto"/>
        <w:jc w:val="both"/>
        <w:rPr>
          <w:b/>
          <w:bCs/>
          <w:sz w:val="28"/>
          <w:szCs w:val="28"/>
        </w:rPr>
      </w:pPr>
      <w:r w:rsidRPr="005F70B0">
        <w:rPr>
          <w:b/>
          <w:bCs/>
          <w:sz w:val="28"/>
          <w:szCs w:val="28"/>
        </w:rPr>
        <w:t xml:space="preserve">Conclusão </w:t>
      </w:r>
    </w:p>
    <w:p w14:paraId="70EA2A77" w14:textId="102A8309" w:rsidR="001C1AE7" w:rsidRDefault="00083E26" w:rsidP="009C4B75">
      <w:pPr>
        <w:pStyle w:val="Corpodetexto"/>
        <w:spacing w:line="360" w:lineRule="auto"/>
        <w:ind w:firstLine="720"/>
        <w:jc w:val="both"/>
        <w:rPr>
          <w:sz w:val="24"/>
          <w:szCs w:val="24"/>
        </w:rPr>
      </w:pPr>
      <w:r w:rsidRPr="00083E26">
        <w:rPr>
          <w:sz w:val="24"/>
          <w:szCs w:val="24"/>
        </w:rPr>
        <w:t xml:space="preserve">Os resultados obtidos demonstraram que a precipitação química utilizando cálcio foi eficiente na remoção de fósforo do esgoto sanitário, alcançando eficiências superiores a 89% </w:t>
      </w:r>
      <w:r w:rsidRPr="00083E26">
        <w:rPr>
          <w:sz w:val="24"/>
          <w:szCs w:val="24"/>
        </w:rPr>
        <w:lastRenderedPageBreak/>
        <w:t xml:space="preserve">em todas as condições experimentais. O aumento da concentração inicial do nutriente favoreceu o desempenho do processo, indicando que a técnica apresenta capacidade de remoção mesmo sob altas cargas de fósforo. </w:t>
      </w:r>
      <w:r w:rsidR="00CE7559">
        <w:rPr>
          <w:sz w:val="24"/>
          <w:szCs w:val="24"/>
        </w:rPr>
        <w:t>A</w:t>
      </w:r>
      <w:r w:rsidRPr="00083E26">
        <w:rPr>
          <w:sz w:val="24"/>
          <w:szCs w:val="24"/>
        </w:rPr>
        <w:t xml:space="preserve"> obtenção dos precipitados </w:t>
      </w:r>
      <w:r w:rsidR="005E3AB3">
        <w:rPr>
          <w:sz w:val="24"/>
          <w:szCs w:val="24"/>
        </w:rPr>
        <w:t>sugere</w:t>
      </w:r>
      <w:r w:rsidRPr="00083E26">
        <w:rPr>
          <w:sz w:val="24"/>
          <w:szCs w:val="24"/>
        </w:rPr>
        <w:t xml:space="preserve"> a precipitação química como alternativa </w:t>
      </w:r>
      <w:r w:rsidR="005E3AB3">
        <w:rPr>
          <w:sz w:val="24"/>
          <w:szCs w:val="24"/>
        </w:rPr>
        <w:t xml:space="preserve">possível </w:t>
      </w:r>
      <w:r w:rsidRPr="00083E26">
        <w:rPr>
          <w:sz w:val="24"/>
          <w:szCs w:val="24"/>
        </w:rPr>
        <w:t>para a recuperação desse nutriente, representando uma estratégia promissora para o aprimoramento do tratamento de esgotos e para o reaproveitamento de recursos em consonância com os princípios da economia circular.</w:t>
      </w:r>
    </w:p>
    <w:p w14:paraId="2FB4DBA6" w14:textId="77777777" w:rsidR="007D627F" w:rsidRDefault="007D627F" w:rsidP="00C91422">
      <w:pPr>
        <w:pStyle w:val="Corpodetexto"/>
        <w:spacing w:line="360" w:lineRule="auto"/>
        <w:jc w:val="both"/>
        <w:rPr>
          <w:b/>
          <w:bCs/>
          <w:sz w:val="28"/>
          <w:szCs w:val="28"/>
        </w:rPr>
      </w:pPr>
    </w:p>
    <w:p w14:paraId="555EEF0D" w14:textId="52A56F8A" w:rsidR="00C91422" w:rsidRPr="005F70B0" w:rsidRDefault="00C91422" w:rsidP="00C91422">
      <w:pPr>
        <w:pStyle w:val="Corpodetexto"/>
        <w:spacing w:line="360" w:lineRule="auto"/>
        <w:jc w:val="both"/>
        <w:rPr>
          <w:b/>
          <w:bCs/>
          <w:sz w:val="28"/>
          <w:szCs w:val="28"/>
        </w:rPr>
      </w:pPr>
      <w:r>
        <w:rPr>
          <w:b/>
          <w:bCs/>
          <w:sz w:val="28"/>
          <w:szCs w:val="28"/>
        </w:rPr>
        <w:t>Agradecimentos</w:t>
      </w:r>
      <w:r w:rsidRPr="005F70B0">
        <w:rPr>
          <w:b/>
          <w:bCs/>
          <w:sz w:val="28"/>
          <w:szCs w:val="28"/>
        </w:rPr>
        <w:t xml:space="preserve"> </w:t>
      </w:r>
    </w:p>
    <w:p w14:paraId="1E4E10B3" w14:textId="4A4AFC70" w:rsidR="005C190A" w:rsidRDefault="00C91422" w:rsidP="005C190A">
      <w:pPr>
        <w:pStyle w:val="Corpodetexto"/>
        <w:spacing w:line="360" w:lineRule="auto"/>
        <w:ind w:firstLine="720"/>
        <w:jc w:val="both"/>
        <w:rPr>
          <w:color w:val="000000"/>
          <w:sz w:val="24"/>
          <w:szCs w:val="24"/>
        </w:rPr>
      </w:pPr>
      <w:r w:rsidRPr="00C91422">
        <w:rPr>
          <w:sz w:val="24"/>
          <w:szCs w:val="24"/>
        </w:rPr>
        <w:t>Agrade</w:t>
      </w:r>
      <w:r>
        <w:rPr>
          <w:sz w:val="24"/>
          <w:szCs w:val="24"/>
        </w:rPr>
        <w:t xml:space="preserve">cimento </w:t>
      </w:r>
      <w:r w:rsidRPr="00C91422">
        <w:rPr>
          <w:sz w:val="24"/>
          <w:szCs w:val="24"/>
        </w:rPr>
        <w:t xml:space="preserve">à </w:t>
      </w:r>
      <w:r w:rsidR="005C190A" w:rsidRPr="00745560">
        <w:rPr>
          <w:color w:val="000000"/>
          <w:sz w:val="24"/>
          <w:szCs w:val="24"/>
        </w:rPr>
        <w:t xml:space="preserve">Coordenação de Aperfeiçoamento de Pessoal de Nível Superior </w:t>
      </w:r>
      <w:r w:rsidR="005C190A">
        <w:rPr>
          <w:color w:val="000000"/>
          <w:sz w:val="24"/>
          <w:szCs w:val="24"/>
        </w:rPr>
        <w:t>-</w:t>
      </w:r>
      <w:r w:rsidR="005C190A" w:rsidRPr="00745560">
        <w:rPr>
          <w:color w:val="000000"/>
          <w:sz w:val="24"/>
          <w:szCs w:val="24"/>
        </w:rPr>
        <w:t xml:space="preserve"> Brasil (CAPES)</w:t>
      </w:r>
      <w:r w:rsidR="005C190A">
        <w:rPr>
          <w:color w:val="000000"/>
          <w:sz w:val="24"/>
          <w:szCs w:val="24"/>
        </w:rPr>
        <w:t xml:space="preserve"> </w:t>
      </w:r>
      <w:r w:rsidRPr="00C91422">
        <w:rPr>
          <w:sz w:val="24"/>
          <w:szCs w:val="24"/>
        </w:rPr>
        <w:t>pela concessão da bolsa de estudos</w:t>
      </w:r>
      <w:r w:rsidR="005C190A">
        <w:rPr>
          <w:sz w:val="24"/>
          <w:szCs w:val="24"/>
        </w:rPr>
        <w:t>.</w:t>
      </w:r>
    </w:p>
    <w:p w14:paraId="7BCDAD27" w14:textId="77777777" w:rsidR="00083E26" w:rsidRPr="005F70B0" w:rsidRDefault="00083E26" w:rsidP="009C4B75">
      <w:pPr>
        <w:pStyle w:val="Corpodetexto"/>
        <w:spacing w:line="360" w:lineRule="auto"/>
        <w:ind w:firstLine="720"/>
        <w:jc w:val="both"/>
        <w:rPr>
          <w:sz w:val="24"/>
          <w:szCs w:val="24"/>
        </w:rPr>
      </w:pPr>
    </w:p>
    <w:p w14:paraId="46C53EB6" w14:textId="178C0EC9" w:rsidR="00624629" w:rsidRDefault="00624629" w:rsidP="00624629">
      <w:pPr>
        <w:pStyle w:val="Corpodetexto"/>
        <w:spacing w:line="360" w:lineRule="auto"/>
        <w:jc w:val="both"/>
        <w:rPr>
          <w:b/>
          <w:bCs/>
          <w:sz w:val="28"/>
          <w:szCs w:val="28"/>
        </w:rPr>
      </w:pPr>
      <w:r w:rsidRPr="005F70B0">
        <w:rPr>
          <w:b/>
          <w:bCs/>
          <w:sz w:val="28"/>
          <w:szCs w:val="28"/>
        </w:rPr>
        <w:t>Referências</w:t>
      </w:r>
    </w:p>
    <w:p w14:paraId="31D7B794" w14:textId="77777777" w:rsidR="005C190A" w:rsidRDefault="005C190A" w:rsidP="005C190A">
      <w:pPr>
        <w:pStyle w:val="Corpodetexto"/>
        <w:rPr>
          <w:sz w:val="24"/>
          <w:szCs w:val="24"/>
        </w:rPr>
      </w:pPr>
      <w:r w:rsidRPr="005C190A">
        <w:rPr>
          <w:sz w:val="24"/>
          <w:szCs w:val="24"/>
        </w:rPr>
        <w:t xml:space="preserve">ALVES, A. </w:t>
      </w:r>
      <w:r w:rsidRPr="005C190A">
        <w:rPr>
          <w:b/>
          <w:bCs/>
          <w:sz w:val="24"/>
          <w:szCs w:val="24"/>
        </w:rPr>
        <w:t>Tratamento de esgoto doméstico e remoção de nutrientes: uma revisão</w:t>
      </w:r>
      <w:r w:rsidRPr="005C190A">
        <w:rPr>
          <w:sz w:val="24"/>
          <w:szCs w:val="24"/>
        </w:rPr>
        <w:t>. 2025. Trabalho de Conclusão de Curso (Tecnologia em Gestão Ambiental) – Instituto Federal de Educação, Ciência e Tecnologia de Pernambuco, Recife, 2025.</w:t>
      </w:r>
    </w:p>
    <w:p w14:paraId="69808940" w14:textId="77777777" w:rsidR="005C190A" w:rsidRPr="005C190A" w:rsidRDefault="005C190A" w:rsidP="005C190A">
      <w:pPr>
        <w:pStyle w:val="Corpodetexto"/>
        <w:rPr>
          <w:sz w:val="24"/>
          <w:szCs w:val="24"/>
        </w:rPr>
      </w:pPr>
    </w:p>
    <w:p w14:paraId="3BAA7FFC" w14:textId="77777777" w:rsidR="005C190A" w:rsidRDefault="005C190A" w:rsidP="005C190A">
      <w:pPr>
        <w:pStyle w:val="Corpodetexto"/>
        <w:rPr>
          <w:sz w:val="24"/>
          <w:szCs w:val="24"/>
          <w:lang w:val="en-US"/>
        </w:rPr>
      </w:pPr>
      <w:r w:rsidRPr="005C190A">
        <w:rPr>
          <w:sz w:val="24"/>
          <w:szCs w:val="24"/>
          <w:lang w:val="en-US"/>
        </w:rPr>
        <w:t xml:space="preserve">FISCHER, B. P. T.; DI TRAPANI, D.; LAUDICINA, V. A.; MUSCARELLA, S. M.; MANNINA, G. Nutrient Recovery from Zeolite and Biochar Columns: The Case Study of </w:t>
      </w:r>
      <w:proofErr w:type="spellStart"/>
      <w:r w:rsidRPr="005C190A">
        <w:rPr>
          <w:sz w:val="24"/>
          <w:szCs w:val="24"/>
          <w:lang w:val="en-US"/>
        </w:rPr>
        <w:t>Marineo</w:t>
      </w:r>
      <w:proofErr w:type="spellEnd"/>
      <w:r w:rsidRPr="005C190A">
        <w:rPr>
          <w:sz w:val="24"/>
          <w:szCs w:val="24"/>
          <w:lang w:val="en-US"/>
        </w:rPr>
        <w:t xml:space="preserve"> (Italy) Wastewater Treatment Plant. </w:t>
      </w:r>
      <w:r w:rsidRPr="005C190A">
        <w:rPr>
          <w:b/>
          <w:bCs/>
          <w:sz w:val="24"/>
          <w:szCs w:val="24"/>
          <w:lang w:val="en-US"/>
        </w:rPr>
        <w:t>Water</w:t>
      </w:r>
      <w:r w:rsidRPr="005C190A">
        <w:rPr>
          <w:sz w:val="24"/>
          <w:szCs w:val="24"/>
          <w:lang w:val="en-US"/>
        </w:rPr>
        <w:t>, v. 17, n. 6, p. 848, 2025.</w:t>
      </w:r>
    </w:p>
    <w:p w14:paraId="39D9F8D9" w14:textId="77777777" w:rsidR="005C190A" w:rsidRPr="005C190A" w:rsidRDefault="005C190A" w:rsidP="005C190A">
      <w:pPr>
        <w:pStyle w:val="Corpodetexto"/>
        <w:rPr>
          <w:sz w:val="24"/>
          <w:szCs w:val="24"/>
          <w:lang w:val="en-US"/>
        </w:rPr>
      </w:pPr>
    </w:p>
    <w:p w14:paraId="16FCAA82" w14:textId="77777777" w:rsidR="005C190A" w:rsidRDefault="005C190A" w:rsidP="005C190A">
      <w:pPr>
        <w:pStyle w:val="Corpodetexto"/>
        <w:rPr>
          <w:sz w:val="24"/>
          <w:szCs w:val="24"/>
          <w:lang w:val="en-US"/>
        </w:rPr>
      </w:pPr>
      <w:r w:rsidRPr="005C190A">
        <w:rPr>
          <w:sz w:val="24"/>
          <w:szCs w:val="24"/>
          <w:lang w:val="en-US"/>
        </w:rPr>
        <w:t xml:space="preserve">JENKINS, D.; FERGUSON, J. F.; MENAR, A. B. Chemical processes for phosphate removal. </w:t>
      </w:r>
      <w:r w:rsidRPr="005C190A">
        <w:rPr>
          <w:b/>
          <w:bCs/>
          <w:sz w:val="24"/>
          <w:szCs w:val="24"/>
          <w:lang w:val="en-US"/>
        </w:rPr>
        <w:t>Water Research</w:t>
      </w:r>
      <w:r w:rsidRPr="005C190A">
        <w:rPr>
          <w:sz w:val="24"/>
          <w:szCs w:val="24"/>
          <w:lang w:val="en-US"/>
        </w:rPr>
        <w:t>, v. 5, n. 7, p. 369-389, 1971.</w:t>
      </w:r>
    </w:p>
    <w:p w14:paraId="13259774" w14:textId="77777777" w:rsidR="005C190A" w:rsidRPr="005C190A" w:rsidRDefault="005C190A" w:rsidP="005C190A">
      <w:pPr>
        <w:pStyle w:val="Corpodetexto"/>
        <w:rPr>
          <w:sz w:val="24"/>
          <w:szCs w:val="24"/>
          <w:lang w:val="en-US"/>
        </w:rPr>
      </w:pPr>
    </w:p>
    <w:p w14:paraId="76260D66" w14:textId="77777777" w:rsidR="005C190A" w:rsidRDefault="005C190A" w:rsidP="005C190A">
      <w:pPr>
        <w:pStyle w:val="Corpodetexto"/>
        <w:rPr>
          <w:sz w:val="24"/>
          <w:szCs w:val="24"/>
          <w:lang w:val="en-US"/>
        </w:rPr>
      </w:pPr>
      <w:r w:rsidRPr="005C190A">
        <w:rPr>
          <w:sz w:val="24"/>
          <w:szCs w:val="24"/>
          <w:lang w:val="en-US"/>
        </w:rPr>
        <w:t xml:space="preserve">KULBAT, E.; CZERWIONKA, K. Influence of Phosphorus Speciation on Its Chemical Removal from Reject Water from Dewatering of Municipal Sewage Sludge. </w:t>
      </w:r>
      <w:r w:rsidRPr="005C190A">
        <w:rPr>
          <w:b/>
          <w:bCs/>
          <w:sz w:val="24"/>
          <w:szCs w:val="24"/>
          <w:lang w:val="en-US"/>
        </w:rPr>
        <w:t>Energies</w:t>
      </w:r>
      <w:r w:rsidRPr="005C190A">
        <w:rPr>
          <w:sz w:val="24"/>
          <w:szCs w:val="24"/>
          <w:lang w:val="en-US"/>
        </w:rPr>
        <w:t>, v. 16, 2023.</w:t>
      </w:r>
    </w:p>
    <w:p w14:paraId="5D8236D4" w14:textId="77777777" w:rsidR="005C190A" w:rsidRPr="005C190A" w:rsidRDefault="005C190A" w:rsidP="005C190A">
      <w:pPr>
        <w:pStyle w:val="Corpodetexto"/>
        <w:rPr>
          <w:sz w:val="24"/>
          <w:szCs w:val="24"/>
          <w:lang w:val="en-US"/>
        </w:rPr>
      </w:pPr>
    </w:p>
    <w:p w14:paraId="2CDCE988" w14:textId="77777777" w:rsidR="005C190A" w:rsidRPr="005C190A" w:rsidRDefault="005C190A" w:rsidP="005C190A">
      <w:pPr>
        <w:pStyle w:val="Corpodetexto"/>
        <w:rPr>
          <w:sz w:val="24"/>
          <w:szCs w:val="24"/>
          <w:lang w:val="en-US"/>
        </w:rPr>
      </w:pPr>
      <w:r w:rsidRPr="005C190A">
        <w:rPr>
          <w:sz w:val="24"/>
          <w:szCs w:val="24"/>
          <w:lang w:val="en-US"/>
        </w:rPr>
        <w:t xml:space="preserve">NORUZI, M.; HADIAN, P.; SOLEIMANPOUR, L.; MA'MANI, L.; SHAHBAZI, K. Hydroxyapatite nanoparticles: an alternative to conventional phosphorus fertilizers in acidic culture media. </w:t>
      </w:r>
      <w:r w:rsidRPr="005C190A">
        <w:rPr>
          <w:b/>
          <w:bCs/>
          <w:sz w:val="24"/>
          <w:szCs w:val="24"/>
          <w:lang w:val="en-US"/>
        </w:rPr>
        <w:t>Chemical and Biological Technologies in Agriculture</w:t>
      </w:r>
      <w:r w:rsidRPr="005C190A">
        <w:rPr>
          <w:sz w:val="24"/>
          <w:szCs w:val="24"/>
          <w:lang w:val="en-US"/>
        </w:rPr>
        <w:t xml:space="preserve">, v. 10, n. 71, 2023. </w:t>
      </w:r>
    </w:p>
    <w:p w14:paraId="675A83D1" w14:textId="45CF03F5" w:rsidR="007069BA" w:rsidRPr="00872742" w:rsidRDefault="007069BA" w:rsidP="005C190A">
      <w:pPr>
        <w:pStyle w:val="Corpodetexto"/>
        <w:spacing w:after="120"/>
        <w:jc w:val="both"/>
        <w:rPr>
          <w:sz w:val="24"/>
          <w:szCs w:val="24"/>
          <w:lang w:val="en-US"/>
        </w:rPr>
      </w:pPr>
    </w:p>
    <w:sectPr w:rsidR="007069BA" w:rsidRPr="00872742" w:rsidSect="008913F4">
      <w:headerReference w:type="default" r:id="rId8"/>
      <w:footerReference w:type="default" r:id="rId9"/>
      <w:type w:val="continuous"/>
      <w:pgSz w:w="11910" w:h="16840"/>
      <w:pgMar w:top="1701" w:right="1134" w:bottom="1134" w:left="1701" w:header="0" w:footer="141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7CA83A" w14:textId="77777777" w:rsidR="00CB7335" w:rsidRDefault="00CB7335">
      <w:r>
        <w:separator/>
      </w:r>
    </w:p>
  </w:endnote>
  <w:endnote w:type="continuationSeparator" w:id="0">
    <w:p w14:paraId="04F16E27" w14:textId="77777777" w:rsidR="00CB7335" w:rsidRDefault="00CB7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FE9C9" w14:textId="4EAAFBA9" w:rsidR="001C5BCC" w:rsidRDefault="001C5BCC">
    <w:pPr>
      <w:pStyle w:val="Corpodetexto"/>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E38DD6" w14:textId="77777777" w:rsidR="00CB7335" w:rsidRDefault="00CB7335">
      <w:r>
        <w:separator/>
      </w:r>
    </w:p>
  </w:footnote>
  <w:footnote w:type="continuationSeparator" w:id="0">
    <w:p w14:paraId="4E5059DF" w14:textId="77777777" w:rsidR="00CB7335" w:rsidRDefault="00CB73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835E2" w14:textId="6B9B4E0D" w:rsidR="000815CB" w:rsidRDefault="000815CB">
    <w:pPr>
      <w:pStyle w:val="Cabealho"/>
    </w:pPr>
    <w:r w:rsidRPr="005F70B0">
      <w:rPr>
        <w:noProof/>
        <w:sz w:val="24"/>
        <w:szCs w:val="24"/>
        <w:lang w:val="pt-BR" w:eastAsia="pt-BR"/>
      </w:rPr>
      <w:drawing>
        <wp:anchor distT="0" distB="0" distL="0" distR="0" simplePos="0" relativeHeight="251659264" behindDoc="0" locked="0" layoutInCell="1" allowOverlap="1" wp14:anchorId="610C0622" wp14:editId="301FEADD">
          <wp:simplePos x="0" y="0"/>
          <wp:positionH relativeFrom="page">
            <wp:posOffset>6350</wp:posOffset>
          </wp:positionH>
          <wp:positionV relativeFrom="page">
            <wp:posOffset>0</wp:posOffset>
          </wp:positionV>
          <wp:extent cx="7556500" cy="1060450"/>
          <wp:effectExtent l="0" t="0" r="6350" b="6350"/>
          <wp:wrapNone/>
          <wp:docPr id="2"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4"/>
                  <pic:cNvPicPr/>
                </pic:nvPicPr>
                <pic:blipFill>
                  <a:blip r:embed="rId1">
                    <a:extLst>
                      <a:ext uri="{28A0092B-C50C-407E-A947-70E740481C1C}">
                        <a14:useLocalDpi xmlns:a14="http://schemas.microsoft.com/office/drawing/2010/main" val="0"/>
                      </a:ext>
                    </a:extLst>
                  </a:blip>
                  <a:stretch>
                    <a:fillRect/>
                  </a:stretch>
                </pic:blipFill>
                <pic:spPr>
                  <a:xfrm>
                    <a:off x="0" y="0"/>
                    <a:ext cx="7557072" cy="1060530"/>
                  </a:xfrm>
                  <a:prstGeom prst="rect">
                    <a:avLst/>
                  </a:prstGeom>
                </pic:spPr>
              </pic:pic>
            </a:graphicData>
          </a:graphic>
          <wp14:sizeRelH relativeFrom="margin">
            <wp14:pctWidth>0</wp14:pctWidth>
          </wp14:sizeRelH>
          <wp14:sizeRelV relativeFrom="margin">
            <wp14:pctHeight>0</wp14:pctHeight>
          </wp14:sizeRelV>
        </wp:anchor>
      </w:drawing>
    </w:r>
    <w:r w:rsidR="00C44CDC">
      <w:rPr>
        <w:noProof/>
        <w:sz w:val="24"/>
        <w:szCs w:val="24"/>
        <w:lang w:val="pt-BR" w:eastAsia="pt-BR"/>
      </w:rPr>
      <w:drawing>
        <wp:inline distT="0" distB="0" distL="0" distR="0" wp14:anchorId="35FB35BF" wp14:editId="5F2A0F56">
          <wp:extent cx="5753100" cy="996950"/>
          <wp:effectExtent l="0" t="0" r="0" b="0"/>
          <wp:docPr id="58698020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53100" cy="9969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9923C4"/>
    <w:multiLevelType w:val="multilevel"/>
    <w:tmpl w:val="A432A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F43B22"/>
    <w:multiLevelType w:val="hybridMultilevel"/>
    <w:tmpl w:val="B1E8C658"/>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num w:numId="1" w16cid:durableId="2059817059">
    <w:abstractNumId w:val="0"/>
  </w:num>
  <w:num w:numId="2" w16cid:durableId="9497050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BCC"/>
    <w:rsid w:val="000449F4"/>
    <w:rsid w:val="000815CB"/>
    <w:rsid w:val="00082C34"/>
    <w:rsid w:val="000833A5"/>
    <w:rsid w:val="00083E26"/>
    <w:rsid w:val="000E0679"/>
    <w:rsid w:val="00131696"/>
    <w:rsid w:val="00157AC0"/>
    <w:rsid w:val="00182993"/>
    <w:rsid w:val="00184B82"/>
    <w:rsid w:val="001C1AE7"/>
    <w:rsid w:val="001C5BCC"/>
    <w:rsid w:val="001E3116"/>
    <w:rsid w:val="00243512"/>
    <w:rsid w:val="00283139"/>
    <w:rsid w:val="002E07B9"/>
    <w:rsid w:val="002E7B2D"/>
    <w:rsid w:val="00314935"/>
    <w:rsid w:val="00323D81"/>
    <w:rsid w:val="00336356"/>
    <w:rsid w:val="003666AB"/>
    <w:rsid w:val="0036697E"/>
    <w:rsid w:val="00370357"/>
    <w:rsid w:val="0038366C"/>
    <w:rsid w:val="00394AE1"/>
    <w:rsid w:val="00395DFF"/>
    <w:rsid w:val="004003A5"/>
    <w:rsid w:val="00447EC5"/>
    <w:rsid w:val="00464382"/>
    <w:rsid w:val="00470D81"/>
    <w:rsid w:val="004A7BB1"/>
    <w:rsid w:val="004C4ECA"/>
    <w:rsid w:val="004D0773"/>
    <w:rsid w:val="004E5337"/>
    <w:rsid w:val="004F743E"/>
    <w:rsid w:val="00516685"/>
    <w:rsid w:val="0052240B"/>
    <w:rsid w:val="005259CE"/>
    <w:rsid w:val="00536501"/>
    <w:rsid w:val="005464FC"/>
    <w:rsid w:val="00564EC9"/>
    <w:rsid w:val="005C190A"/>
    <w:rsid w:val="005E3AB3"/>
    <w:rsid w:val="005F70B0"/>
    <w:rsid w:val="00600038"/>
    <w:rsid w:val="00624629"/>
    <w:rsid w:val="00634A28"/>
    <w:rsid w:val="006769AA"/>
    <w:rsid w:val="00694319"/>
    <w:rsid w:val="006F59C4"/>
    <w:rsid w:val="006F6655"/>
    <w:rsid w:val="007032C5"/>
    <w:rsid w:val="007069BA"/>
    <w:rsid w:val="00721455"/>
    <w:rsid w:val="00731BDF"/>
    <w:rsid w:val="00733C58"/>
    <w:rsid w:val="007561D8"/>
    <w:rsid w:val="00777C35"/>
    <w:rsid w:val="00796FEC"/>
    <w:rsid w:val="007D627F"/>
    <w:rsid w:val="007F0B54"/>
    <w:rsid w:val="0083667B"/>
    <w:rsid w:val="00872742"/>
    <w:rsid w:val="008858BD"/>
    <w:rsid w:val="008913F4"/>
    <w:rsid w:val="008D2336"/>
    <w:rsid w:val="008E5E20"/>
    <w:rsid w:val="00902D42"/>
    <w:rsid w:val="00913D65"/>
    <w:rsid w:val="00931DD4"/>
    <w:rsid w:val="009462FD"/>
    <w:rsid w:val="009644EA"/>
    <w:rsid w:val="009B2283"/>
    <w:rsid w:val="009C4B75"/>
    <w:rsid w:val="009E1A80"/>
    <w:rsid w:val="009F7B05"/>
    <w:rsid w:val="00A1474F"/>
    <w:rsid w:val="00A33E6F"/>
    <w:rsid w:val="00A575C2"/>
    <w:rsid w:val="00A579B3"/>
    <w:rsid w:val="00A82D96"/>
    <w:rsid w:val="00A9742A"/>
    <w:rsid w:val="00AA1125"/>
    <w:rsid w:val="00AC4E85"/>
    <w:rsid w:val="00AD22F1"/>
    <w:rsid w:val="00AF5124"/>
    <w:rsid w:val="00B17124"/>
    <w:rsid w:val="00B44514"/>
    <w:rsid w:val="00B46BCE"/>
    <w:rsid w:val="00B84B74"/>
    <w:rsid w:val="00BC3E42"/>
    <w:rsid w:val="00BE07F9"/>
    <w:rsid w:val="00C36D35"/>
    <w:rsid w:val="00C44CDC"/>
    <w:rsid w:val="00C538C1"/>
    <w:rsid w:val="00C5560A"/>
    <w:rsid w:val="00C60F3C"/>
    <w:rsid w:val="00C6738B"/>
    <w:rsid w:val="00C77A49"/>
    <w:rsid w:val="00C91422"/>
    <w:rsid w:val="00CB422E"/>
    <w:rsid w:val="00CB7335"/>
    <w:rsid w:val="00CB7608"/>
    <w:rsid w:val="00CE7559"/>
    <w:rsid w:val="00D170DA"/>
    <w:rsid w:val="00D51D46"/>
    <w:rsid w:val="00D83C2F"/>
    <w:rsid w:val="00D866F4"/>
    <w:rsid w:val="00D94A28"/>
    <w:rsid w:val="00DB086D"/>
    <w:rsid w:val="00DB1C68"/>
    <w:rsid w:val="00E17939"/>
    <w:rsid w:val="00E3782C"/>
    <w:rsid w:val="00E714D5"/>
    <w:rsid w:val="00E870D6"/>
    <w:rsid w:val="00E93879"/>
    <w:rsid w:val="00EA25BE"/>
    <w:rsid w:val="00EB583F"/>
    <w:rsid w:val="00F00D0E"/>
    <w:rsid w:val="00F135CC"/>
    <w:rsid w:val="00F30720"/>
    <w:rsid w:val="00F53508"/>
    <w:rsid w:val="00F558F7"/>
    <w:rsid w:val="00F94710"/>
    <w:rsid w:val="00FA4990"/>
    <w:rsid w:val="00FA7997"/>
    <w:rsid w:val="00FD3FC2"/>
    <w:rsid w:val="00FE1DE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3154C0"/>
  <w15:docId w15:val="{EE0641B7-A11F-4ABD-AB45-C54940BB0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pt-PT"/>
    </w:rPr>
  </w:style>
  <w:style w:type="paragraph" w:styleId="Ttulo1">
    <w:name w:val="heading 1"/>
    <w:basedOn w:val="Normal"/>
    <w:uiPriority w:val="9"/>
    <w:qFormat/>
    <w:pPr>
      <w:outlineLvl w:val="0"/>
    </w:pPr>
    <w:rPr>
      <w:b/>
      <w:bCs/>
    </w:rPr>
  </w:style>
  <w:style w:type="paragraph" w:styleId="Ttulo4">
    <w:name w:val="heading 4"/>
    <w:basedOn w:val="Normal"/>
    <w:next w:val="Normal"/>
    <w:link w:val="Ttulo4Char"/>
    <w:uiPriority w:val="9"/>
    <w:semiHidden/>
    <w:unhideWhenUsed/>
    <w:qFormat/>
    <w:rsid w:val="004C4ECA"/>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Pr>
      <w:sz w:val="20"/>
      <w:szCs w:val="20"/>
    </w:rPr>
  </w:style>
  <w:style w:type="paragraph" w:styleId="Ttulo">
    <w:name w:val="Title"/>
    <w:basedOn w:val="Normal"/>
    <w:uiPriority w:val="10"/>
    <w:qFormat/>
    <w:pPr>
      <w:spacing w:before="367"/>
      <w:ind w:left="75" w:right="209"/>
      <w:jc w:val="center"/>
    </w:pPr>
    <w:rPr>
      <w:b/>
      <w:bCs/>
      <w:sz w:val="32"/>
      <w:szCs w:val="32"/>
    </w:rPr>
  </w:style>
  <w:style w:type="paragraph" w:styleId="PargrafodaLista">
    <w:name w:val="List Paragraph"/>
    <w:basedOn w:val="Normal"/>
    <w:uiPriority w:val="1"/>
    <w:qFormat/>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36697E"/>
    <w:pPr>
      <w:tabs>
        <w:tab w:val="center" w:pos="4252"/>
        <w:tab w:val="right" w:pos="8504"/>
      </w:tabs>
    </w:pPr>
  </w:style>
  <w:style w:type="character" w:customStyle="1" w:styleId="CabealhoChar">
    <w:name w:val="Cabeçalho Char"/>
    <w:basedOn w:val="Fontepargpadro"/>
    <w:link w:val="Cabealho"/>
    <w:uiPriority w:val="99"/>
    <w:rsid w:val="0036697E"/>
    <w:rPr>
      <w:rFonts w:ascii="Times New Roman" w:eastAsia="Times New Roman" w:hAnsi="Times New Roman" w:cs="Times New Roman"/>
      <w:lang w:val="pt-PT"/>
    </w:rPr>
  </w:style>
  <w:style w:type="paragraph" w:styleId="Rodap">
    <w:name w:val="footer"/>
    <w:basedOn w:val="Normal"/>
    <w:link w:val="RodapChar"/>
    <w:uiPriority w:val="99"/>
    <w:unhideWhenUsed/>
    <w:rsid w:val="0036697E"/>
    <w:pPr>
      <w:tabs>
        <w:tab w:val="center" w:pos="4252"/>
        <w:tab w:val="right" w:pos="8504"/>
      </w:tabs>
    </w:pPr>
  </w:style>
  <w:style w:type="character" w:customStyle="1" w:styleId="RodapChar">
    <w:name w:val="Rodapé Char"/>
    <w:basedOn w:val="Fontepargpadro"/>
    <w:link w:val="Rodap"/>
    <w:uiPriority w:val="99"/>
    <w:rsid w:val="0036697E"/>
    <w:rPr>
      <w:rFonts w:ascii="Times New Roman" w:eastAsia="Times New Roman" w:hAnsi="Times New Roman" w:cs="Times New Roman"/>
      <w:lang w:val="pt-PT"/>
    </w:rPr>
  </w:style>
  <w:style w:type="character" w:styleId="Refdecomentrio">
    <w:name w:val="annotation reference"/>
    <w:basedOn w:val="Fontepargpadro"/>
    <w:uiPriority w:val="99"/>
    <w:semiHidden/>
    <w:unhideWhenUsed/>
    <w:rsid w:val="0036697E"/>
    <w:rPr>
      <w:sz w:val="16"/>
      <w:szCs w:val="16"/>
    </w:rPr>
  </w:style>
  <w:style w:type="paragraph" w:styleId="Textodecomentrio">
    <w:name w:val="annotation text"/>
    <w:basedOn w:val="Normal"/>
    <w:link w:val="TextodecomentrioChar"/>
    <w:uiPriority w:val="99"/>
    <w:unhideWhenUsed/>
    <w:rsid w:val="0036697E"/>
    <w:rPr>
      <w:sz w:val="20"/>
      <w:szCs w:val="20"/>
    </w:rPr>
  </w:style>
  <w:style w:type="character" w:customStyle="1" w:styleId="TextodecomentrioChar">
    <w:name w:val="Texto de comentário Char"/>
    <w:basedOn w:val="Fontepargpadro"/>
    <w:link w:val="Textodecomentrio"/>
    <w:uiPriority w:val="99"/>
    <w:rsid w:val="0036697E"/>
    <w:rPr>
      <w:rFonts w:ascii="Times New Roman" w:eastAsia="Times New Roman" w:hAnsi="Times New Roman" w:cs="Times New Roman"/>
      <w:sz w:val="20"/>
      <w:szCs w:val="20"/>
      <w:lang w:val="pt-PT"/>
    </w:rPr>
  </w:style>
  <w:style w:type="paragraph" w:styleId="Assuntodocomentrio">
    <w:name w:val="annotation subject"/>
    <w:basedOn w:val="Textodecomentrio"/>
    <w:next w:val="Textodecomentrio"/>
    <w:link w:val="AssuntodocomentrioChar"/>
    <w:uiPriority w:val="99"/>
    <w:semiHidden/>
    <w:unhideWhenUsed/>
    <w:rsid w:val="0036697E"/>
    <w:rPr>
      <w:b/>
      <w:bCs/>
    </w:rPr>
  </w:style>
  <w:style w:type="character" w:customStyle="1" w:styleId="AssuntodocomentrioChar">
    <w:name w:val="Assunto do comentário Char"/>
    <w:basedOn w:val="TextodecomentrioChar"/>
    <w:link w:val="Assuntodocomentrio"/>
    <w:uiPriority w:val="99"/>
    <w:semiHidden/>
    <w:rsid w:val="0036697E"/>
    <w:rPr>
      <w:rFonts w:ascii="Times New Roman" w:eastAsia="Times New Roman" w:hAnsi="Times New Roman" w:cs="Times New Roman"/>
      <w:b/>
      <w:bCs/>
      <w:sz w:val="20"/>
      <w:szCs w:val="20"/>
      <w:lang w:val="pt-PT"/>
    </w:rPr>
  </w:style>
  <w:style w:type="character" w:styleId="Hyperlink">
    <w:name w:val="Hyperlink"/>
    <w:basedOn w:val="Fontepargpadro"/>
    <w:uiPriority w:val="99"/>
    <w:unhideWhenUsed/>
    <w:rsid w:val="009F7B05"/>
    <w:rPr>
      <w:color w:val="0000FF" w:themeColor="hyperlink"/>
      <w:u w:val="single"/>
    </w:rPr>
  </w:style>
  <w:style w:type="character" w:styleId="MenoPendente">
    <w:name w:val="Unresolved Mention"/>
    <w:basedOn w:val="Fontepargpadro"/>
    <w:uiPriority w:val="99"/>
    <w:semiHidden/>
    <w:unhideWhenUsed/>
    <w:rsid w:val="009F7B05"/>
    <w:rPr>
      <w:color w:val="605E5C"/>
      <w:shd w:val="clear" w:color="auto" w:fill="E1DFDD"/>
    </w:rPr>
  </w:style>
  <w:style w:type="character" w:customStyle="1" w:styleId="Ttulo4Char">
    <w:name w:val="Título 4 Char"/>
    <w:basedOn w:val="Fontepargpadro"/>
    <w:link w:val="Ttulo4"/>
    <w:uiPriority w:val="9"/>
    <w:semiHidden/>
    <w:rsid w:val="004C4ECA"/>
    <w:rPr>
      <w:rFonts w:asciiTheme="majorHAnsi" w:eastAsiaTheme="majorEastAsia" w:hAnsiTheme="majorHAnsi" w:cstheme="majorBidi"/>
      <w:i/>
      <w:iCs/>
      <w:color w:val="365F91" w:themeColor="accent1" w:themeShade="BF"/>
      <w:lang w:val="pt-PT"/>
    </w:rPr>
  </w:style>
  <w:style w:type="paragraph" w:styleId="NormalWeb">
    <w:name w:val="Normal (Web)"/>
    <w:basedOn w:val="Normal"/>
    <w:uiPriority w:val="99"/>
    <w:semiHidden/>
    <w:unhideWhenUsed/>
    <w:rsid w:val="00083E26"/>
    <w:pPr>
      <w:widowControl/>
      <w:autoSpaceDE/>
      <w:autoSpaceDN/>
      <w:spacing w:before="100" w:beforeAutospacing="1" w:after="100" w:afterAutospacing="1"/>
    </w:pPr>
    <w:rPr>
      <w:sz w:val="24"/>
      <w:szCs w:val="24"/>
      <w:lang w:val="pt-BR" w:eastAsia="pt-BR"/>
    </w:rPr>
  </w:style>
  <w:style w:type="character" w:customStyle="1" w:styleId="CorpodetextoChar">
    <w:name w:val="Corpo de texto Char"/>
    <w:basedOn w:val="Fontepargpadro"/>
    <w:link w:val="Corpodetexto"/>
    <w:uiPriority w:val="1"/>
    <w:rsid w:val="00872742"/>
    <w:rPr>
      <w:rFonts w:ascii="Times New Roman" w:eastAsia="Times New Roman" w:hAnsi="Times New Roman" w:cs="Times New Roman"/>
      <w:sz w:val="20"/>
      <w:szCs w:val="20"/>
      <w:lang w:val="pt-PT"/>
    </w:rPr>
  </w:style>
  <w:style w:type="paragraph" w:styleId="Reviso">
    <w:name w:val="Revision"/>
    <w:hidden/>
    <w:uiPriority w:val="99"/>
    <w:semiHidden/>
    <w:rsid w:val="006F6655"/>
    <w:pPr>
      <w:widowControl/>
      <w:autoSpaceDE/>
      <w:autoSpaceDN/>
    </w:pPr>
    <w:rPr>
      <w:rFonts w:ascii="Times New Roman" w:eastAsia="Times New Roman" w:hAnsi="Times New Roman" w:cs="Times New Roman"/>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6128">
      <w:bodyDiv w:val="1"/>
      <w:marLeft w:val="0"/>
      <w:marRight w:val="0"/>
      <w:marTop w:val="0"/>
      <w:marBottom w:val="0"/>
      <w:divBdr>
        <w:top w:val="none" w:sz="0" w:space="0" w:color="auto"/>
        <w:left w:val="none" w:sz="0" w:space="0" w:color="auto"/>
        <w:bottom w:val="none" w:sz="0" w:space="0" w:color="auto"/>
        <w:right w:val="none" w:sz="0" w:space="0" w:color="auto"/>
      </w:divBdr>
    </w:div>
    <w:div w:id="27798577">
      <w:bodyDiv w:val="1"/>
      <w:marLeft w:val="0"/>
      <w:marRight w:val="0"/>
      <w:marTop w:val="0"/>
      <w:marBottom w:val="0"/>
      <w:divBdr>
        <w:top w:val="none" w:sz="0" w:space="0" w:color="auto"/>
        <w:left w:val="none" w:sz="0" w:space="0" w:color="auto"/>
        <w:bottom w:val="none" w:sz="0" w:space="0" w:color="auto"/>
        <w:right w:val="none" w:sz="0" w:space="0" w:color="auto"/>
      </w:divBdr>
    </w:div>
    <w:div w:id="33628353">
      <w:bodyDiv w:val="1"/>
      <w:marLeft w:val="0"/>
      <w:marRight w:val="0"/>
      <w:marTop w:val="0"/>
      <w:marBottom w:val="0"/>
      <w:divBdr>
        <w:top w:val="none" w:sz="0" w:space="0" w:color="auto"/>
        <w:left w:val="none" w:sz="0" w:space="0" w:color="auto"/>
        <w:bottom w:val="none" w:sz="0" w:space="0" w:color="auto"/>
        <w:right w:val="none" w:sz="0" w:space="0" w:color="auto"/>
      </w:divBdr>
    </w:div>
    <w:div w:id="196700174">
      <w:bodyDiv w:val="1"/>
      <w:marLeft w:val="0"/>
      <w:marRight w:val="0"/>
      <w:marTop w:val="0"/>
      <w:marBottom w:val="0"/>
      <w:divBdr>
        <w:top w:val="none" w:sz="0" w:space="0" w:color="auto"/>
        <w:left w:val="none" w:sz="0" w:space="0" w:color="auto"/>
        <w:bottom w:val="none" w:sz="0" w:space="0" w:color="auto"/>
        <w:right w:val="none" w:sz="0" w:space="0" w:color="auto"/>
      </w:divBdr>
    </w:div>
    <w:div w:id="750470863">
      <w:bodyDiv w:val="1"/>
      <w:marLeft w:val="0"/>
      <w:marRight w:val="0"/>
      <w:marTop w:val="0"/>
      <w:marBottom w:val="0"/>
      <w:divBdr>
        <w:top w:val="none" w:sz="0" w:space="0" w:color="auto"/>
        <w:left w:val="none" w:sz="0" w:space="0" w:color="auto"/>
        <w:bottom w:val="none" w:sz="0" w:space="0" w:color="auto"/>
        <w:right w:val="none" w:sz="0" w:space="0" w:color="auto"/>
      </w:divBdr>
    </w:div>
    <w:div w:id="789671089">
      <w:bodyDiv w:val="1"/>
      <w:marLeft w:val="0"/>
      <w:marRight w:val="0"/>
      <w:marTop w:val="0"/>
      <w:marBottom w:val="0"/>
      <w:divBdr>
        <w:top w:val="none" w:sz="0" w:space="0" w:color="auto"/>
        <w:left w:val="none" w:sz="0" w:space="0" w:color="auto"/>
        <w:bottom w:val="none" w:sz="0" w:space="0" w:color="auto"/>
        <w:right w:val="none" w:sz="0" w:space="0" w:color="auto"/>
      </w:divBdr>
    </w:div>
    <w:div w:id="971058929">
      <w:bodyDiv w:val="1"/>
      <w:marLeft w:val="0"/>
      <w:marRight w:val="0"/>
      <w:marTop w:val="0"/>
      <w:marBottom w:val="0"/>
      <w:divBdr>
        <w:top w:val="none" w:sz="0" w:space="0" w:color="auto"/>
        <w:left w:val="none" w:sz="0" w:space="0" w:color="auto"/>
        <w:bottom w:val="none" w:sz="0" w:space="0" w:color="auto"/>
        <w:right w:val="none" w:sz="0" w:space="0" w:color="auto"/>
      </w:divBdr>
    </w:div>
    <w:div w:id="983504686">
      <w:bodyDiv w:val="1"/>
      <w:marLeft w:val="0"/>
      <w:marRight w:val="0"/>
      <w:marTop w:val="0"/>
      <w:marBottom w:val="0"/>
      <w:divBdr>
        <w:top w:val="none" w:sz="0" w:space="0" w:color="auto"/>
        <w:left w:val="none" w:sz="0" w:space="0" w:color="auto"/>
        <w:bottom w:val="none" w:sz="0" w:space="0" w:color="auto"/>
        <w:right w:val="none" w:sz="0" w:space="0" w:color="auto"/>
      </w:divBdr>
    </w:div>
    <w:div w:id="986906994">
      <w:bodyDiv w:val="1"/>
      <w:marLeft w:val="0"/>
      <w:marRight w:val="0"/>
      <w:marTop w:val="0"/>
      <w:marBottom w:val="0"/>
      <w:divBdr>
        <w:top w:val="none" w:sz="0" w:space="0" w:color="auto"/>
        <w:left w:val="none" w:sz="0" w:space="0" w:color="auto"/>
        <w:bottom w:val="none" w:sz="0" w:space="0" w:color="auto"/>
        <w:right w:val="none" w:sz="0" w:space="0" w:color="auto"/>
      </w:divBdr>
    </w:div>
    <w:div w:id="1044715327">
      <w:bodyDiv w:val="1"/>
      <w:marLeft w:val="0"/>
      <w:marRight w:val="0"/>
      <w:marTop w:val="0"/>
      <w:marBottom w:val="0"/>
      <w:divBdr>
        <w:top w:val="none" w:sz="0" w:space="0" w:color="auto"/>
        <w:left w:val="none" w:sz="0" w:space="0" w:color="auto"/>
        <w:bottom w:val="none" w:sz="0" w:space="0" w:color="auto"/>
        <w:right w:val="none" w:sz="0" w:space="0" w:color="auto"/>
      </w:divBdr>
    </w:div>
    <w:div w:id="1302811750">
      <w:bodyDiv w:val="1"/>
      <w:marLeft w:val="0"/>
      <w:marRight w:val="0"/>
      <w:marTop w:val="0"/>
      <w:marBottom w:val="0"/>
      <w:divBdr>
        <w:top w:val="none" w:sz="0" w:space="0" w:color="auto"/>
        <w:left w:val="none" w:sz="0" w:space="0" w:color="auto"/>
        <w:bottom w:val="none" w:sz="0" w:space="0" w:color="auto"/>
        <w:right w:val="none" w:sz="0" w:space="0" w:color="auto"/>
      </w:divBdr>
    </w:div>
    <w:div w:id="1375618789">
      <w:bodyDiv w:val="1"/>
      <w:marLeft w:val="0"/>
      <w:marRight w:val="0"/>
      <w:marTop w:val="0"/>
      <w:marBottom w:val="0"/>
      <w:divBdr>
        <w:top w:val="none" w:sz="0" w:space="0" w:color="auto"/>
        <w:left w:val="none" w:sz="0" w:space="0" w:color="auto"/>
        <w:bottom w:val="none" w:sz="0" w:space="0" w:color="auto"/>
        <w:right w:val="none" w:sz="0" w:space="0" w:color="auto"/>
      </w:divBdr>
    </w:div>
    <w:div w:id="1459639367">
      <w:bodyDiv w:val="1"/>
      <w:marLeft w:val="0"/>
      <w:marRight w:val="0"/>
      <w:marTop w:val="0"/>
      <w:marBottom w:val="0"/>
      <w:divBdr>
        <w:top w:val="none" w:sz="0" w:space="0" w:color="auto"/>
        <w:left w:val="none" w:sz="0" w:space="0" w:color="auto"/>
        <w:bottom w:val="none" w:sz="0" w:space="0" w:color="auto"/>
        <w:right w:val="none" w:sz="0" w:space="0" w:color="auto"/>
      </w:divBdr>
    </w:div>
    <w:div w:id="1503348145">
      <w:bodyDiv w:val="1"/>
      <w:marLeft w:val="0"/>
      <w:marRight w:val="0"/>
      <w:marTop w:val="0"/>
      <w:marBottom w:val="0"/>
      <w:divBdr>
        <w:top w:val="none" w:sz="0" w:space="0" w:color="auto"/>
        <w:left w:val="none" w:sz="0" w:space="0" w:color="auto"/>
        <w:bottom w:val="none" w:sz="0" w:space="0" w:color="auto"/>
        <w:right w:val="none" w:sz="0" w:space="0" w:color="auto"/>
      </w:divBdr>
    </w:div>
    <w:div w:id="1619945959">
      <w:bodyDiv w:val="1"/>
      <w:marLeft w:val="0"/>
      <w:marRight w:val="0"/>
      <w:marTop w:val="0"/>
      <w:marBottom w:val="0"/>
      <w:divBdr>
        <w:top w:val="none" w:sz="0" w:space="0" w:color="auto"/>
        <w:left w:val="none" w:sz="0" w:space="0" w:color="auto"/>
        <w:bottom w:val="none" w:sz="0" w:space="0" w:color="auto"/>
        <w:right w:val="none" w:sz="0" w:space="0" w:color="auto"/>
      </w:divBdr>
    </w:div>
    <w:div w:id="1671366925">
      <w:bodyDiv w:val="1"/>
      <w:marLeft w:val="0"/>
      <w:marRight w:val="0"/>
      <w:marTop w:val="0"/>
      <w:marBottom w:val="0"/>
      <w:divBdr>
        <w:top w:val="none" w:sz="0" w:space="0" w:color="auto"/>
        <w:left w:val="none" w:sz="0" w:space="0" w:color="auto"/>
        <w:bottom w:val="none" w:sz="0" w:space="0" w:color="auto"/>
        <w:right w:val="none" w:sz="0" w:space="0" w:color="auto"/>
      </w:divBdr>
    </w:div>
    <w:div w:id="1714771586">
      <w:bodyDiv w:val="1"/>
      <w:marLeft w:val="0"/>
      <w:marRight w:val="0"/>
      <w:marTop w:val="0"/>
      <w:marBottom w:val="0"/>
      <w:divBdr>
        <w:top w:val="none" w:sz="0" w:space="0" w:color="auto"/>
        <w:left w:val="none" w:sz="0" w:space="0" w:color="auto"/>
        <w:bottom w:val="none" w:sz="0" w:space="0" w:color="auto"/>
        <w:right w:val="none" w:sz="0" w:space="0" w:color="auto"/>
      </w:divBdr>
    </w:div>
    <w:div w:id="1900480459">
      <w:bodyDiv w:val="1"/>
      <w:marLeft w:val="0"/>
      <w:marRight w:val="0"/>
      <w:marTop w:val="0"/>
      <w:marBottom w:val="0"/>
      <w:divBdr>
        <w:top w:val="none" w:sz="0" w:space="0" w:color="auto"/>
        <w:left w:val="none" w:sz="0" w:space="0" w:color="auto"/>
        <w:bottom w:val="none" w:sz="0" w:space="0" w:color="auto"/>
        <w:right w:val="none" w:sz="0" w:space="0" w:color="auto"/>
      </w:divBdr>
    </w:div>
    <w:div w:id="20689136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E7ED9C-F9FC-4257-A869-D79A9508E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2243</Words>
  <Characters>12115</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Assistência 5 | Ecoltec</dc:creator>
  <cp:lastModifiedBy>Assistência 5 | Ecoltec</cp:lastModifiedBy>
  <cp:revision>3</cp:revision>
  <dcterms:created xsi:type="dcterms:W3CDTF">2026-07-21T12:04:00Z</dcterms:created>
  <dcterms:modified xsi:type="dcterms:W3CDTF">2026-07-21T12:05:00Z</dcterms:modified>
</cp:coreProperties>
</file>