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C5D70" w14:textId="77777777" w:rsidR="004D4B01" w:rsidRDefault="00000000">
      <w:pPr>
        <w:keepLines/>
        <w:spacing w:after="120"/>
        <w:jc w:val="center"/>
      </w:pPr>
      <w:r>
        <w:rPr>
          <w:b/>
          <w:sz w:val="32"/>
        </w:rPr>
        <w:t>INTELIGÊNCIA ARTIFICIAL E EDUCAÇÃO AMBIENTAL PARA RESILIÊNCIA CLIMÁTICA EM ESCOLAS</w:t>
      </w:r>
    </w:p>
    <w:p w14:paraId="2AD96443" w14:textId="77777777" w:rsidR="004D4B01" w:rsidRDefault="00000000">
      <w:pPr>
        <w:jc w:val="center"/>
      </w:pPr>
      <w:r>
        <w:rPr>
          <w:b/>
        </w:rPr>
        <w:t>¹João Paulo Antunes</w:t>
      </w:r>
    </w:p>
    <w:p w14:paraId="70E81842" w14:textId="77777777" w:rsidR="004D4B01" w:rsidRDefault="00000000">
      <w:pPr>
        <w:jc w:val="center"/>
      </w:pPr>
      <w:r>
        <w:rPr>
          <w:i/>
        </w:rPr>
        <w:t>¹Universidade Estadual de Minas Gerais, e-mail: jotape.antunes@gmail.com</w:t>
      </w:r>
    </w:p>
    <w:p w14:paraId="12F7857B" w14:textId="77777777" w:rsidR="004D4B01" w:rsidRDefault="004D4B01"/>
    <w:p w14:paraId="3CC86992" w14:textId="77777777" w:rsidR="004D4B01" w:rsidRDefault="00000000">
      <w:pPr>
        <w:spacing w:line="360" w:lineRule="auto"/>
      </w:pPr>
      <w:r>
        <w:t>Grupo 3: Educação Ambiental e Saúde</w:t>
      </w:r>
    </w:p>
    <w:p w14:paraId="6F86CE1E" w14:textId="77777777" w:rsidR="004D4B01" w:rsidRDefault="00000000">
      <w:pPr>
        <w:spacing w:line="360" w:lineRule="auto"/>
      </w:pPr>
      <w:r>
        <w:t>Eixo: Inteligência Artificial e suas aplicabilidades em educação para resiliência climática.</w:t>
      </w:r>
    </w:p>
    <w:p w14:paraId="219E4B10" w14:textId="77777777" w:rsidR="004D4B01" w:rsidRDefault="00000000">
      <w:pPr>
        <w:keepNext/>
        <w:spacing w:before="120" w:line="360" w:lineRule="auto"/>
      </w:pPr>
      <w:r>
        <w:rPr>
          <w:b/>
          <w:sz w:val="28"/>
        </w:rPr>
        <w:t>Resumo</w:t>
      </w:r>
    </w:p>
    <w:p w14:paraId="50B26985" w14:textId="77777777" w:rsidR="004D4B01" w:rsidRDefault="00000000">
      <w:pPr>
        <w:spacing w:line="360" w:lineRule="auto"/>
        <w:jc w:val="both"/>
      </w:pPr>
      <w:r>
        <w:t>A crise climática exige educação capaz de transformar informação científica em decisões, participação e prevenção de riscos. Este estudo sistematizou usos responsáveis da inteligência artificial (IA) em projetos escolares de educação ambiental para resiliência climática. De abordagem qualitativa, bibliográfica e documental, realizou revisão narrativa, em julho de 2026, de oito artigos recentes e seis documentos normativos ou institucionais. A síntese temática comparou aplicações, evidências, riscos e condições de uso, resultando em matriz com cinco etapas: diagnóstico local, investigação, comunicação, intervenção e avaliação participativa. Os estudos apontam benefícios à aprendizagem, ao pensamento crítico, à consciência ambiental e ao engajamento, mas também erros factuais, confiança excessiva, dependência e desigualdade de acesso. Embora conceitual e ainda não validada em escolas, a matriz indica que a IA pode apoiar leitura de dados, comunicação e acompanhamento de ações quando subordinada à mediação docente, à verificação de fontes, à inclusão digital e à proteção de dados.</w:t>
      </w:r>
    </w:p>
    <w:p w14:paraId="678702CF" w14:textId="77777777" w:rsidR="004D4B01" w:rsidRDefault="00000000">
      <w:pPr>
        <w:spacing w:line="360" w:lineRule="auto"/>
        <w:jc w:val="both"/>
      </w:pPr>
      <w:r>
        <w:rPr>
          <w:b/>
        </w:rPr>
        <w:t xml:space="preserve">Palavras-chave: </w:t>
      </w:r>
      <w:r>
        <w:t>Educação ambiental. Inteligência artificial. Resiliência climática. Escola. Tecnologia.</w:t>
      </w:r>
    </w:p>
    <w:p w14:paraId="4183A3D4" w14:textId="77777777" w:rsidR="004D4B01" w:rsidRDefault="00000000">
      <w:pPr>
        <w:keepNext/>
        <w:spacing w:before="120" w:line="360" w:lineRule="auto"/>
      </w:pPr>
      <w:r>
        <w:rPr>
          <w:b/>
          <w:sz w:val="28"/>
        </w:rPr>
        <w:t>Introdução</w:t>
      </w:r>
    </w:p>
    <w:p w14:paraId="7230D3AE" w14:textId="77777777" w:rsidR="004D4B01" w:rsidRDefault="00000000">
      <w:pPr>
        <w:spacing w:line="360" w:lineRule="auto"/>
        <w:ind w:firstLine="708"/>
        <w:jc w:val="both"/>
      </w:pPr>
      <w:r>
        <w:t>As mudanças climáticas ampliam riscos socioambientais, danos à saúde, perdas econômicas e desigualdades territoriais. O IPCC associa a adaptação à governança, ao conhecimento científico e à participação social (IPCC, 2023). Nesse processo, a escola aproxima ciência, juventudes, famílias e território, convertendo riscos locais em investigação e ação coletiva.</w:t>
      </w:r>
    </w:p>
    <w:p w14:paraId="5635A7FB" w14:textId="77777777" w:rsidR="004D4B01" w:rsidRDefault="00000000">
      <w:pPr>
        <w:spacing w:line="360" w:lineRule="auto"/>
        <w:ind w:firstLine="708"/>
        <w:jc w:val="both"/>
      </w:pPr>
      <w:r>
        <w:t xml:space="preserve">No Brasil, a Lei nº 9.795/1999 e as Diretrizes Curriculares Nacionais orientam uma educação ambiental crítica, permanente e integrada aos projetos pedagógicos (Brasil, 1999; Brasil, 2012). A Lei nº 14.926/2024 acrescentou mudanças climáticas, biodiversidade e riscos de desastres à Política Nacional de Educação Ambiental, aproximando o currículo das </w:t>
      </w:r>
      <w:r>
        <w:lastRenderedPageBreak/>
        <w:t>necessidades territoriais de prevenção, mitigação e adaptação (Brasil, 2024).</w:t>
      </w:r>
    </w:p>
    <w:p w14:paraId="637A2611" w14:textId="77777777" w:rsidR="004D4B01" w:rsidRDefault="00000000">
      <w:pPr>
        <w:spacing w:line="360" w:lineRule="auto"/>
        <w:ind w:firstLine="708"/>
        <w:jc w:val="both"/>
      </w:pPr>
      <w:r>
        <w:t>A IA passou a integrar esse debate por meio de assistentes de linguagem, análise de dados, mapas e produção multimodal. Estudantes reconhecem apoio à escrita, à organização e à personalização, mas apontam riscos de imprecisão, privacidade e ética (Chan; Hu, 2023). Como também pode reproduzir vieses, inventar conteúdos e estimular confiança excessiva, seu valor depende do desenho pedagógico e da mediação docente.</w:t>
      </w:r>
    </w:p>
    <w:p w14:paraId="60134ADE" w14:textId="77777777" w:rsidR="004D4B01" w:rsidRDefault="00000000">
      <w:pPr>
        <w:spacing w:line="360" w:lineRule="auto"/>
        <w:ind w:firstLine="708"/>
        <w:jc w:val="both"/>
      </w:pPr>
      <w:r>
        <w:t>O problema de pesquisa consiste em compreender como a IA pode apoiar projetos escolares de educação ambiental para resiliência climática sem reduzir as dimensões ética, política e territorial do tema. A expansão dos sistemas generativos torna urgente orientar as escolas sobre finalidades, limites e salvaguardas de uso.</w:t>
      </w:r>
    </w:p>
    <w:p w14:paraId="5F2C07AE" w14:textId="77777777" w:rsidR="004D4B01" w:rsidRDefault="00000000">
      <w:pPr>
        <w:spacing w:line="360" w:lineRule="auto"/>
        <w:ind w:firstLine="708"/>
        <w:jc w:val="both"/>
      </w:pPr>
      <w:r>
        <w:t>A pesquisa analisa possibilidades de uso responsável da IA e propõe uma matriz pedagógica aplicável a diferentes contextos, articulando tarefas escolares, evidências recentes e critérios de validação, autoria, inclusão e proteção de dados.</w:t>
      </w:r>
    </w:p>
    <w:p w14:paraId="372F80AB" w14:textId="77777777" w:rsidR="004D4B01" w:rsidRDefault="00000000">
      <w:pPr>
        <w:keepNext/>
        <w:spacing w:before="120" w:line="360" w:lineRule="auto"/>
      </w:pPr>
      <w:r>
        <w:rPr>
          <w:b/>
          <w:sz w:val="28"/>
        </w:rPr>
        <w:t>Metodologia</w:t>
      </w:r>
    </w:p>
    <w:p w14:paraId="3467ED86" w14:textId="77777777" w:rsidR="004D4B01" w:rsidRDefault="00000000">
      <w:pPr>
        <w:spacing w:line="360" w:lineRule="auto"/>
        <w:ind w:firstLine="708"/>
        <w:jc w:val="both"/>
      </w:pPr>
      <w:r>
        <w:t>A investigação é qualitativa, bibliográfica, documental, exploratória e propositiva. Adotou-se revisão narrativa de escopo delimitado para articular literatura educacional, estudos empíricos e normas, sem pretensão de exaustividade ou metanálise. As publicações científicas abrangeram 2018 a 2026, com prioridade para 2023-2026; marcos legais anteriores foram mantidos por sua relevância à política brasileira de educação ambiental.</w:t>
      </w:r>
    </w:p>
    <w:p w14:paraId="120FF983" w14:textId="77777777" w:rsidR="004D4B01" w:rsidRDefault="00000000">
      <w:pPr>
        <w:spacing w:line="360" w:lineRule="auto"/>
        <w:ind w:firstLine="708"/>
        <w:jc w:val="both"/>
      </w:pPr>
      <w:r>
        <w:t>As buscas ocorreram em julho de 2026 nos portais SpringerLink, ScienceDirect e Nature, nas bases PubMed e Korea Citation Index e em repositórios do Planalto, MEC/CNE, UNESCO, IPCC e Programa das Nações Unidas para o Meio Ambiente. Combinaram-se, com AND e OR, descritores em português e inglês relativos a inteligência artificial, IA generativa, ChatGPT, educação, escola, aprendizagem, educação ambiental, mudanças climáticas e resiliência climática.</w:t>
      </w:r>
    </w:p>
    <w:p w14:paraId="09E3C32D" w14:textId="77777777" w:rsidR="004D4B01" w:rsidRDefault="00000000">
      <w:pPr>
        <w:spacing w:line="360" w:lineRule="auto"/>
        <w:ind w:firstLine="708"/>
        <w:jc w:val="both"/>
      </w:pPr>
      <w:r>
        <w:t>Incluíram-se artigos revisados por pares, em português ou inglês, com aplicações educacionais da IA, resultados sobre aprendizagem ou percepção discente, ou relação direta com educação ambiental e ação climática, além de normas e relatórios pertinentes. Excluíram-se duplicatas, editoriais, opiniões, estudos apenas computacionais e trabalhos sem dados metodológicos suficientes. A triagem envolveu títulos e resumos, seguida da consulta aos textos ou às seções de métodos e resultados.</w:t>
      </w:r>
    </w:p>
    <w:p w14:paraId="01C34BC0" w14:textId="77777777" w:rsidR="004D4B01" w:rsidRDefault="00000000">
      <w:pPr>
        <w:spacing w:line="360" w:lineRule="auto"/>
        <w:ind w:firstLine="708"/>
        <w:jc w:val="both"/>
      </w:pPr>
      <w:r>
        <w:t xml:space="preserve">O corpus reuniu 14 documentos: oito artigos e seis fontes normativas ou institucionais. </w:t>
      </w:r>
      <w:r>
        <w:lastRenderedPageBreak/>
        <w:t>Cada item foi fichado por autoria, ano, contexto, participantes ou documentos, função da IA, resultado, risco e condição de uso. A comparação gerou quatro eixos: educação ambiental e resiliência; aplicações pedagógicas; evidências de aprendizagem e engajamento; e critérios éticos, inclusivos e institucionais.</w:t>
      </w:r>
    </w:p>
    <w:p w14:paraId="3C3DB348" w14:textId="77777777" w:rsidR="004D4B01" w:rsidRDefault="00000000">
      <w:pPr>
        <w:spacing w:line="360" w:lineRule="auto"/>
        <w:ind w:firstLine="708"/>
        <w:jc w:val="both"/>
      </w:pPr>
      <w:r>
        <w:t>A matriz combinou procedimento dedutivo, baseado nas etapas de diagnóstico, investigação, comunicação, intervenção e avaliação, e procedimento indutivo, apoiado em funções e cautelas recorrentes no corpus. Para cada etapa definiram-se uso possível da IA, produto pedagógico e cuidado necessário. Trata-se de proposta conceitual, ainda não validada em sala de aula.</w:t>
      </w:r>
    </w:p>
    <w:p w14:paraId="2613A348" w14:textId="77777777" w:rsidR="004D4B01" w:rsidRDefault="00000000">
      <w:pPr>
        <w:spacing w:line="360" w:lineRule="auto"/>
        <w:ind w:firstLine="708"/>
        <w:jc w:val="both"/>
      </w:pPr>
      <w:r>
        <w:t>Não houve coleta com seres humanos nem tratamento de dados pessoais; por isso, não foi necessária submissão ao Comitê de Ética em Pesquisa. A ausência de aplicação empírica foi assumida como limite metodológico.</w:t>
      </w:r>
    </w:p>
    <w:p w14:paraId="5A6BCEA1" w14:textId="77777777" w:rsidR="004D4B01" w:rsidRDefault="00000000">
      <w:pPr>
        <w:keepNext/>
        <w:spacing w:before="120" w:line="360" w:lineRule="auto"/>
      </w:pPr>
      <w:r>
        <w:rPr>
          <w:b/>
          <w:sz w:val="28"/>
        </w:rPr>
        <w:t>Resultados e Discussão</w:t>
      </w:r>
    </w:p>
    <w:p w14:paraId="74E2EFA5" w14:textId="77777777" w:rsidR="004D4B01" w:rsidRDefault="00000000">
      <w:pPr>
        <w:spacing w:line="360" w:lineRule="auto"/>
        <w:ind w:firstLine="708"/>
        <w:jc w:val="both"/>
      </w:pPr>
      <w:r>
        <w:t>A síntese organizou o uso da IA em cinco etapas conectadas: diagnóstico climático local, investigação orientada, comunicação pública, intervenção e avaliação participativa. A sequência integra conhecimento e ação, delimitando tarefas tecnológicas enquanto professores e estudantes decidem perguntas, fontes, interpretações e prioridades territoriais.</w:t>
      </w:r>
    </w:p>
    <w:p w14:paraId="41108221" w14:textId="77777777" w:rsidR="004D4B01" w:rsidRDefault="00000000">
      <w:pPr>
        <w:spacing w:line="360" w:lineRule="auto"/>
        <w:ind w:firstLine="708"/>
        <w:jc w:val="both"/>
      </w:pPr>
      <w:r>
        <w:t>No diagnóstico, a IA pode organizar séries históricas, mapas de risco, precipitação, ilhas de calor e indicadores socioambientais, sempre confrontados com fontes oficiais. Ding et al. (2023) analisaram 362 respostas do ChatGPT em Física e encontraram 85% de acerto, mas observaram confiança discente mesmo diante de erros. Assim, projetos climáticos devem registrar a origem dos dados e verificar interpretações automatizadas antes de produzir mapas ou painéis.</w:t>
      </w:r>
    </w:p>
    <w:p w14:paraId="315D0920" w14:textId="77777777" w:rsidR="004D4B01" w:rsidRDefault="00000000">
      <w:pPr>
        <w:spacing w:line="360" w:lineRule="auto"/>
        <w:ind w:firstLine="708"/>
        <w:jc w:val="both"/>
      </w:pPr>
      <w:r>
        <w:t>Na investigação, a tecnologia pode apoiar perguntas, roteiros de observação e comparação de hipóteses. Essel et al. (2024), com 125 universitários, identificaram efeitos positivos do uso planejado do ChatGPT sobre pensamentos crítico, criativo e reflexivo. Kestin et al. (2025), em ensaio randomizado, verificaram maior aprendizagem com tutor de IA estruturado por objetivos e andaimes pedagógicos, indicando que o benefício depende da atividade, não da mera disponibilidade da ferramenta.</w:t>
      </w:r>
    </w:p>
    <w:p w14:paraId="5933E1FF" w14:textId="77777777" w:rsidR="004D4B01" w:rsidRDefault="00000000">
      <w:pPr>
        <w:spacing w:line="360" w:lineRule="auto"/>
        <w:ind w:firstLine="708"/>
        <w:jc w:val="both"/>
      </w:pPr>
      <w:r>
        <w:t xml:space="preserve">Na comunicação pública, a IA pode auxiliar cartazes, roteiros, relatórios simples e materiais acessíveis. Chan e Hu (2023), com 399 estudantes, registraram aceitação do apoio personalizado e preocupações com precisão, privacidade e ética. Todo material requer revisão </w:t>
      </w:r>
      <w:r>
        <w:lastRenderedPageBreak/>
        <w:t>científica e editorial, indicação de fontes, autoria discente e linguagem adequada, pois a educação para o desenvolvimento sustentável deve mobilizar sem alarmismo nem simplificação (UNESCO, 2020).</w:t>
      </w:r>
    </w:p>
    <w:p w14:paraId="3671D784" w14:textId="77777777" w:rsidR="004D4B01" w:rsidRDefault="00000000">
      <w:pPr>
        <w:spacing w:line="360" w:lineRule="auto"/>
        <w:ind w:firstLine="708"/>
        <w:jc w:val="both"/>
      </w:pPr>
      <w:r>
        <w:t>Na intervenção, o diagnóstico se converte em ações verificáveis, como sombreamento, economia de água, redução de resíduos, prevenção de queimadas e resposta a eventos extremos. Cao e Jian (2024) observaram, em experiência semestral com IA e realidade virtual, aumento de conhecimento, consciência e ativismo ambiental. Na educação básica, Moon e Park (2024) aplicaram por três semanas um programa de IA em ecologia com nove estudantes do quinto ano e registraram avanços na compreensão tecnológica, sensibilidade ecológica e percepção de problemas ambientais.</w:t>
      </w:r>
    </w:p>
    <w:p w14:paraId="4865C1AA" w14:textId="77777777" w:rsidR="004D4B01" w:rsidRDefault="00000000">
      <w:pPr>
        <w:spacing w:line="360" w:lineRule="auto"/>
        <w:ind w:firstLine="708"/>
        <w:jc w:val="both"/>
      </w:pPr>
      <w:r>
        <w:t>Han e Lee (2024) também associaram IA a temas como poluição do ar, desperdício de alimentos e problemas ambientais futuros, utilizando indicadores de cidadania ecológica, registros docentes e produções discentes. Embora os autores recomendem ampliação para outras turmas, os resultados mostram evidências iniciais capazes de orientar projetos-piloto, sem transformar experiências locais em prova de eficácia universal.</w:t>
      </w:r>
    </w:p>
    <w:p w14:paraId="02C36104" w14:textId="77777777" w:rsidR="004D4B01" w:rsidRDefault="00000000">
      <w:pPr>
        <w:spacing w:line="360" w:lineRule="auto"/>
        <w:ind w:firstLine="708"/>
        <w:jc w:val="both"/>
      </w:pPr>
      <w:r>
        <w:t>Na avaliação participativa, registros, metas e devolutivas públicas devem considerar resultados ambientais e formas de uso da tecnologia. Abbas, Jam e Khan (2024) relacionaram uso intenso do ChatGPT a procrastinação, perda de memória e pior desempenho entre universitários. Sem permitir generalização, o achado reforça o controle de frequência, finalidade e autonomia. Diários de bordo, versões intermediárias e justificativas tornam o processo avaliável e reduzem o uso automático.</w:t>
      </w:r>
    </w:p>
    <w:p w14:paraId="1C6D8A28" w14:textId="77777777" w:rsidR="004D4B01" w:rsidRDefault="00000000">
      <w:pPr>
        <w:keepNext/>
        <w:spacing w:before="120" w:after="60"/>
        <w:jc w:val="center"/>
      </w:pPr>
      <w:r>
        <w:rPr>
          <w:b/>
          <w:sz w:val="19"/>
        </w:rPr>
        <w:t>Quadro 1: Matriz pedagógica para uso responsável da inteligência artificial em educação ambiental e resiliência climática.</w:t>
      </w:r>
    </w:p>
    <w:tbl>
      <w:tblPr>
        <w:tblW w:w="0" w:type="auto"/>
        <w:jc w:val="center"/>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val="04A0" w:firstRow="1" w:lastRow="0" w:firstColumn="1" w:lastColumn="0" w:noHBand="0" w:noVBand="1"/>
      </w:tblPr>
      <w:tblGrid>
        <w:gridCol w:w="2268"/>
        <w:gridCol w:w="2268"/>
        <w:gridCol w:w="2268"/>
        <w:gridCol w:w="2268"/>
      </w:tblGrid>
      <w:tr w:rsidR="004D4B01" w14:paraId="1B8A6550" w14:textId="77777777">
        <w:trPr>
          <w:cantSplit/>
          <w:tblHeader/>
          <w:jc w:val="center"/>
        </w:trPr>
        <w:tc>
          <w:tcPr>
            <w:tcW w:w="2268" w:type="dxa"/>
            <w:shd w:val="clear" w:color="auto" w:fill="D9E8D0"/>
            <w:tcMar>
              <w:top w:w="30" w:type="dxa"/>
              <w:left w:w="45" w:type="dxa"/>
              <w:bottom w:w="30" w:type="dxa"/>
              <w:right w:w="45" w:type="dxa"/>
            </w:tcMar>
            <w:vAlign w:val="center"/>
          </w:tcPr>
          <w:p w14:paraId="3159E0C0" w14:textId="77777777" w:rsidR="004D4B01" w:rsidRDefault="00000000">
            <w:pPr>
              <w:spacing w:line="216" w:lineRule="auto"/>
              <w:jc w:val="center"/>
            </w:pPr>
            <w:r>
              <w:rPr>
                <w:b/>
                <w:sz w:val="17"/>
              </w:rPr>
              <w:t>Etapa pedagógica</w:t>
            </w:r>
          </w:p>
        </w:tc>
        <w:tc>
          <w:tcPr>
            <w:tcW w:w="2268" w:type="dxa"/>
            <w:shd w:val="clear" w:color="auto" w:fill="D9E8D0"/>
            <w:tcMar>
              <w:top w:w="30" w:type="dxa"/>
              <w:left w:w="45" w:type="dxa"/>
              <w:bottom w:w="30" w:type="dxa"/>
              <w:right w:w="45" w:type="dxa"/>
            </w:tcMar>
            <w:vAlign w:val="center"/>
          </w:tcPr>
          <w:p w14:paraId="600FE36A" w14:textId="77777777" w:rsidR="004D4B01" w:rsidRDefault="00000000">
            <w:pPr>
              <w:spacing w:line="216" w:lineRule="auto"/>
              <w:jc w:val="center"/>
            </w:pPr>
            <w:r>
              <w:rPr>
                <w:b/>
                <w:sz w:val="17"/>
              </w:rPr>
              <w:t>Uso possível da IA</w:t>
            </w:r>
          </w:p>
        </w:tc>
        <w:tc>
          <w:tcPr>
            <w:tcW w:w="2268" w:type="dxa"/>
            <w:shd w:val="clear" w:color="auto" w:fill="D9E8D0"/>
            <w:tcMar>
              <w:top w:w="30" w:type="dxa"/>
              <w:left w:w="45" w:type="dxa"/>
              <w:bottom w:w="30" w:type="dxa"/>
              <w:right w:w="45" w:type="dxa"/>
            </w:tcMar>
            <w:vAlign w:val="center"/>
          </w:tcPr>
          <w:p w14:paraId="5C944627" w14:textId="77777777" w:rsidR="004D4B01" w:rsidRDefault="00000000">
            <w:pPr>
              <w:spacing w:line="216" w:lineRule="auto"/>
              <w:jc w:val="center"/>
            </w:pPr>
            <w:r>
              <w:rPr>
                <w:b/>
                <w:sz w:val="17"/>
              </w:rPr>
              <w:t>Produto esperado</w:t>
            </w:r>
          </w:p>
        </w:tc>
        <w:tc>
          <w:tcPr>
            <w:tcW w:w="2268" w:type="dxa"/>
            <w:shd w:val="clear" w:color="auto" w:fill="D9E8D0"/>
            <w:tcMar>
              <w:top w:w="30" w:type="dxa"/>
              <w:left w:w="45" w:type="dxa"/>
              <w:bottom w:w="30" w:type="dxa"/>
              <w:right w:w="45" w:type="dxa"/>
            </w:tcMar>
            <w:vAlign w:val="center"/>
          </w:tcPr>
          <w:p w14:paraId="3F542E8B" w14:textId="77777777" w:rsidR="004D4B01" w:rsidRDefault="00000000">
            <w:pPr>
              <w:spacing w:line="216" w:lineRule="auto"/>
            </w:pPr>
            <w:r>
              <w:rPr>
                <w:b/>
                <w:sz w:val="17"/>
              </w:rPr>
              <w:t>Cuidado necessário</w:t>
            </w:r>
          </w:p>
        </w:tc>
      </w:tr>
      <w:tr w:rsidR="004D4B01" w14:paraId="33CF6668" w14:textId="77777777">
        <w:trPr>
          <w:cantSplit/>
          <w:jc w:val="center"/>
        </w:trPr>
        <w:tc>
          <w:tcPr>
            <w:tcW w:w="2268" w:type="dxa"/>
            <w:tcMar>
              <w:top w:w="30" w:type="dxa"/>
              <w:left w:w="45" w:type="dxa"/>
              <w:bottom w:w="30" w:type="dxa"/>
              <w:right w:w="45" w:type="dxa"/>
            </w:tcMar>
            <w:vAlign w:val="center"/>
          </w:tcPr>
          <w:p w14:paraId="275D673C" w14:textId="77777777" w:rsidR="004D4B01" w:rsidRDefault="00000000">
            <w:pPr>
              <w:spacing w:line="216" w:lineRule="auto"/>
            </w:pPr>
            <w:r>
              <w:rPr>
                <w:sz w:val="17"/>
              </w:rPr>
              <w:t>Diagnóstico local</w:t>
            </w:r>
          </w:p>
        </w:tc>
        <w:tc>
          <w:tcPr>
            <w:tcW w:w="2268" w:type="dxa"/>
            <w:tcMar>
              <w:top w:w="30" w:type="dxa"/>
              <w:left w:w="45" w:type="dxa"/>
              <w:bottom w:w="30" w:type="dxa"/>
              <w:right w:w="45" w:type="dxa"/>
            </w:tcMar>
            <w:vAlign w:val="center"/>
          </w:tcPr>
          <w:p w14:paraId="454E32FA" w14:textId="77777777" w:rsidR="004D4B01" w:rsidRDefault="00000000">
            <w:pPr>
              <w:spacing w:line="216" w:lineRule="auto"/>
            </w:pPr>
            <w:r>
              <w:rPr>
                <w:sz w:val="17"/>
              </w:rPr>
              <w:t>Organizar dados e perguntas sobre riscos climáticos</w:t>
            </w:r>
          </w:p>
        </w:tc>
        <w:tc>
          <w:tcPr>
            <w:tcW w:w="2268" w:type="dxa"/>
            <w:tcMar>
              <w:top w:w="30" w:type="dxa"/>
              <w:left w:w="45" w:type="dxa"/>
              <w:bottom w:w="30" w:type="dxa"/>
              <w:right w:w="45" w:type="dxa"/>
            </w:tcMar>
            <w:vAlign w:val="center"/>
          </w:tcPr>
          <w:p w14:paraId="640673EA" w14:textId="77777777" w:rsidR="004D4B01" w:rsidRDefault="00000000">
            <w:pPr>
              <w:spacing w:line="216" w:lineRule="auto"/>
            </w:pPr>
            <w:r>
              <w:rPr>
                <w:sz w:val="17"/>
              </w:rPr>
              <w:t>Mapa ou painel do território</w:t>
            </w:r>
          </w:p>
        </w:tc>
        <w:tc>
          <w:tcPr>
            <w:tcW w:w="2268" w:type="dxa"/>
            <w:tcMar>
              <w:top w:w="30" w:type="dxa"/>
              <w:left w:w="45" w:type="dxa"/>
              <w:bottom w:w="30" w:type="dxa"/>
              <w:right w:w="45" w:type="dxa"/>
            </w:tcMar>
            <w:vAlign w:val="center"/>
          </w:tcPr>
          <w:p w14:paraId="6699C2B4" w14:textId="77777777" w:rsidR="004D4B01" w:rsidRDefault="00000000">
            <w:pPr>
              <w:spacing w:line="216" w:lineRule="auto"/>
            </w:pPr>
            <w:r>
              <w:rPr>
                <w:sz w:val="17"/>
              </w:rPr>
              <w:t>Validar fontes oficiais; evitar conclusões automáticas</w:t>
            </w:r>
          </w:p>
        </w:tc>
      </w:tr>
      <w:tr w:rsidR="004D4B01" w14:paraId="104F9931" w14:textId="77777777">
        <w:trPr>
          <w:cantSplit/>
          <w:jc w:val="center"/>
        </w:trPr>
        <w:tc>
          <w:tcPr>
            <w:tcW w:w="2268" w:type="dxa"/>
            <w:tcMar>
              <w:top w:w="30" w:type="dxa"/>
              <w:left w:w="45" w:type="dxa"/>
              <w:bottom w:w="30" w:type="dxa"/>
              <w:right w:w="45" w:type="dxa"/>
            </w:tcMar>
            <w:vAlign w:val="center"/>
          </w:tcPr>
          <w:p w14:paraId="369876A7" w14:textId="77777777" w:rsidR="004D4B01" w:rsidRDefault="00000000">
            <w:pPr>
              <w:spacing w:line="216" w:lineRule="auto"/>
            </w:pPr>
            <w:r>
              <w:rPr>
                <w:sz w:val="17"/>
              </w:rPr>
              <w:t>Investigação</w:t>
            </w:r>
          </w:p>
        </w:tc>
        <w:tc>
          <w:tcPr>
            <w:tcW w:w="2268" w:type="dxa"/>
            <w:tcMar>
              <w:top w:w="30" w:type="dxa"/>
              <w:left w:w="45" w:type="dxa"/>
              <w:bottom w:w="30" w:type="dxa"/>
              <w:right w:w="45" w:type="dxa"/>
            </w:tcMar>
            <w:vAlign w:val="center"/>
          </w:tcPr>
          <w:p w14:paraId="120CBA77" w14:textId="77777777" w:rsidR="004D4B01" w:rsidRDefault="00000000">
            <w:pPr>
              <w:spacing w:line="216" w:lineRule="auto"/>
            </w:pPr>
            <w:r>
              <w:rPr>
                <w:sz w:val="17"/>
              </w:rPr>
              <w:t>Apoiar roteiros, hipóteses e leitura de evidências</w:t>
            </w:r>
          </w:p>
        </w:tc>
        <w:tc>
          <w:tcPr>
            <w:tcW w:w="2268" w:type="dxa"/>
            <w:tcMar>
              <w:top w:w="30" w:type="dxa"/>
              <w:left w:w="45" w:type="dxa"/>
              <w:bottom w:w="30" w:type="dxa"/>
              <w:right w:w="45" w:type="dxa"/>
            </w:tcMar>
            <w:vAlign w:val="center"/>
          </w:tcPr>
          <w:p w14:paraId="0D5A19E3" w14:textId="77777777" w:rsidR="004D4B01" w:rsidRDefault="00000000">
            <w:pPr>
              <w:spacing w:line="216" w:lineRule="auto"/>
            </w:pPr>
            <w:r>
              <w:rPr>
                <w:sz w:val="17"/>
              </w:rPr>
              <w:t>Diário de bordo científico</w:t>
            </w:r>
          </w:p>
        </w:tc>
        <w:tc>
          <w:tcPr>
            <w:tcW w:w="2268" w:type="dxa"/>
            <w:tcMar>
              <w:top w:w="30" w:type="dxa"/>
              <w:left w:w="45" w:type="dxa"/>
              <w:bottom w:w="30" w:type="dxa"/>
              <w:right w:w="45" w:type="dxa"/>
            </w:tcMar>
            <w:vAlign w:val="center"/>
          </w:tcPr>
          <w:p w14:paraId="549FC4D9" w14:textId="77777777" w:rsidR="004D4B01" w:rsidRDefault="00000000">
            <w:pPr>
              <w:spacing w:line="216" w:lineRule="auto"/>
            </w:pPr>
            <w:r>
              <w:rPr>
                <w:sz w:val="17"/>
              </w:rPr>
              <w:t>Preservar autoria e mediação docente</w:t>
            </w:r>
          </w:p>
        </w:tc>
      </w:tr>
      <w:tr w:rsidR="004D4B01" w14:paraId="5E65CB19" w14:textId="77777777">
        <w:trPr>
          <w:cantSplit/>
          <w:jc w:val="center"/>
        </w:trPr>
        <w:tc>
          <w:tcPr>
            <w:tcW w:w="2268" w:type="dxa"/>
            <w:tcMar>
              <w:top w:w="30" w:type="dxa"/>
              <w:left w:w="45" w:type="dxa"/>
              <w:bottom w:w="30" w:type="dxa"/>
              <w:right w:w="45" w:type="dxa"/>
            </w:tcMar>
            <w:vAlign w:val="center"/>
          </w:tcPr>
          <w:p w14:paraId="58B4B6E7" w14:textId="77777777" w:rsidR="004D4B01" w:rsidRDefault="00000000">
            <w:pPr>
              <w:spacing w:line="216" w:lineRule="auto"/>
            </w:pPr>
            <w:r>
              <w:rPr>
                <w:sz w:val="17"/>
              </w:rPr>
              <w:t>Comunicação</w:t>
            </w:r>
          </w:p>
        </w:tc>
        <w:tc>
          <w:tcPr>
            <w:tcW w:w="2268" w:type="dxa"/>
            <w:tcMar>
              <w:top w:w="30" w:type="dxa"/>
              <w:left w:w="45" w:type="dxa"/>
              <w:bottom w:w="30" w:type="dxa"/>
              <w:right w:w="45" w:type="dxa"/>
            </w:tcMar>
            <w:vAlign w:val="center"/>
          </w:tcPr>
          <w:p w14:paraId="27D9AE69" w14:textId="77777777" w:rsidR="004D4B01" w:rsidRDefault="00000000">
            <w:pPr>
              <w:spacing w:line="216" w:lineRule="auto"/>
            </w:pPr>
            <w:r>
              <w:rPr>
                <w:sz w:val="17"/>
              </w:rPr>
              <w:t>Adaptar linguagem para públicos diferentes</w:t>
            </w:r>
          </w:p>
        </w:tc>
        <w:tc>
          <w:tcPr>
            <w:tcW w:w="2268" w:type="dxa"/>
            <w:tcMar>
              <w:top w:w="30" w:type="dxa"/>
              <w:left w:w="45" w:type="dxa"/>
              <w:bottom w:w="30" w:type="dxa"/>
              <w:right w:w="45" w:type="dxa"/>
            </w:tcMar>
            <w:vAlign w:val="center"/>
          </w:tcPr>
          <w:p w14:paraId="6504BA99" w14:textId="77777777" w:rsidR="004D4B01" w:rsidRDefault="00000000">
            <w:pPr>
              <w:spacing w:line="216" w:lineRule="auto"/>
            </w:pPr>
            <w:r>
              <w:rPr>
                <w:sz w:val="17"/>
              </w:rPr>
              <w:t>Material educativo acessível</w:t>
            </w:r>
          </w:p>
        </w:tc>
        <w:tc>
          <w:tcPr>
            <w:tcW w:w="2268" w:type="dxa"/>
            <w:tcMar>
              <w:top w:w="30" w:type="dxa"/>
              <w:left w:w="45" w:type="dxa"/>
              <w:bottom w:w="30" w:type="dxa"/>
              <w:right w:w="45" w:type="dxa"/>
            </w:tcMar>
            <w:vAlign w:val="center"/>
          </w:tcPr>
          <w:p w14:paraId="0177723A" w14:textId="77777777" w:rsidR="004D4B01" w:rsidRDefault="00000000">
            <w:pPr>
              <w:spacing w:line="216" w:lineRule="auto"/>
            </w:pPr>
            <w:r>
              <w:rPr>
                <w:sz w:val="17"/>
              </w:rPr>
              <w:t>Revisar precisão, fontes e autoria</w:t>
            </w:r>
          </w:p>
        </w:tc>
      </w:tr>
      <w:tr w:rsidR="004D4B01" w14:paraId="6E215E4F" w14:textId="77777777">
        <w:trPr>
          <w:cantSplit/>
          <w:jc w:val="center"/>
        </w:trPr>
        <w:tc>
          <w:tcPr>
            <w:tcW w:w="2268" w:type="dxa"/>
            <w:tcMar>
              <w:top w:w="30" w:type="dxa"/>
              <w:left w:w="45" w:type="dxa"/>
              <w:bottom w:w="30" w:type="dxa"/>
              <w:right w:w="45" w:type="dxa"/>
            </w:tcMar>
            <w:vAlign w:val="center"/>
          </w:tcPr>
          <w:p w14:paraId="022D687C" w14:textId="77777777" w:rsidR="004D4B01" w:rsidRDefault="00000000">
            <w:pPr>
              <w:spacing w:line="216" w:lineRule="auto"/>
            </w:pPr>
            <w:r>
              <w:rPr>
                <w:sz w:val="17"/>
              </w:rPr>
              <w:t>Intervenção</w:t>
            </w:r>
          </w:p>
        </w:tc>
        <w:tc>
          <w:tcPr>
            <w:tcW w:w="2268" w:type="dxa"/>
            <w:tcMar>
              <w:top w:w="30" w:type="dxa"/>
              <w:left w:w="45" w:type="dxa"/>
              <w:bottom w:w="30" w:type="dxa"/>
              <w:right w:w="45" w:type="dxa"/>
            </w:tcMar>
            <w:vAlign w:val="center"/>
          </w:tcPr>
          <w:p w14:paraId="230E194B" w14:textId="77777777" w:rsidR="004D4B01" w:rsidRDefault="00000000">
            <w:pPr>
              <w:spacing w:line="216" w:lineRule="auto"/>
            </w:pPr>
            <w:r>
              <w:rPr>
                <w:sz w:val="17"/>
              </w:rPr>
              <w:t>Comparar alternativas de ação escolar</w:t>
            </w:r>
          </w:p>
        </w:tc>
        <w:tc>
          <w:tcPr>
            <w:tcW w:w="2268" w:type="dxa"/>
            <w:tcMar>
              <w:top w:w="30" w:type="dxa"/>
              <w:left w:w="45" w:type="dxa"/>
              <w:bottom w:w="30" w:type="dxa"/>
              <w:right w:w="45" w:type="dxa"/>
            </w:tcMar>
            <w:vAlign w:val="center"/>
          </w:tcPr>
          <w:p w14:paraId="6EED0738" w14:textId="77777777" w:rsidR="004D4B01" w:rsidRDefault="00000000">
            <w:pPr>
              <w:spacing w:line="216" w:lineRule="auto"/>
            </w:pPr>
            <w:r>
              <w:rPr>
                <w:sz w:val="17"/>
              </w:rPr>
              <w:t>Plano de resiliência climática</w:t>
            </w:r>
          </w:p>
        </w:tc>
        <w:tc>
          <w:tcPr>
            <w:tcW w:w="2268" w:type="dxa"/>
            <w:tcMar>
              <w:top w:w="30" w:type="dxa"/>
              <w:left w:w="45" w:type="dxa"/>
              <w:bottom w:w="30" w:type="dxa"/>
              <w:right w:w="45" w:type="dxa"/>
            </w:tcMar>
            <w:vAlign w:val="center"/>
          </w:tcPr>
          <w:p w14:paraId="163AF04C" w14:textId="77777777" w:rsidR="004D4B01" w:rsidRDefault="00000000">
            <w:pPr>
              <w:spacing w:line="216" w:lineRule="auto"/>
            </w:pPr>
            <w:r>
              <w:rPr>
                <w:sz w:val="17"/>
              </w:rPr>
              <w:t>Considerar viabilidade e participação local</w:t>
            </w:r>
          </w:p>
        </w:tc>
      </w:tr>
      <w:tr w:rsidR="004D4B01" w14:paraId="5527F15E" w14:textId="77777777">
        <w:trPr>
          <w:cantSplit/>
          <w:jc w:val="center"/>
        </w:trPr>
        <w:tc>
          <w:tcPr>
            <w:tcW w:w="2268" w:type="dxa"/>
            <w:tcMar>
              <w:top w:w="30" w:type="dxa"/>
              <w:left w:w="45" w:type="dxa"/>
              <w:bottom w:w="30" w:type="dxa"/>
              <w:right w:w="45" w:type="dxa"/>
            </w:tcMar>
            <w:vAlign w:val="center"/>
          </w:tcPr>
          <w:p w14:paraId="112C0094" w14:textId="77777777" w:rsidR="004D4B01" w:rsidRDefault="00000000">
            <w:pPr>
              <w:spacing w:line="216" w:lineRule="auto"/>
            </w:pPr>
            <w:r>
              <w:rPr>
                <w:sz w:val="17"/>
              </w:rPr>
              <w:t>Avaliação</w:t>
            </w:r>
          </w:p>
        </w:tc>
        <w:tc>
          <w:tcPr>
            <w:tcW w:w="2268" w:type="dxa"/>
            <w:tcMar>
              <w:top w:w="30" w:type="dxa"/>
              <w:left w:w="45" w:type="dxa"/>
              <w:bottom w:w="30" w:type="dxa"/>
              <w:right w:w="45" w:type="dxa"/>
            </w:tcMar>
            <w:vAlign w:val="center"/>
          </w:tcPr>
          <w:p w14:paraId="601ED540" w14:textId="77777777" w:rsidR="004D4B01" w:rsidRDefault="00000000">
            <w:pPr>
              <w:spacing w:line="216" w:lineRule="auto"/>
            </w:pPr>
            <w:r>
              <w:rPr>
                <w:sz w:val="17"/>
              </w:rPr>
              <w:t>Gerar sínteses, gráficos e relatórios</w:t>
            </w:r>
          </w:p>
        </w:tc>
        <w:tc>
          <w:tcPr>
            <w:tcW w:w="2268" w:type="dxa"/>
            <w:tcMar>
              <w:top w:w="30" w:type="dxa"/>
              <w:left w:w="45" w:type="dxa"/>
              <w:bottom w:w="30" w:type="dxa"/>
              <w:right w:w="45" w:type="dxa"/>
            </w:tcMar>
            <w:vAlign w:val="center"/>
          </w:tcPr>
          <w:p w14:paraId="19E7EDE4" w14:textId="77777777" w:rsidR="004D4B01" w:rsidRDefault="00000000">
            <w:pPr>
              <w:spacing w:line="216" w:lineRule="auto"/>
            </w:pPr>
            <w:r>
              <w:rPr>
                <w:sz w:val="17"/>
              </w:rPr>
              <w:t>Devolutiva pública dos resultados</w:t>
            </w:r>
          </w:p>
        </w:tc>
        <w:tc>
          <w:tcPr>
            <w:tcW w:w="2268" w:type="dxa"/>
            <w:tcMar>
              <w:top w:w="30" w:type="dxa"/>
              <w:left w:w="45" w:type="dxa"/>
              <w:bottom w:w="30" w:type="dxa"/>
              <w:right w:w="45" w:type="dxa"/>
            </w:tcMar>
            <w:vAlign w:val="center"/>
          </w:tcPr>
          <w:p w14:paraId="719DFE0B" w14:textId="77777777" w:rsidR="004D4B01" w:rsidRDefault="00000000">
            <w:pPr>
              <w:spacing w:line="216" w:lineRule="auto"/>
            </w:pPr>
            <w:r>
              <w:rPr>
                <w:sz w:val="17"/>
              </w:rPr>
              <w:t>Proteger dados; contextualizar indicadores</w:t>
            </w:r>
          </w:p>
        </w:tc>
      </w:tr>
    </w:tbl>
    <w:p w14:paraId="78638946" w14:textId="77777777" w:rsidR="004D4B01" w:rsidRDefault="00000000">
      <w:pPr>
        <w:spacing w:before="40" w:after="120"/>
      </w:pPr>
      <w:r>
        <w:rPr>
          <w:sz w:val="20"/>
        </w:rPr>
        <w:t>Fonte: elaboração do autor (2026), com base na síntese do corpus analisado.</w:t>
      </w:r>
    </w:p>
    <w:p w14:paraId="1D963260" w14:textId="77777777" w:rsidR="004D4B01" w:rsidRDefault="00000000">
      <w:pPr>
        <w:spacing w:line="360" w:lineRule="auto"/>
        <w:ind w:firstLine="708"/>
        <w:jc w:val="both"/>
      </w:pPr>
      <w:r>
        <w:t>O Quadro 1 converte a síntese bibliográfica em decisões pedagógicas observáveis: delimita tarefas apoiadas pela IA, preserva produtos concretos do trabalho escolar e associa cada uso a um critério de controle. Desse modo, a tecnologia não substitui a definição do problema, a interpretação dos conflitos nem a escolha das ações.</w:t>
      </w:r>
    </w:p>
    <w:p w14:paraId="26174EBD" w14:textId="77777777" w:rsidR="004D4B01" w:rsidRDefault="00000000">
      <w:pPr>
        <w:spacing w:line="360" w:lineRule="auto"/>
        <w:ind w:firstLine="708"/>
        <w:jc w:val="both"/>
      </w:pPr>
      <w:r>
        <w:lastRenderedPageBreak/>
        <w:t>A aplicação da matriz depende de condições institucionais. Internet desigual, poucos equipamentos e formação insuficiente podem ampliar diferenças entre estudantes. O planejamento deve prever atividades coletivas, alternativas impressas, transparência sobre ferramentas e regras para dados, evitando que a exclusão digital atinja grupos já mais expostos aos riscos climáticos.</w:t>
      </w:r>
    </w:p>
    <w:p w14:paraId="67347589" w14:textId="77777777" w:rsidR="004D4B01" w:rsidRDefault="00000000">
      <w:pPr>
        <w:spacing w:line="360" w:lineRule="auto"/>
        <w:ind w:firstLine="708"/>
        <w:jc w:val="both"/>
      </w:pPr>
      <w:r>
        <w:t>A integração entre ciências, geografia, matemática e língua portuguesa amplia a proposta: séries e mapas mobilizam leitura de dados; materiais públicos exigem argumentação; e planos de intervenção demandam viabilidade e participação comunitária. Indicadores de resíduos, água e áreas verdes podem apoiar a gestão ambiental, desde que contextualizados e interpretados pelos estudantes (UNEP; ISWA, 2024).</w:t>
      </w:r>
    </w:p>
    <w:p w14:paraId="628DF08B" w14:textId="77777777" w:rsidR="004D4B01" w:rsidRDefault="00000000">
      <w:pPr>
        <w:keepNext/>
        <w:spacing w:before="120" w:line="360" w:lineRule="auto"/>
      </w:pPr>
      <w:r>
        <w:rPr>
          <w:b/>
          <w:sz w:val="28"/>
        </w:rPr>
        <w:t>Limitações do estudo</w:t>
      </w:r>
    </w:p>
    <w:p w14:paraId="7A51F449" w14:textId="77777777" w:rsidR="004D4B01" w:rsidRDefault="00000000">
      <w:pPr>
        <w:spacing w:line="360" w:lineRule="auto"/>
        <w:ind w:firstLine="708"/>
        <w:jc w:val="both"/>
      </w:pPr>
      <w:r>
        <w:t>A revisão narrativa utilizou bases selecionadas, sem protocolo sistemático, análise formal de viés ou busca exaustiva. A literatura empírica é heterogênea, concentra-se no ensino superior e em contextos internacionais, enquanto os estudos na educação básica apresentam amostras pequenas ou aplicações locais. Isso limita a transferência imediata para redes públicas brasileiras.</w:t>
      </w:r>
    </w:p>
    <w:p w14:paraId="35159506" w14:textId="77777777" w:rsidR="004D4B01" w:rsidRDefault="00000000">
      <w:pPr>
        <w:spacing w:line="360" w:lineRule="auto"/>
        <w:ind w:firstLine="708"/>
        <w:jc w:val="both"/>
      </w:pPr>
      <w:r>
        <w:t>A matriz também não foi testada em turmas, aulas ou entrevistas, nem comparou indicadores antes e depois do uso. Portanto, constitui guia conceitual para planejamento e teste. Estudos-piloto com métodos mistos devem avaliar aprendizagem, participação, autoria, inclusão digital, proteção de dados e efeitos sobre a resiliência climática local.</w:t>
      </w:r>
    </w:p>
    <w:p w14:paraId="1802CE70" w14:textId="77777777" w:rsidR="004D4B01" w:rsidRDefault="00000000">
      <w:pPr>
        <w:keepNext/>
        <w:spacing w:before="120" w:line="360" w:lineRule="auto"/>
      </w:pPr>
      <w:r>
        <w:rPr>
          <w:b/>
          <w:sz w:val="28"/>
        </w:rPr>
        <w:t>Considerações Finais</w:t>
      </w:r>
    </w:p>
    <w:p w14:paraId="3EB66E90" w14:textId="77777777" w:rsidR="004D4B01" w:rsidRDefault="00000000">
      <w:pPr>
        <w:spacing w:line="360" w:lineRule="auto"/>
        <w:ind w:firstLine="708"/>
        <w:jc w:val="both"/>
      </w:pPr>
      <w:r>
        <w:t>A análise sistematizou usos responsáveis da IA em projetos escolares de educação ambiental para resiliência climática. A tecnologia pode organizar dados, apoiar perguntas, produzir materiais, comparar alternativas e acompanhar ações, mas envolve riscos de erro, confiança excessiva, dependência e desigualdade de acesso. Mediação docente, validação de fontes e participação comunitária permanecem indispensáveis.</w:t>
      </w:r>
    </w:p>
    <w:p w14:paraId="77BC55E9" w14:textId="77777777" w:rsidR="004D4B01" w:rsidRDefault="00000000">
      <w:pPr>
        <w:spacing w:line="360" w:lineRule="auto"/>
        <w:ind w:firstLine="708"/>
        <w:jc w:val="both"/>
      </w:pPr>
      <w:r>
        <w:t>A principal contribuição é a matriz de cinco etapas, produtos verificáveis e cuidados correspondentes. Seu alcance é propositivo, pois a efetividade precisa ser examinada em escolas e territórios diversos, capazes de revelar ajustes, limites e condições de uso e de verificar efeitos sobre aprendizagem, autoria e ação climática local.</w:t>
      </w:r>
    </w:p>
    <w:p w14:paraId="0F38D66A" w14:textId="77777777" w:rsidR="004D4B01" w:rsidRDefault="00000000">
      <w:pPr>
        <w:keepNext/>
        <w:spacing w:before="120" w:line="360" w:lineRule="auto"/>
      </w:pPr>
      <w:r>
        <w:rPr>
          <w:b/>
          <w:sz w:val="28"/>
        </w:rPr>
        <w:lastRenderedPageBreak/>
        <w:t>Referências</w:t>
      </w:r>
    </w:p>
    <w:p w14:paraId="12866346" w14:textId="77777777" w:rsidR="004D4B01" w:rsidRDefault="00000000">
      <w:pPr>
        <w:keepLines/>
        <w:spacing w:after="120"/>
      </w:pPr>
      <w:r>
        <w:rPr>
          <w:sz w:val="21"/>
        </w:rPr>
        <w:t>ABBAS, Muhammad; JAM, Farooq Ahmed; KHAN, Tariq Iqbal. Is it harmful or helpful? Examining the causes and consequences of generative AI usage among university students. International Journal of Educational Technology in Higher Education, v. 21, art. 10, 2024. DOI: 10.1186/s41239-024-00444-7.</w:t>
      </w:r>
    </w:p>
    <w:p w14:paraId="489B21D6" w14:textId="77777777" w:rsidR="004D4B01" w:rsidRDefault="00000000">
      <w:pPr>
        <w:keepLines/>
        <w:spacing w:after="120"/>
      </w:pPr>
      <w:r>
        <w:rPr>
          <w:sz w:val="21"/>
        </w:rPr>
        <w:t>BRASIL. Lei nº 9.795, de 27 de abril de 1999. Dispõe sobre a educação ambiental, institui a Política Nacional de Educação Ambiental e dá outras providências. Brasília, DF: Presidência da República, 1999. Disponível em: https://www.planalto.gov.br/ccivil_03/leis/l9795.htm. Acesso em: 7 maio 2026.</w:t>
      </w:r>
    </w:p>
    <w:p w14:paraId="026DEB6F" w14:textId="77777777" w:rsidR="004D4B01" w:rsidRDefault="00000000">
      <w:pPr>
        <w:keepLines/>
        <w:spacing w:after="120"/>
      </w:pPr>
      <w:r>
        <w:rPr>
          <w:sz w:val="21"/>
        </w:rPr>
        <w:t>BRASIL. Ministério da Educação. Conselho Nacional de Educação. Resolução CNE/CP nº 2, de 15 de junho de 2012. Estabelece as Diretrizes Curriculares Nacionais para a Educação Ambiental. Brasília, DF: MEC/CNE, 2012.</w:t>
      </w:r>
    </w:p>
    <w:p w14:paraId="4DEDA8E3" w14:textId="77777777" w:rsidR="004D4B01" w:rsidRDefault="00000000">
      <w:pPr>
        <w:keepLines/>
        <w:spacing w:after="120"/>
      </w:pPr>
      <w:r>
        <w:rPr>
          <w:sz w:val="21"/>
        </w:rPr>
        <w:t>BRASIL. Lei nº 14.926, de 17 de julho de 2024. Altera a Lei nº 9.795, de 27 de abril de 1999, para assegurar atenção às mudanças do clima, à proteção da biodiversidade e aos riscos e vulnerabilidades a desastres socioambientais no âmbito da Política Nacional de Educação Ambiental. Brasília, DF: Presidência da República, 2024. Disponível em: https://www.planalto.gov.br/ccivil_03/_ato2023-2026/2024/lei/l14926.htm. Acesso em: 20 jul. 2026.</w:t>
      </w:r>
    </w:p>
    <w:p w14:paraId="3174E2B6" w14:textId="77777777" w:rsidR="004D4B01" w:rsidRDefault="00000000">
      <w:pPr>
        <w:keepLines/>
        <w:spacing w:after="120"/>
      </w:pPr>
      <w:r>
        <w:rPr>
          <w:sz w:val="21"/>
        </w:rPr>
        <w:t>CAO, FeiFei; JIAN, Yirong. The role of integrating AI and VR in fostering environmental awareness and enhancing activism among college students. Science of the Total Environment, v. 908, 168200, 2024. DOI: 10.1016/j.scitotenv.2023.168200.</w:t>
      </w:r>
    </w:p>
    <w:p w14:paraId="6C2A2D37" w14:textId="77777777" w:rsidR="004D4B01" w:rsidRDefault="00000000">
      <w:pPr>
        <w:keepLines/>
        <w:spacing w:after="120"/>
      </w:pPr>
      <w:r>
        <w:rPr>
          <w:sz w:val="21"/>
        </w:rPr>
        <w:t>CHAN, Cecilia Ka Yuk; HU, Wenjie. Students’ voices on generative AI: perceptions, benefits, and challenges in higher education. International Journal of Educational Technology in Higher Education, v. 20, art. 43, 2023. DOI: 10.1186/s41239-023-00411-8.</w:t>
      </w:r>
    </w:p>
    <w:p w14:paraId="291593AA" w14:textId="77777777" w:rsidR="004D4B01" w:rsidRDefault="00000000">
      <w:pPr>
        <w:keepLines/>
        <w:spacing w:after="120"/>
      </w:pPr>
      <w:r>
        <w:rPr>
          <w:sz w:val="21"/>
        </w:rPr>
        <w:t>DING, Lu; LI, Tong; JIANG, Shiyan; GAPUD, Albert. Students’ perceptions of using ChatGPT in a physics class as a virtual tutor. International Journal of Educational Technology in Higher Education, v. 20, art. 63, 2023. DOI: 10.1186/s41239-023-00434-1.</w:t>
      </w:r>
    </w:p>
    <w:p w14:paraId="3BCE9DD3" w14:textId="77777777" w:rsidR="004D4B01" w:rsidRDefault="00000000">
      <w:pPr>
        <w:keepLines/>
        <w:spacing w:after="120"/>
      </w:pPr>
      <w:r>
        <w:rPr>
          <w:sz w:val="21"/>
        </w:rPr>
        <w:t>ESSEL, Harry Barton; VLACHOPOULOS, Dimitrios; ESSUMAN, Albert Benjamin; AMANKWA, John Opuni. ChatGPT effects on cognitive skills of undergraduate students: receiving instant responses from AI-based conversational large language models (LLMs). Computers and Education: Artificial Intelligence, v. 6, 100198, 2024. DOI: 10.1016/j.caeai.2023.100198.</w:t>
      </w:r>
    </w:p>
    <w:p w14:paraId="008982EB" w14:textId="77777777" w:rsidR="004D4B01" w:rsidRDefault="00000000">
      <w:pPr>
        <w:keepLines/>
        <w:spacing w:after="120"/>
      </w:pPr>
      <w:r>
        <w:rPr>
          <w:sz w:val="21"/>
        </w:rPr>
        <w:t>HAN, Dongkyun; LEE, Jihye. Development of artificial intelligence environmental education program to cultivate ecological citizenship of elementary school students. Asia Pacific Journal of Teaching and Learning, v. 4, n. 2, p. 31-43, 2024. DOI: 10.62914/apjtl.2024.4.2.31.</w:t>
      </w:r>
    </w:p>
    <w:p w14:paraId="36702DFD" w14:textId="77777777" w:rsidR="004D4B01" w:rsidRDefault="00000000">
      <w:pPr>
        <w:keepLines/>
        <w:spacing w:after="120"/>
      </w:pPr>
      <w:r>
        <w:rPr>
          <w:sz w:val="21"/>
        </w:rPr>
        <w:t>IPCC. Climate Change 2023: Synthesis Report. Geneva: Intergovernmental Panel on Climate Change, 2023. Disponível em: https://www.ipcc.ch/report/ar6/syr/. Acesso em: 7 maio 2026.</w:t>
      </w:r>
    </w:p>
    <w:p w14:paraId="08A11ABB" w14:textId="77777777" w:rsidR="004D4B01" w:rsidRDefault="00000000">
      <w:pPr>
        <w:keepLines/>
        <w:spacing w:after="120"/>
      </w:pPr>
      <w:r>
        <w:rPr>
          <w:sz w:val="21"/>
        </w:rPr>
        <w:t>KESTIN, Greg; MILLER, Kelly; KLALES, Anna; MILBOURNE, Timothy; PONTI, Gregorio. AI tutoring outperforms in-class active learning: an RCT introducing a novel research-based design in an authentic educational setting. Scientific Reports, v. 15, art. 17458, 2025. DOI: 10.1038/s41598-025-97652-6.</w:t>
      </w:r>
    </w:p>
    <w:p w14:paraId="278B3261" w14:textId="77777777" w:rsidR="004D4B01" w:rsidRDefault="00000000">
      <w:pPr>
        <w:keepLines/>
        <w:spacing w:after="120"/>
      </w:pPr>
      <w:r>
        <w:rPr>
          <w:sz w:val="21"/>
        </w:rPr>
        <w:t>MOON, Keyong Lok; PARK, Bo Kyung. Development and application of artificial intelligence program in ecology and environmental education for 5th graders in elementary school. Journal of the Korean Association of Information Education, v. 28, n. 6, p. 797-810, 2024. DOI: 10.14352/jkaie.2024.28.6.797.</w:t>
      </w:r>
    </w:p>
    <w:p w14:paraId="221880CB" w14:textId="77777777" w:rsidR="004D4B01" w:rsidRDefault="00000000">
      <w:pPr>
        <w:keepLines/>
        <w:spacing w:after="120"/>
      </w:pPr>
      <w:r>
        <w:rPr>
          <w:sz w:val="21"/>
        </w:rPr>
        <w:t>UNEP; ISWA. Global Waste Management Outlook 2024: beyond an age of waste. Nairobi: United Nations Environment Programme, 2024. Disponível em: https://www.unep.org/resources/global-waste-management-outlook-2024. Acesso em: 7 maio 2026.</w:t>
      </w:r>
    </w:p>
    <w:p w14:paraId="21119F26" w14:textId="77777777" w:rsidR="004D4B01" w:rsidRDefault="00000000">
      <w:pPr>
        <w:keepLines/>
        <w:spacing w:after="120"/>
      </w:pPr>
      <w:r>
        <w:rPr>
          <w:sz w:val="21"/>
        </w:rPr>
        <w:t>UNESCO. Education for sustainable development: a roadmap. Paris: UNESCO, 2020. Disponível em: https://unesdoc.unesco.org/ark:/48223/pf0000374802. Acesso em: 7 maio 2026.</w:t>
      </w:r>
    </w:p>
    <w:sectPr w:rsidR="004D4B01">
      <w:headerReference w:type="default" r:id="rId7"/>
      <w:footerReference w:type="default" r:id="rId8"/>
      <w:type w:val="continuous"/>
      <w:pgSz w:w="11906" w:h="16838"/>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7BBE2" w14:textId="77777777" w:rsidR="002066D5" w:rsidRDefault="002066D5">
      <w:r>
        <w:separator/>
      </w:r>
    </w:p>
  </w:endnote>
  <w:endnote w:type="continuationSeparator" w:id="0">
    <w:p w14:paraId="10D0901B" w14:textId="77777777" w:rsidR="002066D5" w:rsidRDefault="00206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1685" w14:textId="77777777" w:rsidR="0006548B" w:rsidRDefault="0006548B">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85AE" w14:textId="77777777" w:rsidR="002066D5" w:rsidRDefault="002066D5">
      <w:r>
        <w:separator/>
      </w:r>
    </w:p>
  </w:footnote>
  <w:footnote w:type="continuationSeparator" w:id="0">
    <w:p w14:paraId="393B091A" w14:textId="77777777" w:rsidR="002066D5" w:rsidRDefault="00206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1AF3" w14:textId="77777777" w:rsidR="0006548B" w:rsidRDefault="00000000">
    <w:pPr>
      <w:pStyle w:val="Cabealho"/>
    </w:pPr>
    <w:r>
      <w:rPr>
        <w:noProof/>
        <w:szCs w:val="24"/>
        <w:lang w:val="pt-BR" w:eastAsia="pt-BR"/>
      </w:rPr>
      <w:drawing>
        <wp:anchor distT="0" distB="0" distL="0" distR="0" simplePos="0" relativeHeight="251659264" behindDoc="0" locked="0" layoutInCell="1" allowOverlap="1" wp14:anchorId="731089D2" wp14:editId="5C843360">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90401996">
    <w:abstractNumId w:val="0"/>
  </w:num>
  <w:num w:numId="2" w16cid:durableId="2081554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6548B"/>
    <w:rsid w:val="000815CB"/>
    <w:rsid w:val="00193216"/>
    <w:rsid w:val="001C5BCC"/>
    <w:rsid w:val="002066D5"/>
    <w:rsid w:val="00241B13"/>
    <w:rsid w:val="00243512"/>
    <w:rsid w:val="0036697E"/>
    <w:rsid w:val="004D4B01"/>
    <w:rsid w:val="005074DA"/>
    <w:rsid w:val="005259CE"/>
    <w:rsid w:val="005F70B0"/>
    <w:rsid w:val="00624629"/>
    <w:rsid w:val="00694319"/>
    <w:rsid w:val="00694760"/>
    <w:rsid w:val="006A5C07"/>
    <w:rsid w:val="007561D8"/>
    <w:rsid w:val="00772714"/>
    <w:rsid w:val="00791286"/>
    <w:rsid w:val="00842983"/>
    <w:rsid w:val="008858BD"/>
    <w:rsid w:val="008913F4"/>
    <w:rsid w:val="008A654E"/>
    <w:rsid w:val="008D1721"/>
    <w:rsid w:val="009471E9"/>
    <w:rsid w:val="009729DD"/>
    <w:rsid w:val="009C4B75"/>
    <w:rsid w:val="00A33E6F"/>
    <w:rsid w:val="00AD22F1"/>
    <w:rsid w:val="00AF5124"/>
    <w:rsid w:val="00B37E88"/>
    <w:rsid w:val="00B66AC6"/>
    <w:rsid w:val="00BB3029"/>
    <w:rsid w:val="00C538C1"/>
    <w:rsid w:val="00C60F3C"/>
    <w:rsid w:val="00CB7608"/>
    <w:rsid w:val="00E3782C"/>
    <w:rsid w:val="00EA25BE"/>
    <w:rsid w:val="00F572AA"/>
    <w:rsid w:val="00FF62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F039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2539</Words>
  <Characters>13714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Inteligência Artificial e Educação Ambiental para Resiliência Climática em Escolas</dc:title>
  <dc:subject>Resumo expandido revisado</dc:subject>
  <dc:creator>Mônica Naves Barcelos</dc:creator>
  <cp:keywords>educação ambiental; inteligência artificial; resiliência climática</cp:keywords>
  <cp:lastModifiedBy>Mônica Naves Barcelos</cp:lastModifiedBy>
  <cp:revision>2</cp:revision>
  <dcterms:created xsi:type="dcterms:W3CDTF">2026-07-20T21:44:00Z</dcterms:created>
  <dcterms:modified xsi:type="dcterms:W3CDTF">2026-07-20T21:44:00Z</dcterms:modified>
</cp:coreProperties>
</file>