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0</wp:posOffset>
            </wp:positionH>
            <wp:positionV relativeFrom="page">
              <wp:posOffset>9525</wp:posOffset>
            </wp:positionV>
            <wp:extent cx="7736422" cy="1082904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36422" cy="10829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ind w:firstLine="75"/>
        <w:rPr/>
      </w:pPr>
      <w:r w:rsidDel="00000000" w:rsidR="00000000" w:rsidRPr="00000000">
        <w:rPr>
          <w:rtl w:val="0"/>
        </w:rPr>
        <w:t xml:space="preserve">AGROECOLOGIA, UNIDADES DE CONSERVAÇÃO E PERCEPÇÕES AMBIENTAIS: AGRICULTORES FAMILIARES NA APA DA SERRA DA MANTIQUEIRA</w:t>
      </w:r>
    </w:p>
    <w:p w:rsidR="00000000" w:rsidDel="00000000" w:rsidP="00000000" w:rsidRDefault="00000000" w:rsidRPr="00000000" w14:paraId="00000003">
      <w:pPr>
        <w:spacing w:line="228" w:lineRule="auto"/>
        <w:ind w:left="77" w:right="209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spacing w:after="120" w:before="480" w:line="228" w:lineRule="auto"/>
        <w:ind w:left="77" w:right="209" w:firstLine="0"/>
        <w:jc w:val="center"/>
        <w:rPr>
          <w:i w:val="1"/>
          <w:iCs w:val="1"/>
          <w:sz w:val="24"/>
          <w:szCs w:val="24"/>
        </w:rPr>
      </w:pPr>
      <w:bookmarkStart w:colFirst="0" w:colLast="0" w:name="_b4iwk3o8g9z5" w:id="0"/>
      <w:bookmarkEnd w:id="0"/>
      <w:r w:rsidDel="00000000" w:rsidR="00000000" w:rsidRPr="00000000">
        <w:rPr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sz w:val="24"/>
          <w:szCs w:val="24"/>
          <w:rtl w:val="0"/>
        </w:rPr>
        <w:t xml:space="preserve">Rebeca Santos Pinheiro da Silva, 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sz w:val="24"/>
          <w:szCs w:val="24"/>
          <w:rtl w:val="0"/>
        </w:rPr>
        <w:t xml:space="preserve">Daniela Rocha Teixeira Riondet-Costa, </w:t>
      </w:r>
      <w:r w:rsidDel="00000000" w:rsidR="00000000" w:rsidRPr="00000000">
        <w:rPr>
          <w:i w:val="1"/>
          <w:iCs w:val="1"/>
          <w:sz w:val="36"/>
          <w:szCs w:val="36"/>
          <w:vertAlign w:val="superscript"/>
          <w:rtl w:val="0"/>
        </w:rPr>
        <w:t xml:space="preserve">1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Universidade Federal de Itajubá, e-mail: d2025101517@unifei.edu.br; </w:t>
      </w:r>
      <w:r w:rsidDel="00000000" w:rsidR="00000000" w:rsidRPr="00000000">
        <w:rPr>
          <w:i w:val="1"/>
          <w:iCs w:val="1"/>
          <w:sz w:val="36"/>
          <w:szCs w:val="36"/>
          <w:vertAlign w:val="superscript"/>
          <w:rtl w:val="0"/>
        </w:rPr>
        <w:t xml:space="preserve">2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Universidade Federal de Itajubá, e-mail: danielart@unifei.edu.br</w:t>
      </w:r>
    </w:p>
    <w:p w:rsidR="00000000" w:rsidDel="00000000" w:rsidP="00000000" w:rsidRDefault="00000000" w:rsidRPr="00000000" w14:paraId="00000005">
      <w:pPr>
        <w:spacing w:line="228" w:lineRule="auto"/>
        <w:ind w:left="77" w:right="209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28" w:lineRule="auto"/>
        <w:ind w:left="77" w:right="209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Grupo 5: Agricultura Regenerativa</w:t>
      </w:r>
    </w:p>
    <w:p w:rsidR="00000000" w:rsidDel="00000000" w:rsidP="00000000" w:rsidRDefault="00000000" w:rsidRPr="00000000" w14:paraId="00000007">
      <w:pPr>
        <w:spacing w:line="228" w:lineRule="auto"/>
        <w:ind w:left="77" w:right="209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Agroecologia</w:t>
      </w:r>
    </w:p>
    <w:p w:rsidR="00000000" w:rsidDel="00000000" w:rsidP="00000000" w:rsidRDefault="00000000" w:rsidRPr="00000000" w14:paraId="00000008">
      <w:pPr>
        <w:spacing w:line="228" w:lineRule="auto"/>
        <w:ind w:left="0" w:right="209" w:firstLine="0"/>
        <w:jc w:val="left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28" w:lineRule="auto"/>
        <w:ind w:left="77" w:right="209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Resumo</w:t>
      </w:r>
    </w:p>
    <w:p w:rsidR="00000000" w:rsidDel="00000000" w:rsidP="00000000" w:rsidRDefault="00000000" w:rsidRPr="00000000" w14:paraId="0000000A">
      <w:pPr>
        <w:spacing w:line="228" w:lineRule="auto"/>
        <w:ind w:left="77" w:right="209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Este trabalho analisa como agricultores familiares que vivem e produzem na Área de Proteção Ambiental da Serra da Mantiqueira (APASM) percebem o ambiente, as regras de conservação e as possibilidades de transição agroecológica em um território de uso sustentável. A pesquisa fundamenta-se na agroecologia como referencial científico e político para a construção de sistemas agroalimentares sustentáveis e dialoga com a caracterização territorial da APASM apresentada em seu Plano de Manejo. Adotou-se abordagem qualitativa, com apoio de estatística descritiva, por meio da aplicação de questionário semiestruturado a agricultores/as familiares de diferentes municípios inseridos na área de estudo. Os resultados indicam a coexistência de sistemas produtivos orgânicos, agroecológicos e convencionais em contextos marcados por forte vínculo territorial, diversificação produtiva e residência na própria unidade produtiva. As respostas evidenciam, simultaneamente, reconhecimento da importância da conservação ambiental e percepção de restrições associadas às normas da unidade de conservação. Conclui-se que a agroecologia oferece base analítica consistente para interpretar as relações entre produção, conservação e permanência das famílias no campo, evidenciando a percepção ambiental dos agricultores como insumo estratégico para políticas públicas e ações de extensão rural mais sensíveis às especificidades territoriais da APASM.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C">
      <w:pPr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Palavras-chave: </w:t>
      </w:r>
      <w:r w:rsidDel="00000000" w:rsidR="00000000" w:rsidRPr="00000000">
        <w:rPr>
          <w:sz w:val="24"/>
          <w:szCs w:val="24"/>
          <w:rtl w:val="0"/>
        </w:rPr>
        <w:t xml:space="preserve">Diversidade Produtiva; Gestão Territorial; Justiça Socioambiental; Permanência no Campo; Sustentabilidade.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Introdução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 Unidades de Conservação de Uso Sustentável, como a Área de Proteção Ambiental da Serra da Mantiqueira (APASM), foram instituídas para compatibilizar a conservação da biodiversidade com a permanência de populações humanas e atividades produtivas tradicionais. Nesse contexto, a agricultura familiar assume papel central na configuração da paisagem e na produção de alimentos, operando em territórios marcados por topografia acidentada, diversidade de usos do solo e limites impostos pela legislação ambiental (APASM, 2018). Esta pesquisa delimita-se aos agricultores familiares que vivem e produzem no interior da APASM, buscando compreender como percebem o ambiente, a conservação e suas próprias práticas produtivas.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literatura aponta que o modelo convencional de desenvolvimento rural, associado à modernização agrícola, produziu impactos socioambientais relevantes e contribuiu para a intensificação de desigualdades no campo (Caporal; Costabeber, 2004; 2009). Em oposição a esse padrão, a agroecologia se consolidou como abordagem capaz de articular conhecimentos científicos, empíricos e tradicionais, valorizando a diversidade, a autonomia e a sustentabilidade dos agroecossistemas (Altieri, 2012; Caporal; Costabeber, 2004). Nesse sentido, compreender as percepções ambientais dos agricultores da APASM torna-se fundamental para interpretar as tensões entre conservação e produção, bem como para subsidiar estratégias de gestão territorial mais participativas.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problema de pesquisa consiste em entender de que modo agricultores/as familiares inseridos em uma unidade de conservação de uso sustentável percebem o ambiente em que vivem, as regras de conservação que regulam o território e as possibilidades de transição agroecológica em seus sistemas produtivos. A justificativa do estudo reside na importância socioambiental da agricultura familiar na APASM, na necessidade de qualificar o debate sobre conservação e agroecologia e na contribuição potencial da pesquisa para políticas públicas e ações de extensão rural voltadas ao fortalecimento da permanência das famílias no campo.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Diante disso, o objetivo geral é analisar as percepções ambientais de agricultores familiares que vivem e produzem na APASM, relacionando-as às práticas produtivas e às condições institucionais do território, com base no referencial da agroecologia. Especificamente, busca-se caracterizar o perfil socioeconômico e produtivo dos participantes, identificar suas percepções sobre o ambiente e a unidade de conservação e discutir em que medida tais percepções se articulam com princípios agroecológicos e demandas por apoio institucional.</w:t>
      </w:r>
    </w:p>
    <w:p w:rsidR="00000000" w:rsidDel="00000000" w:rsidP="00000000" w:rsidRDefault="00000000" w:rsidRPr="00000000" w14:paraId="00000013">
      <w:pPr>
        <w:spacing w:before="1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before="1" w:lineRule="auto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Metodologia</w:t>
      </w:r>
    </w:p>
    <w:p w:rsidR="00000000" w:rsidDel="00000000" w:rsidP="00000000" w:rsidRDefault="00000000" w:rsidRPr="00000000" w14:paraId="0000001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pesquisa possui abordagem qualitativa, de caráter exploratório e descritivo, com apoio de procedimentos quantitativos simples para a sistematização das questões fechadas. O estudo foi desenvolvido na APASM, tendo como participantes agricultores/as familiares residentes e atuantes em diferentes municípios inseridos no território da unidade.</w:t>
      </w:r>
    </w:p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produção de dados ocorreu por meio de questionário semiestruturado, contendo questões fechadas e dissertativas, aplicado presencialmente, conforme a disponibilidade dos participantes. O instrumento contemplou informações sobre perfil socioeconômico e produtivo, tempo de atuação na agricultura, relação com o território, formas de uso do solo, percepção ambiental e práticas produtivas associadas à conservação e à agroecologia. Todos/as os/as participantes assinaram o termo de consentimento livre e esclarecido, assegurando-se o caráter voluntário da participação e a confidencialidade das informações.</w:t>
      </w:r>
    </w:p>
    <w:p w:rsidR="00000000" w:rsidDel="00000000" w:rsidP="00000000" w:rsidRDefault="00000000" w:rsidRPr="00000000" w14:paraId="0000001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 respostas fechadas foram organizadas em planilhas e tratadas por meio de estatística descritiva, com frequência simples e leitura interpretativa dos dados. Já as respostas abertas foram examinadas por meio de análise temática, buscando identificar categorias relacionadas à percepção sobre o ambiente, a Unidade de Conservação, as práticas agrícolas e as possibilidades de transição agroecológica. A interpretação dos resultados foi realizada à luz da literatura sobre agroecologia e da caracterização territorial presente no Plano de Manejo da APASM.</w:t>
      </w:r>
    </w:p>
    <w:p w:rsidR="00000000" w:rsidDel="00000000" w:rsidP="00000000" w:rsidRDefault="00000000" w:rsidRPr="00000000" w14:paraId="00000018">
      <w:pPr>
        <w:spacing w:before="1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Resultados e Discussões</w:t>
      </w:r>
    </w:p>
    <w:p w:rsidR="00000000" w:rsidDel="00000000" w:rsidP="00000000" w:rsidRDefault="00000000" w:rsidRPr="00000000" w14:paraId="0000001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aplicação do questionário a dez agricultores/as familiares residentes na Área de Proteção Ambiental da Serra da Mantiqueira (APASM) revelou um quadro socioambiental marcado por forte enraizamento territorial, diversidade produtiva e coexistência de sistemas agroecológicos, orgânicos e convencionais no interior de uma Unidade de Conservação de Uso Sustentável. Os participantes estão distribuídos entre Marmelópolis, Itamonte e Delfim Moreira, em Minas Gerais, e Guaratinguetá, Piquete e São Bento do Sapucaí, em São Paulo. Itamonte concentra três casos, Marmelópolis e Guaratinguetá dois cada, enquanto Delfim Moreira, Piquete e São Bento do Sapucaí contam com um respondente por município, evidenciando inserção capilar da agricultura familiar na APASM.</w:t>
      </w:r>
    </w:p>
    <w:p w:rsidR="00000000" w:rsidDel="00000000" w:rsidP="00000000" w:rsidRDefault="00000000" w:rsidRPr="00000000" w14:paraId="0000001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perfil socioprodutivo sintetizado no quadro 1 de participantes indica seis agricultores/as agroecológicos/as, dois orgânicos e dois convencionais, com idades entre 27 e 74 anos e tempo de atuação na agricultura variando de quatro anos a “a vida toda”. As áreas produtivas oscilam entre 500 m² e 50 hectares, articulando hortaliças, frutíferas, banana, agroflorestas, apicultura e conservas artesanais. Em todos os casos, os agricultores/as residem na propriedade onde produzem e a maior parte permanece há muitos anos na região, embora nem todos sejam nascidos nela. Essa configuração reforça a agricultura familiar como forma de vida territorializada, em que moradia, trabalho e reprodução social se entrelaçam no interior da UC.</w:t>
      </w:r>
    </w:p>
    <w:p w:rsidR="00000000" w:rsidDel="00000000" w:rsidP="00000000" w:rsidRDefault="00000000" w:rsidRPr="00000000" w14:paraId="0000001B">
      <w:pPr>
        <w:widowControl w:val="1"/>
        <w:spacing w:after="240" w:before="240" w:lineRule="auto"/>
        <w:ind w:firstLine="720"/>
        <w:jc w:val="center"/>
        <w:rPr>
          <w:b w:val="1"/>
          <w:bCs w:val="1"/>
          <w:color w:val="1f2328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Tabela 1- Perfil Socioprodutivo dos/as participantes.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lineRule="auto"/>
        <w:ind w:left="-141.73228346456688" w:firstLine="0"/>
        <w:jc w:val="center"/>
        <w:rPr>
          <w:color w:val="1f2328"/>
          <w:sz w:val="24"/>
          <w:szCs w:val="24"/>
        </w:rPr>
      </w:pPr>
      <w:r w:rsidDel="00000000" w:rsidR="00000000" w:rsidRPr="00000000">
        <w:rPr>
          <w:color w:val="1f2328"/>
          <w:sz w:val="24"/>
          <w:szCs w:val="24"/>
        </w:rPr>
        <w:drawing>
          <wp:inline distB="114300" distT="114300" distL="114300" distR="114300">
            <wp:extent cx="5438775" cy="2439650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11730" l="3285" r="4123" t="16882"/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2439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1"/>
        <w:spacing w:after="240" w:before="240" w:lineRule="auto"/>
        <w:rPr>
          <w:color w:val="1f2328"/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Fonte: autoria própria.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lineRule="auto"/>
        <w:ind w:firstLine="720"/>
        <w:jc w:val="both"/>
        <w:rPr>
          <w:color w:val="1f2328"/>
          <w:sz w:val="24"/>
          <w:szCs w:val="24"/>
        </w:rPr>
      </w:pPr>
      <w:r w:rsidDel="00000000" w:rsidR="00000000" w:rsidRPr="00000000">
        <w:rPr>
          <w:color w:val="1f2328"/>
          <w:sz w:val="24"/>
          <w:szCs w:val="24"/>
          <w:rtl w:val="0"/>
        </w:rPr>
        <w:t xml:space="preserve">O mapeamento georreferenciado, realizado por meio do </w:t>
      </w:r>
      <w:r w:rsidDel="00000000" w:rsidR="00000000" w:rsidRPr="00000000">
        <w:rPr>
          <w:i w:val="1"/>
          <w:iCs w:val="1"/>
          <w:color w:val="1f2328"/>
          <w:sz w:val="24"/>
          <w:szCs w:val="24"/>
          <w:rtl w:val="0"/>
        </w:rPr>
        <w:t xml:space="preserve">Google Earth </w:t>
      </w:r>
      <w:r w:rsidDel="00000000" w:rsidR="00000000" w:rsidRPr="00000000">
        <w:rPr>
          <w:color w:val="1f2328"/>
          <w:sz w:val="24"/>
          <w:szCs w:val="24"/>
          <w:rtl w:val="0"/>
        </w:rPr>
        <w:t xml:space="preserve">e integrado ao limite oficial da APASM disponibilizado pelo Cadastro Nacional de Unidades de Conservação, confirma que todas as unidades produtivas investigadas se localizam dentro dos limites da APA. A plotagem dos pontos em mapa temático, classificando os sistemas produtivos por tipo de manejo (agroecológico, orgânico, convencional), permite visualizar um território em transição, no qual racionalidades produtivas distintas compartilham o mesmo espaço regulado por normas de conservação ambiental. A topografia montanhosa, com relevo compartimentado e restrições à mecanização intensiva, contribui para estratégias produtivas diversificadas e de baixo impacto, ajustadas às condições locais.</w:t>
      </w:r>
    </w:p>
    <w:p w:rsidR="00000000" w:rsidDel="00000000" w:rsidP="00000000" w:rsidRDefault="00000000" w:rsidRPr="00000000" w14:paraId="0000001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lineRule="auto"/>
        <w:ind w:firstLine="720"/>
        <w:jc w:val="both"/>
        <w:rPr>
          <w:color w:val="1f2328"/>
          <w:sz w:val="24"/>
          <w:szCs w:val="24"/>
        </w:rPr>
      </w:pPr>
      <w:r w:rsidDel="00000000" w:rsidR="00000000" w:rsidRPr="00000000">
        <w:rPr>
          <w:color w:val="1f2328"/>
          <w:sz w:val="24"/>
          <w:szCs w:val="24"/>
          <w:rtl w:val="0"/>
        </w:rPr>
        <w:t xml:space="preserve">Quanto à assistência técnica, observa-se acesso desigual e frequentemente inadequado às especificidades da produção orgânica e agroecológica. Alguns agricultores relatam apoio de instituições como Emater, CATI e SENAR, enquanto outros afirmam não receber acompanhamento algum ou considerá‑lo insuficiente para suas necessidades. Mesmo entre aqueles que possuem algum tipo de ATER, é recorrente a percepção de que o enfoque predominante não contempla plenamente sistemas de base ecológica, o que se configura como fraqueza importante na matriz FOFA e tensiona a viabilidade da transição agroecológica.</w:t>
      </w:r>
    </w:p>
    <w:p w:rsidR="00000000" w:rsidDel="00000000" w:rsidP="00000000" w:rsidRDefault="00000000" w:rsidRPr="00000000" w14:paraId="0000002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lineRule="auto"/>
        <w:ind w:firstLine="720"/>
        <w:jc w:val="both"/>
        <w:rPr>
          <w:color w:val="1f2328"/>
          <w:sz w:val="24"/>
          <w:szCs w:val="24"/>
        </w:rPr>
      </w:pPr>
      <w:r w:rsidDel="00000000" w:rsidR="00000000" w:rsidRPr="00000000">
        <w:rPr>
          <w:color w:val="1f2328"/>
          <w:sz w:val="24"/>
          <w:szCs w:val="24"/>
          <w:rtl w:val="0"/>
        </w:rPr>
        <w:t xml:space="preserve">No bloco de percepção ambiental, organizado em sete dimensões (Naturalista, Utilitarista, Antropocêntrica, Histórico‑cultural, Globalizante, Romântica e Socioambiental), o traço mais evidente é a convergência entre agroecológicos/as, orgânicos/as e convencionais nas dimensões naturalista e romântica. Independentemente do tipo de produção, quase todos/as respondentes concordam fortemente com afirmações sobre observar a natureza no cotidiano, depender diretamente dela para a subsistência e sentir conexão contemplativa com a paisagem. Itens que tratam da beleza da paisagem, da importância de momentos de silêncio e da observação de plantas, animais e água ao redor também recebem altos níveis de concordância. Esses resultados sugerem que o vínculo cotidiano com a terra, a dependência direta dos recursos naturais e a relação estética/afetiva com o ambiente são características compartilhadas da vida rural na APASM, e não atributos exclusivos de agricultores/as que já adotam práticas mais conservacionistas.</w:t>
      </w:r>
    </w:p>
    <w:p w:rsidR="00000000" w:rsidDel="00000000" w:rsidP="00000000" w:rsidRDefault="00000000" w:rsidRPr="00000000" w14:paraId="0000002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lineRule="auto"/>
        <w:ind w:firstLine="720"/>
        <w:jc w:val="both"/>
        <w:rPr>
          <w:color w:val="1f2328"/>
          <w:sz w:val="24"/>
          <w:szCs w:val="24"/>
        </w:rPr>
      </w:pPr>
      <w:r w:rsidDel="00000000" w:rsidR="00000000" w:rsidRPr="00000000">
        <w:rPr>
          <w:color w:val="1f2328"/>
          <w:sz w:val="24"/>
          <w:szCs w:val="24"/>
          <w:rtl w:val="0"/>
        </w:rPr>
        <w:t xml:space="preserve">As diferenças se tornam mais nítidas quando a percepção é deslocada do plano pessoal para o político e estrutural. Em afirmações que relacionam problemas ambientais locais a decisões de mercado, políticas públicas e processos globais, como mudanças climáticas, a maior parte da amostra demonstra alta concordância, reconhecendo interdependência entre ambiente local e dinâmicas externas. Um dos dois agricultores convencionais, contudo, apresenta concordância significativamente menor, distanciando‑se de uma leitura estrutural da crise ambiental, ao contrário do outro convencional, que se aproxima dos agroecológicos/as e orgânicos/as. Padrão semelhante emerge nas questões sobre participação comunitária nas decisões sobre uso da terra e dos recursos naturais: enquanto a maioria dos participantes considera importante envolver a comunidade nas escolhas, inclusive um dos convencionais, o outro produtor convencional discorda fortemente dessa ideia, rompendo com o consenso em torno da gestão participativa.</w:t>
      </w:r>
    </w:p>
    <w:p w:rsidR="00000000" w:rsidDel="00000000" w:rsidP="00000000" w:rsidRDefault="00000000" w:rsidRPr="00000000" w14:paraId="0000002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lineRule="auto"/>
        <w:ind w:firstLine="720"/>
        <w:jc w:val="both"/>
        <w:rPr>
          <w:color w:val="1f2328"/>
          <w:sz w:val="24"/>
          <w:szCs w:val="24"/>
        </w:rPr>
      </w:pPr>
      <w:r w:rsidDel="00000000" w:rsidR="00000000" w:rsidRPr="00000000">
        <w:rPr>
          <w:color w:val="1f2328"/>
          <w:sz w:val="24"/>
          <w:szCs w:val="24"/>
          <w:rtl w:val="0"/>
        </w:rPr>
        <w:t xml:space="preserve">A dimensão socioambiental explicita um contraste mais diretamente alinhado ao tipo de sistema produtivo. Afirmações que defendem o uso de recursos naturais em áreas protegidas para garantir produção e qualidade de vida tendem a obter maior concordância entre os dois agricultores convencionais, enquanto a maioria dos agroecológicos/as e orgânicos/as adota posições mais cautelosas, enfatizando a necessidade de compatibilizar uso e conservação. Nesse conjunto, a variação acompanha de maneira mais clara o tipo de manejo, indicando que a adoção de práticas de base ecológica se associa a uma visão mais restritiva quanto ao uso de recursos em Unidades de Conservação, ainda que sem eliminar tensões relacionadas à segurança produtiva e à permanência no campo.</w:t>
      </w:r>
    </w:p>
    <w:p w:rsidR="00000000" w:rsidDel="00000000" w:rsidP="00000000" w:rsidRDefault="00000000" w:rsidRPr="00000000" w14:paraId="0000002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lineRule="auto"/>
        <w:ind w:firstLine="720"/>
        <w:jc w:val="both"/>
        <w:rPr>
          <w:color w:val="1f2328"/>
          <w:sz w:val="24"/>
          <w:szCs w:val="24"/>
        </w:rPr>
      </w:pPr>
      <w:r w:rsidDel="00000000" w:rsidR="00000000" w:rsidRPr="00000000">
        <w:rPr>
          <w:color w:val="1f2328"/>
          <w:sz w:val="24"/>
          <w:szCs w:val="24"/>
          <w:rtl w:val="0"/>
        </w:rPr>
        <w:t xml:space="preserve">Um caso específico merece destaque por tensionar expectativas internas ao grupo agroecológico. Uma das agricultoras agroecológicas, justamente a que está há menos tempo na atividade (quatro anos), discorda de afirmações que valorizam o conhecimento tradicional/ancestral e a necessidade de considerar as condições de vida de quem mora no território para conservar a natureza, temas nos quais os demais agroecológicos convergem de forma consistente. Esse posicionamento indica que a identidade agroecológica na APASM pode ser construída por trajetórias mais recentes, eventualmente mediadas por formação técnica, redes institucionais ou posicionamentos políticos, e não necessariamente por enraizamento territorial profundo ou transmissão intergeracional de saberes.</w:t>
      </w:r>
    </w:p>
    <w:p w:rsidR="00000000" w:rsidDel="00000000" w:rsidP="00000000" w:rsidRDefault="00000000" w:rsidRPr="00000000" w14:paraId="0000002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lineRule="auto"/>
        <w:ind w:firstLine="720"/>
        <w:jc w:val="both"/>
        <w:rPr>
          <w:color w:val="1f2328"/>
          <w:sz w:val="24"/>
          <w:szCs w:val="24"/>
        </w:rPr>
      </w:pPr>
      <w:r w:rsidDel="00000000" w:rsidR="00000000" w:rsidRPr="00000000">
        <w:rPr>
          <w:color w:val="1f2328"/>
          <w:sz w:val="24"/>
          <w:szCs w:val="24"/>
          <w:rtl w:val="0"/>
        </w:rPr>
        <w:t xml:space="preserve">As respostas abertas vinculadas à matriz FOFA aprofundam essas interpretações. Entre as forças internas, aparecem preservação de nascentes e cursos d’água, manutenção de áreas de vegetação nativa, não uso de agrotóxicos em parte significativa das propriedades e diversificação produtiva, compondo um quadro em que agricultores familiares contribuem ativamente para a manutenção de serviços ecossistêmicos da APASM. As fraquezas destacadas incluem insuficiência de assistência técnica especializada em agroecologia, falta de mão de obra qualificada para manejo conservacionista e ausência de instrumentos de incentivo econômico para compensar os custos da conservação. Nas oportunidades, são mencionados o Pagamento por Serviços Ambientais (com referência a modelos como Extrema‑MG), PRONAF, CATI, SENAR e Emater, percebidos como arranjos institucionais com potencial de fortalecer práticas de base ecológica. As ameaças concentram eventos climáticos extremos, expansão de modelos produtivos intensivos em agrotóxicos e transgênicos no entorno, especulação imobiliária, fragmentação fundiária e presença de espécies exóticas invasoras, que pressionam simultaneamente conservação e permanência das famílias no território.</w:t>
      </w:r>
    </w:p>
    <w:p w:rsidR="00000000" w:rsidDel="00000000" w:rsidP="00000000" w:rsidRDefault="00000000" w:rsidRPr="00000000" w14:paraId="0000002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lineRule="auto"/>
        <w:jc w:val="both"/>
        <w:rPr>
          <w:b w:val="1"/>
          <w:bCs w:val="1"/>
          <w:color w:val="1f2328"/>
          <w:sz w:val="28"/>
          <w:szCs w:val="28"/>
        </w:rPr>
      </w:pPr>
      <w:r w:rsidDel="00000000" w:rsidR="00000000" w:rsidRPr="00000000">
        <w:rPr>
          <w:b w:val="1"/>
          <w:bCs w:val="1"/>
          <w:color w:val="1f2328"/>
          <w:sz w:val="28"/>
          <w:szCs w:val="28"/>
          <w:rtl w:val="0"/>
        </w:rPr>
        <w:t xml:space="preserve">Considerações Finais</w:t>
      </w:r>
    </w:p>
    <w:p w:rsidR="00000000" w:rsidDel="00000000" w:rsidP="00000000" w:rsidRDefault="00000000" w:rsidRPr="00000000" w14:paraId="0000002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lineRule="auto"/>
        <w:ind w:firstLine="720"/>
        <w:jc w:val="both"/>
        <w:rPr>
          <w:color w:val="1f2328"/>
          <w:sz w:val="24"/>
          <w:szCs w:val="24"/>
        </w:rPr>
      </w:pPr>
      <w:r w:rsidDel="00000000" w:rsidR="00000000" w:rsidRPr="00000000">
        <w:rPr>
          <w:color w:val="1f2328"/>
          <w:sz w:val="24"/>
          <w:szCs w:val="24"/>
          <w:rtl w:val="0"/>
        </w:rPr>
        <w:t xml:space="preserve">A leitura integrada dos dados empíricos: distribuição espacial dos sistemas produtivos, perfil socioprodutivo, dimensões de percepção ambiental e matriz FOFA, permite afirmar que a agricultura familiar na APASM é parte constitutiva do território e da dinâmica socioambiental da unidade. Os agricultores/as estudados/as não apenas habitam um espaço protegido, mas participam ativamente da manutenção de recursos hídricos, da cobertura vegetal e de paisagens produtivas diversificadas, ao mesmo tempo em que enfrentam restrições regulatórias, incertezas climáticas e limitações institucionais.</w:t>
      </w:r>
    </w:p>
    <w:p w:rsidR="00000000" w:rsidDel="00000000" w:rsidP="00000000" w:rsidRDefault="00000000" w:rsidRPr="00000000" w14:paraId="0000002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lineRule="auto"/>
        <w:ind w:firstLine="720"/>
        <w:jc w:val="both"/>
        <w:rPr>
          <w:color w:val="1f2328"/>
          <w:sz w:val="24"/>
          <w:szCs w:val="24"/>
        </w:rPr>
      </w:pPr>
      <w:r w:rsidDel="00000000" w:rsidR="00000000" w:rsidRPr="00000000">
        <w:rPr>
          <w:color w:val="1f2328"/>
          <w:sz w:val="24"/>
          <w:szCs w:val="24"/>
          <w:rtl w:val="0"/>
        </w:rPr>
        <w:t xml:space="preserve">As convergências observadas nas dimensões naturalista e romântica da percepção ambiental indicam que há um terreno comum importante entre agricultores/as agroecológicos/as, orgânicos/as e convencionais, marcado por vínculo cotidiano com a natureza, reconhecimento da dependência direta dos recursos e valorização afetiva da paisagem. Esse terreno comum constitui uma base relevante para processos de diálogo e construção de políticas públicas que articulam conservação e uso do território, evitando leituras que oposicionem de forma simplificada “produtores” e “ambientalistas”.</w:t>
      </w:r>
    </w:p>
    <w:p w:rsidR="00000000" w:rsidDel="00000000" w:rsidP="00000000" w:rsidRDefault="00000000" w:rsidRPr="00000000" w14:paraId="0000002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lineRule="auto"/>
        <w:ind w:firstLine="720"/>
        <w:jc w:val="both"/>
        <w:rPr>
          <w:color w:val="1f2328"/>
          <w:sz w:val="24"/>
          <w:szCs w:val="24"/>
        </w:rPr>
      </w:pPr>
      <w:r w:rsidDel="00000000" w:rsidR="00000000" w:rsidRPr="00000000">
        <w:rPr>
          <w:color w:val="1f2328"/>
          <w:sz w:val="24"/>
          <w:szCs w:val="24"/>
          <w:rtl w:val="0"/>
        </w:rPr>
        <w:t xml:space="preserve">Ao mesmo tempo, as diferenças identificadas nas dimensões socioambiental e político‑estrutural mostram que as estratégias de política não podem ser homogêneas. Agricultores/as que já incorporam práticas de base ecológica tendem a articular conservação, justiça socioambiental e limites mais claros ao uso de recursos em áreas protegidas, mas relatam carência de assistência técnica contextualizada e de instrumentos de incentivo econômico. Produtores convencionais, por sua vez, expressam maior demanda por segurança produtiva e flexibilização das normas, além de trajetórias individuais que podem se distanciar de leituras estruturais da crise ambiental e da gestão participativa.</w:t>
      </w:r>
    </w:p>
    <w:p w:rsidR="00000000" w:rsidDel="00000000" w:rsidP="00000000" w:rsidRDefault="00000000" w:rsidRPr="00000000" w14:paraId="0000002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lineRule="auto"/>
        <w:ind w:firstLine="720"/>
        <w:jc w:val="both"/>
        <w:rPr>
          <w:color w:val="1f2328"/>
          <w:sz w:val="24"/>
          <w:szCs w:val="24"/>
        </w:rPr>
      </w:pPr>
      <w:r w:rsidDel="00000000" w:rsidR="00000000" w:rsidRPr="00000000">
        <w:rPr>
          <w:color w:val="1f2328"/>
          <w:sz w:val="24"/>
          <w:szCs w:val="24"/>
          <w:rtl w:val="0"/>
        </w:rPr>
        <w:t xml:space="preserve">A matriz FOFA adaptada ao diagnóstico socioambiental da APASM aponta caminhos concretos para políticas públicas conservacionistas mais sensíveis às especificidades locais. O cruzamento entre forças internas e oportunidades externas sugere potencial para estratégias que reconheçam e remunerem serviços ecossistêmicos prestados pela agricultura familiar, fortaleçam a assistência técnica orientada pela agroecologia e ampliem o acesso a programas existentes. A articulação entre fraquezas e ameaças reforça a necessidade de políticas que enfrentem a lacuna entre oferta formal de apoio institucional e sua efetividade percebida, especialmente entre agricultores/as agroecológicos/as e orgânicos/as e que incorporem mecanismos robustos de participação social na gestão da unidade.</w:t>
      </w:r>
    </w:p>
    <w:p w:rsidR="00000000" w:rsidDel="00000000" w:rsidP="00000000" w:rsidRDefault="00000000" w:rsidRPr="00000000" w14:paraId="0000002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firstLine="72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color w:val="1f2328"/>
          <w:sz w:val="24"/>
          <w:szCs w:val="24"/>
          <w:rtl w:val="0"/>
        </w:rPr>
        <w:t xml:space="preserve">Nesse contexto, a agroecologia se afirma como referencial capaz de articular produção de alimentos, conservação da biodiversidade e permanência das famílias no campo em Unidades de Conservação de Uso Sustentável. Ao traduzir percepções ambientais, práticas produtivas e condições institucionais em subsídios para políticas territoriais, a pesquisa contribui para a construção de estratégias de gestão que reconheçam os agricultores familiares como parceiros na conservação, e não apenas como fontes de pressão sobre o ambiente, fortalecendo a compatibilização entre justiça socioambiental, sustentabilidade ecológica e uso sustentável do território na Serra da Mantiqueira.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Agradecimentos</w:t>
      </w:r>
    </w:p>
    <w:p w:rsidR="00000000" w:rsidDel="00000000" w:rsidP="00000000" w:rsidRDefault="00000000" w:rsidRPr="00000000" w14:paraId="0000002D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presente trabalho foi realizado com apoio da Coordenação de Aperfeiçoamento de Pessoal de Nível Superior (CAPES).</w:t>
      </w:r>
    </w:p>
    <w:p w:rsidR="00000000" w:rsidDel="00000000" w:rsidP="00000000" w:rsidRDefault="00000000" w:rsidRPr="00000000" w14:paraId="0000002E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Referências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1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ALTIERI, M. A.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Agroecologia: bases científicas para uma agricultura sustentável.</w:t>
      </w:r>
      <w:r w:rsidDel="00000000" w:rsidR="00000000" w:rsidRPr="00000000">
        <w:rPr>
          <w:sz w:val="24"/>
          <w:szCs w:val="24"/>
          <w:rtl w:val="0"/>
        </w:rPr>
        <w:t xml:space="preserve"> 3. ed. São Paulo: Expressão Popular, 2012.</w:t>
      </w:r>
    </w:p>
    <w:p w:rsidR="00000000" w:rsidDel="00000000" w:rsidP="00000000" w:rsidRDefault="00000000" w:rsidRPr="00000000" w14:paraId="00000031">
      <w:pPr>
        <w:widowControl w:val="1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APA DA SERRA DA MANTIQUEIRA – APASM.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Plano de Manejo da Área de Proteção Ambiental da Serra da Mantiqueira.</w:t>
      </w:r>
      <w:r w:rsidDel="00000000" w:rsidR="00000000" w:rsidRPr="00000000">
        <w:rPr>
          <w:sz w:val="24"/>
          <w:szCs w:val="24"/>
          <w:rtl w:val="0"/>
        </w:rPr>
        <w:t xml:space="preserve"> Brasília: ICMBio, 2018. Disponível em: </w:t>
      </w:r>
      <w:hyperlink r:id="rId8">
        <w:r w:rsidDel="00000000" w:rsidR="00000000" w:rsidRPr="00000000">
          <w:rPr>
            <w:sz w:val="24"/>
            <w:szCs w:val="24"/>
            <w:rtl w:val="0"/>
          </w:rPr>
          <w:t xml:space="preserve">https://www.gov.br/icmbio/pt-br/assuntos/biodiversidade/unidade-de-conservacao/unidades-de-biomas/mata-atlantica/lista-de-ucs/apa-da-serra-da-mantiqueira/arquivos/plano_de_manejo_serra_da_mantiqueira_2018.pdf</w:t>
        </w:r>
      </w:hyperlink>
      <w:r w:rsidDel="00000000" w:rsidR="00000000" w:rsidRPr="00000000">
        <w:rPr>
          <w:sz w:val="24"/>
          <w:szCs w:val="24"/>
          <w:rtl w:val="0"/>
        </w:rPr>
        <w:t xml:space="preserve"> Acesso em: 14/06/2026</w:t>
      </w:r>
    </w:p>
    <w:p w:rsidR="00000000" w:rsidDel="00000000" w:rsidP="00000000" w:rsidRDefault="00000000" w:rsidRPr="00000000" w14:paraId="00000032">
      <w:pPr>
        <w:widowControl w:val="1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CAPORAL, F. R.; COSTABEBER, J. A.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Agroecologia: alguns conceitos e princípios. </w:t>
      </w:r>
      <w:r w:rsidDel="00000000" w:rsidR="00000000" w:rsidRPr="00000000">
        <w:rPr>
          <w:sz w:val="24"/>
          <w:szCs w:val="24"/>
          <w:rtl w:val="0"/>
        </w:rPr>
        <w:t xml:space="preserve">24 p. Brasília : MDA/SAF/DATER-IICA, 2004. Disponível em: </w:t>
      </w:r>
      <w:hyperlink r:id="rId9">
        <w:r w:rsidDel="00000000" w:rsidR="00000000" w:rsidRPr="00000000">
          <w:rPr>
            <w:sz w:val="24"/>
            <w:szCs w:val="24"/>
            <w:rtl w:val="0"/>
          </w:rPr>
          <w:t xml:space="preserve">https://www.researchgate.net/profile/Francisco-Roberto-Caporal/publication/238786482_Agroecologia_alguns_conceitos_e_principios/links/5b2023fdaca272277fa8172a/Agroecologia-alguns-conceitos-e-principios.pdf</w:t>
        </w:r>
      </w:hyperlink>
      <w:r w:rsidDel="00000000" w:rsidR="00000000" w:rsidRPr="00000000">
        <w:rPr>
          <w:sz w:val="24"/>
          <w:szCs w:val="24"/>
          <w:rtl w:val="0"/>
        </w:rPr>
        <w:t xml:space="preserve"> . Acesso em 09/06/2026.</w:t>
      </w:r>
    </w:p>
    <w:p w:rsidR="00000000" w:rsidDel="00000000" w:rsidP="00000000" w:rsidRDefault="00000000" w:rsidRPr="00000000" w14:paraId="00000033">
      <w:pPr>
        <w:widowControl w:val="1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CAPORAL, F. R.; COSTABEBER, J. A.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Agroecologia : uma ciência do campo da complexidade. </w:t>
      </w:r>
      <w:r w:rsidDel="00000000" w:rsidR="00000000" w:rsidRPr="00000000">
        <w:rPr>
          <w:sz w:val="24"/>
          <w:szCs w:val="24"/>
          <w:rtl w:val="0"/>
        </w:rPr>
        <w:t xml:space="preserve">Brasília, 2009. Disponível em: </w:t>
      </w:r>
      <w:hyperlink r:id="rId10">
        <w:r w:rsidDel="00000000" w:rsidR="00000000" w:rsidRPr="00000000">
          <w:rPr>
            <w:sz w:val="24"/>
            <w:szCs w:val="24"/>
            <w:rtl w:val="0"/>
          </w:rPr>
          <w:t xml:space="preserve">https://www.bibliotecaagptea.org.br/agricultura/agroecologia/livros/AGROECOLOGIA%20-%20UMA%20CIENCIA%20DO%20CAMPO%20DA%20COMPLEXIDADE.pdf</w:t>
        </w:r>
      </w:hyperlink>
      <w:r w:rsidDel="00000000" w:rsidR="00000000" w:rsidRPr="00000000">
        <w:rPr>
          <w:sz w:val="24"/>
          <w:szCs w:val="24"/>
          <w:rtl w:val="0"/>
        </w:rPr>
        <w:t xml:space="preserve"> Acesso em: 14/06/2026</w:t>
      </w:r>
    </w:p>
    <w:p w:rsidR="00000000" w:rsidDel="00000000" w:rsidP="00000000" w:rsidRDefault="00000000" w:rsidRPr="00000000" w14:paraId="00000034">
      <w:pPr>
        <w:widowControl w:val="1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PETERSEN, P. (org.)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Apoios: Agricultura familiar camponesa na construção do futuro</w:t>
      </w:r>
      <w:r w:rsidDel="00000000" w:rsidR="00000000" w:rsidRPr="00000000">
        <w:rPr>
          <w:sz w:val="24"/>
          <w:szCs w:val="24"/>
          <w:rtl w:val="0"/>
        </w:rPr>
        <w:t xml:space="preserve"> / Paulo Petersen (org) - Rio de Janeiro: AS-PTA, 2009. Disponível em: </w:t>
      </w:r>
      <w:hyperlink r:id="rId11">
        <w:r w:rsidDel="00000000" w:rsidR="00000000" w:rsidRPr="00000000">
          <w:rPr>
            <w:sz w:val="24"/>
            <w:szCs w:val="24"/>
            <w:rtl w:val="0"/>
          </w:rPr>
          <w:t xml:space="preserve">https://bibliotecadigital.abong.org.br/bitstream/11465/373/1/ASPTA_agricultura_familiar_camponesa_constru%C3%A7%C3%A3o_futuro.pdf</w:t>
        </w:r>
      </w:hyperlink>
      <w:r w:rsidDel="00000000" w:rsidR="00000000" w:rsidRPr="00000000">
        <w:rPr>
          <w:sz w:val="24"/>
          <w:szCs w:val="24"/>
          <w:rtl w:val="0"/>
        </w:rPr>
        <w:t xml:space="preserve"> Acesso em: 14/06/2026</w:t>
      </w:r>
    </w:p>
    <w:p w:rsidR="00000000" w:rsidDel="00000000" w:rsidP="00000000" w:rsidRDefault="00000000" w:rsidRPr="00000000" w14:paraId="00000035">
      <w:pPr>
        <w:widowControl w:val="1"/>
        <w:spacing w:after="240" w:before="240" w:lineRule="auto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PETERSEN, P.; DIAS, M. M. Agroecologia e políticas públicas no Brasil: avanços e desafios.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Cadernos de Agroecologia</w:t>
      </w:r>
      <w:r w:rsidDel="00000000" w:rsidR="00000000" w:rsidRPr="00000000">
        <w:rPr>
          <w:sz w:val="24"/>
          <w:szCs w:val="24"/>
          <w:rtl w:val="0"/>
        </w:rPr>
        <w:t xml:space="preserve">, v. 14, n. 2, p. 1-12, 2019.</w:t>
      </w:r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6840" w:w="11910" w:orient="portrait"/>
      <w:pgMar w:bottom="1134" w:top="1701" w:left="1701" w:right="1134" w:header="0" w:footer="141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-85724</wp:posOffset>
          </wp:positionH>
          <wp:positionV relativeFrom="page">
            <wp:posOffset>0</wp:posOffset>
          </wp:positionV>
          <wp:extent cx="7629525" cy="1066800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29525" cy="10668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367" w:lineRule="auto"/>
      <w:ind w:left="75" w:right="209"/>
      <w:jc w:val="center"/>
    </w:pPr>
    <w:rPr>
      <w:b w:val="1"/>
      <w:bCs w:val="1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bibliotecadigital.abong.org.br/bitstream/11465/373/1/ASPTA_agricultura_familiar_camponesa_constru%C3%A7%C3%A3o_futuro.pdf" TargetMode="External"/><Relationship Id="rId10" Type="http://schemas.openxmlformats.org/officeDocument/2006/relationships/hyperlink" Target="https://www.bibliotecaagptea.org.br/agricultura/agroecologia/livros/AGROECOLOGIA%20-%20UMA%20CIENCIA%20DO%20CAMPO%20DA%20COMPLEXIDADE.pdf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researchgate.net/profile/Francisco-Roberto-Caporal/publication/238786482_Agroecologia_alguns_conceitos_e_principios/links/5b2023fdaca272277fa8172a/Agroecologia-alguns-conceitos-e-principios.pdf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hyperlink" Target="https://www.gov.br/icmbio/pt-br/assuntos/biodiversidade/unidade-de-conservacao/unidades-de-biomas/mata-atlantica/lista-de-ucs/apa-da-serra-da-mantiqueira/arquivos/plano_de_manejo_serra_da_mantiqueira_2018.pdf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2026-01-27T00:00:00Z</vt:lpwstr>
  </property>
  <property fmtid="{D5CDD505-2E9C-101B-9397-08002B2CF9AE}" pid="3" name="Creator">
    <vt:lpwstr>Microsoft Word</vt:lpwstr>
  </property>
  <property fmtid="{D5CDD505-2E9C-101B-9397-08002B2CF9AE}" pid="4" name="LastSaved">
    <vt:lpwstr>2026-01-27T00:00:00Z</vt:lpwstr>
  </property>
</Properties>
</file>