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567DC" w14:textId="5A975891" w:rsidR="00AE7DFB" w:rsidRDefault="00C726F9" w:rsidP="00AE7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726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JOGOS, MOVIMENTO E PENSAMENTO: CONTRIBUIÇÕES DA AULA DE EDUCAÇÃO FÍSICA PARA A APRENDIZAGEM DOS FATOS FUNDAMENTAIS</w:t>
      </w:r>
    </w:p>
    <w:p w14:paraId="7E9E3DCE" w14:textId="77777777" w:rsidR="00AE7DFB" w:rsidRDefault="00AE7DFB" w:rsidP="00AE7D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7B614B4" w14:textId="4C9FC2C2" w:rsidR="00AE7DFB" w:rsidRPr="00917943" w:rsidRDefault="001C644F" w:rsidP="00AE7D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Verônica Lopes Siqueira Andrade</w:t>
      </w:r>
    </w:p>
    <w:p w14:paraId="3F450373" w14:textId="41D2BBF6" w:rsidR="00AE7DFB" w:rsidRDefault="0018593E" w:rsidP="00AE7D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Secreta</w:t>
      </w:r>
      <w:r w:rsidR="00AE7D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ria de Educação de</w:t>
      </w:r>
      <w:r w:rsidR="001C644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Capitão Enéas</w:t>
      </w:r>
    </w:p>
    <w:p w14:paraId="55A2263F" w14:textId="3AFA05C7" w:rsidR="00AE7DFB" w:rsidRPr="00C726F9" w:rsidRDefault="00C726F9" w:rsidP="00AE7D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pt-BR"/>
        </w:rPr>
      </w:pPr>
      <w:r w:rsidRPr="00C726F9">
        <w:rPr>
          <w:rFonts w:ascii="Times New Roman" w:eastAsia="Times New Roman" w:hAnsi="Times New Roman" w:cs="Times New Roman"/>
          <w:bCs/>
          <w:lang w:eastAsia="pt-BR"/>
        </w:rPr>
        <w:t>antoniopereira243212@gmail.com</w:t>
      </w:r>
      <w:r w:rsidR="00AE7DFB" w:rsidRPr="00C726F9">
        <w:rPr>
          <w:rFonts w:ascii="Times New Roman" w:eastAsia="Times New Roman" w:hAnsi="Times New Roman" w:cs="Times New Roman"/>
          <w:bCs/>
          <w:lang w:eastAsia="pt-BR"/>
        </w:rPr>
        <w:t xml:space="preserve"> </w:t>
      </w:r>
    </w:p>
    <w:p w14:paraId="48A22610" w14:textId="77777777" w:rsidR="00AE7DFB" w:rsidRPr="00917943" w:rsidRDefault="00AE7DFB" w:rsidP="00AE7D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F9B123A" w14:textId="77777777" w:rsidR="00AE7DFB" w:rsidRPr="00AE7DFB" w:rsidRDefault="00AE7DFB" w:rsidP="00AE7DFB">
      <w:pPr>
        <w:pStyle w:val="NormalWeb"/>
        <w:spacing w:before="0" w:beforeAutospacing="0" w:after="0" w:afterAutospacing="0"/>
        <w:jc w:val="right"/>
      </w:pPr>
      <w:r w:rsidRPr="00AE7DFB">
        <w:rPr>
          <w:color w:val="000000"/>
        </w:rPr>
        <w:t>Josué Antunes de Macêdo</w:t>
      </w:r>
    </w:p>
    <w:p w14:paraId="4B16E973" w14:textId="77777777" w:rsidR="00AE7DFB" w:rsidRPr="00AE7DFB" w:rsidRDefault="00AE7DFB" w:rsidP="00AE7DFB">
      <w:pPr>
        <w:pStyle w:val="NormalWeb"/>
        <w:spacing w:before="0" w:beforeAutospacing="0" w:after="0" w:afterAutospacing="0"/>
        <w:jc w:val="right"/>
      </w:pPr>
      <w:r w:rsidRPr="00AE7DFB">
        <w:rPr>
          <w:color w:val="000000"/>
        </w:rPr>
        <w:t>Instituto Federal de Educação, Ciência e Tecnologia do Norte de Minas Gerais (IFNMG) e Universidade Estadu</w:t>
      </w:r>
      <w:r>
        <w:rPr>
          <w:color w:val="000000"/>
        </w:rPr>
        <w:t>al de Montes Claros - Unimontes</w:t>
      </w:r>
    </w:p>
    <w:p w14:paraId="4906CB53" w14:textId="77777777" w:rsidR="00AE7DFB" w:rsidRPr="00AE7DFB" w:rsidRDefault="000E681A" w:rsidP="00AE7DFB">
      <w:pPr>
        <w:pStyle w:val="NormalWeb"/>
        <w:spacing w:before="0" w:beforeAutospacing="0" w:after="0" w:afterAutospacing="0"/>
        <w:jc w:val="right"/>
      </w:pPr>
      <w:hyperlink r:id="rId8" w:history="1">
        <w:r w:rsidR="00AE7DFB" w:rsidRPr="00AE7DFB">
          <w:rPr>
            <w:rStyle w:val="Hyperlink"/>
            <w:sz w:val="22"/>
            <w:szCs w:val="22"/>
          </w:rPr>
          <w:t>josueama@gmail.com</w:t>
        </w:r>
      </w:hyperlink>
    </w:p>
    <w:p w14:paraId="24B3143C" w14:textId="77777777" w:rsidR="00AE7DFB" w:rsidRDefault="00AE7DFB" w:rsidP="00AE7DFB">
      <w:pPr>
        <w:spacing w:after="0" w:line="240" w:lineRule="auto"/>
        <w:jc w:val="right"/>
      </w:pPr>
    </w:p>
    <w:p w14:paraId="051BF68D" w14:textId="77777777" w:rsidR="00AE7DFB" w:rsidRDefault="00AE7DFB" w:rsidP="00AE7DF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1794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Eixo: </w:t>
      </w:r>
      <w:r w:rsidRPr="00D27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Educação Matemática</w:t>
      </w:r>
    </w:p>
    <w:p w14:paraId="1CCE2DE8" w14:textId="77777777" w:rsidR="00AE7DFB" w:rsidRPr="00E825DD" w:rsidRDefault="00AE7DFB" w:rsidP="00AE7D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CC3D6FA" w14:textId="4120427C" w:rsidR="00AE7DFB" w:rsidRPr="0058337E" w:rsidRDefault="00AE7DFB" w:rsidP="00AE7DFB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5DD">
        <w:rPr>
          <w:rFonts w:ascii="Times New Roman" w:hAnsi="Times New Roman" w:cs="Times New Roman"/>
          <w:b/>
          <w:sz w:val="24"/>
          <w:szCs w:val="24"/>
        </w:rPr>
        <w:t xml:space="preserve">Resumo: </w:t>
      </w:r>
      <w:r w:rsidRPr="00EB13A9">
        <w:rPr>
          <w:rFonts w:ascii="Times New Roman" w:hAnsi="Times New Roman" w:cs="Times New Roman"/>
          <w:sz w:val="24"/>
          <w:szCs w:val="24"/>
        </w:rPr>
        <w:t>Este trabalho teve por objetivo</w:t>
      </w:r>
      <w:r w:rsidR="00C726F9" w:rsidRPr="00EB13A9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 investigar o uso dos jogos pedagógicos nas aulas de Educação Física como estratégia para mediar a aprendizagem dos Fatos Fundamentais, favorecendo a superação de dificuldades no ensino de </w:t>
      </w:r>
      <w:r w:rsidR="00EB13A9" w:rsidRPr="00EB13A9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Matemática</w:t>
      </w:r>
      <w:r w:rsidR="00EB13A9" w:rsidRPr="00EB13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239CF" w:rsidRPr="00EB13A9">
        <w:rPr>
          <w:rFonts w:ascii="Times New Roman" w:hAnsi="Times New Roman" w:cs="Times New Roman"/>
          <w:sz w:val="24"/>
          <w:szCs w:val="24"/>
        </w:rPr>
        <w:t xml:space="preserve">Uma </w:t>
      </w:r>
      <w:r w:rsidRPr="00EB13A9">
        <w:rPr>
          <w:rFonts w:ascii="Times New Roman" w:hAnsi="Times New Roman" w:cs="Times New Roman"/>
          <w:sz w:val="24"/>
          <w:szCs w:val="24"/>
        </w:rPr>
        <w:t xml:space="preserve">pesquisa </w:t>
      </w:r>
      <w:r w:rsidR="002C5917" w:rsidRPr="00EB13A9">
        <w:rPr>
          <w:rFonts w:ascii="Times New Roman" w:hAnsi="Times New Roman" w:cs="Times New Roman"/>
          <w:sz w:val="24"/>
          <w:szCs w:val="24"/>
        </w:rPr>
        <w:t>qualitativa</w:t>
      </w:r>
      <w:r w:rsidR="0010641F" w:rsidRPr="00EB13A9">
        <w:rPr>
          <w:rFonts w:ascii="Times New Roman" w:hAnsi="Times New Roman" w:cs="Times New Roman"/>
          <w:sz w:val="24"/>
          <w:szCs w:val="24"/>
        </w:rPr>
        <w:t xml:space="preserve">, </w:t>
      </w:r>
      <w:r w:rsidR="004C14A0">
        <w:rPr>
          <w:rFonts w:ascii="Times New Roman" w:hAnsi="Times New Roman" w:cs="Times New Roman"/>
          <w:sz w:val="24"/>
          <w:szCs w:val="24"/>
        </w:rPr>
        <w:t xml:space="preserve">que contou com a participação </w:t>
      </w:r>
      <w:r w:rsidR="0032633C">
        <w:rPr>
          <w:rFonts w:ascii="Times New Roman" w:hAnsi="Times New Roman" w:cs="Times New Roman"/>
          <w:sz w:val="24"/>
          <w:szCs w:val="24"/>
        </w:rPr>
        <w:t>de treze</w:t>
      </w:r>
      <w:r w:rsidR="0010641F" w:rsidRPr="00EB13A9">
        <w:rPr>
          <w:rFonts w:ascii="Times New Roman" w:hAnsi="Times New Roman" w:cs="Times New Roman"/>
          <w:sz w:val="24"/>
          <w:szCs w:val="24"/>
        </w:rPr>
        <w:t xml:space="preserve"> estudantes de uma escola pública municipal da cidade de Montes Claros</w:t>
      </w:r>
      <w:r w:rsidR="00EB13A9" w:rsidRPr="00EB13A9">
        <w:rPr>
          <w:rFonts w:ascii="Times New Roman" w:hAnsi="Times New Roman" w:cs="Times New Roman"/>
          <w:sz w:val="24"/>
          <w:szCs w:val="24"/>
        </w:rPr>
        <w:t>-MG</w:t>
      </w:r>
      <w:r w:rsidR="0010641F" w:rsidRPr="00EB13A9">
        <w:rPr>
          <w:rFonts w:ascii="Times New Roman" w:hAnsi="Times New Roman" w:cs="Times New Roman"/>
          <w:sz w:val="24"/>
          <w:szCs w:val="24"/>
        </w:rPr>
        <w:t>,</w:t>
      </w:r>
      <w:r w:rsidR="002C5917" w:rsidRPr="006161CF">
        <w:rPr>
          <w:rFonts w:ascii="Times New Roman" w:hAnsi="Times New Roman" w:cs="Times New Roman"/>
          <w:sz w:val="24"/>
          <w:szCs w:val="24"/>
        </w:rPr>
        <w:t xml:space="preserve"> </w:t>
      </w:r>
      <w:r w:rsidR="0010641F" w:rsidRPr="006161C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tendo </w:t>
      </w:r>
      <w:r w:rsidR="0010641F" w:rsidRPr="008924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como base teórica a Teoria das Sit</w:t>
      </w:r>
      <w:r w:rsidR="0058337E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uações Didáticas</w:t>
      </w:r>
      <w:r w:rsidR="0010641F" w:rsidRPr="00FF38F6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 </w:t>
      </w:r>
      <w:r w:rsidR="0010641F" w:rsidRPr="008D628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</w:t>
      </w:r>
      <w:r w:rsidR="004C14A0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 </w:t>
      </w:r>
      <w:r w:rsidR="0010641F" w:rsidRPr="008D628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partir da aplicação de uma sequência de ensino durante as aulas de </w:t>
      </w:r>
      <w:r w:rsidR="0010641F" w:rsidRPr="0058337E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Educação Física na quadra poliesportiva. </w:t>
      </w:r>
      <w:r w:rsidR="0010641F" w:rsidRPr="00EB13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 análise dos dados, em acordo aos pressupostos da Engenha</w:t>
      </w:r>
      <w:r w:rsidR="005833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ria Didática</w:t>
      </w:r>
      <w:r w:rsidR="0010641F" w:rsidRPr="00EB13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EB13A9" w:rsidRPr="00EB13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demonstrou que</w:t>
      </w:r>
      <w:r w:rsidR="0010641F" w:rsidRPr="00EB13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0641F" w:rsidRPr="00EB13A9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o uso de jogos pedagógicos, integrados às aulas de Educação Física, mostrou-se uma estratégia efic</w:t>
      </w:r>
      <w:r w:rsidR="0010641F" w:rsidRPr="005965E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az ao promover movimento, interação social e tomada de decisão, favorecendo a part</w:t>
      </w:r>
      <w:r w:rsidR="00EB13A9" w:rsidRPr="008924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icipação ativa dos estudant</w:t>
      </w:r>
      <w:r w:rsidR="00EB13A9" w:rsidRPr="00FF38F6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es, </w:t>
      </w:r>
      <w:r w:rsidR="0010641F" w:rsidRPr="008D628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potencializando avanços na aprendizagem</w:t>
      </w:r>
      <w:r w:rsidR="00EB13A9" w:rsidRPr="008D628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 de Matemática</w:t>
      </w:r>
      <w:r w:rsidR="0010641F" w:rsidRPr="0058337E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.</w:t>
      </w:r>
    </w:p>
    <w:p w14:paraId="701B0969" w14:textId="0DE6676E" w:rsidR="00F26634" w:rsidRPr="00F26634" w:rsidRDefault="00AE7DFB" w:rsidP="00F2663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2A5E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Palavras-chave</w:t>
      </w:r>
      <w:r w:rsidRPr="00B42A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Pr="00B42A5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F26634" w:rsidRPr="00F26634">
        <w:rPr>
          <w:rFonts w:ascii="Times New Roman" w:hAnsi="Times New Roman" w:cs="Times New Roman"/>
          <w:color w:val="000000" w:themeColor="text1"/>
          <w:sz w:val="24"/>
          <w:szCs w:val="24"/>
        </w:rPr>
        <w:t>Matemática</w:t>
      </w:r>
      <w:r w:rsidR="00EB13A9">
        <w:rPr>
          <w:rFonts w:ascii="Times New Roman" w:hAnsi="Times New Roman" w:cs="Times New Roman"/>
          <w:color w:val="000000" w:themeColor="text1"/>
          <w:sz w:val="24"/>
          <w:szCs w:val="24"/>
        </w:rPr>
        <w:t>. Educação</w:t>
      </w:r>
      <w:r w:rsidR="00F26634" w:rsidRPr="00F26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Física.</w:t>
      </w:r>
      <w:r w:rsidR="00EB13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Teoria d</w:t>
      </w:r>
      <w:r w:rsidR="004C14A0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="00EB13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Situaç</w:t>
      </w:r>
      <w:r w:rsidR="004C14A0">
        <w:rPr>
          <w:rFonts w:ascii="Times New Roman" w:hAnsi="Times New Roman" w:cs="Times New Roman"/>
          <w:color w:val="000000" w:themeColor="text1"/>
          <w:sz w:val="24"/>
          <w:szCs w:val="24"/>
        </w:rPr>
        <w:t>ões</w:t>
      </w:r>
      <w:r w:rsidR="00EB13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Didática</w:t>
      </w:r>
      <w:r w:rsidR="004C14A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B13A9">
        <w:rPr>
          <w:rFonts w:ascii="Times New Roman" w:hAnsi="Times New Roman" w:cs="Times New Roman"/>
          <w:color w:val="000000" w:themeColor="text1"/>
          <w:sz w:val="24"/>
          <w:szCs w:val="24"/>
        </w:rPr>
        <w:t>. Engenharia Didática. Ensino e Aprendizagem.</w:t>
      </w:r>
      <w:r w:rsidR="00F26634" w:rsidRPr="00F26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845041E" w14:textId="77777777" w:rsidR="00AE7DFB" w:rsidRDefault="00AE7DFB" w:rsidP="005C530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72619E40" w14:textId="77777777" w:rsidR="0079012D" w:rsidRDefault="006161CF" w:rsidP="00337C76">
      <w:pPr>
        <w:pStyle w:val="Corpodetexto"/>
        <w:spacing w:after="0"/>
        <w:ind w:right="136"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7A1">
        <w:rPr>
          <w:rFonts w:ascii="Times New Roman" w:hAnsi="Times New Roman" w:cs="Times New Roman"/>
          <w:sz w:val="24"/>
          <w:szCs w:val="24"/>
          <w:lang w:val="pt-PT"/>
        </w:rPr>
        <w:t>De acordo com a Base Nacional Comum Curricular (BNCC) (Brasil 2018), a Educação Física integra a área de Linguagens e tem como objetivo proporcionar aos estudantes o acesso às práticas corporais como formas de expressão, comunicação e construção de conhecimentos. Desse modo, os jogos e as atividades que envolvem o movimento podem assumir um papel pedagógico relevante, contribuindo não apenas para o desenvolvimento motor, mas também para os aspectos cognitivos e sociais.</w:t>
      </w:r>
    </w:p>
    <w:p w14:paraId="5E87EC77" w14:textId="1CB8C3CA" w:rsidR="006161CF" w:rsidRDefault="006161CF" w:rsidP="00337C76">
      <w:pPr>
        <w:pStyle w:val="Corpodetexto"/>
        <w:spacing w:after="0"/>
        <w:ind w:right="136"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EC27A1">
        <w:rPr>
          <w:rFonts w:ascii="Times New Roman" w:hAnsi="Times New Roman" w:cs="Times New Roman"/>
          <w:sz w:val="24"/>
          <w:szCs w:val="24"/>
          <w:lang w:val="pt-PT"/>
        </w:rPr>
        <w:t xml:space="preserve"> Nesse contexto, a articulação entre Matemática e Educação Física mostra-se relevante para promover uma aprendizagem dinâmica</w:t>
      </w:r>
      <w:r w:rsidR="0079012D">
        <w:rPr>
          <w:rFonts w:ascii="Times New Roman" w:hAnsi="Times New Roman" w:cs="Times New Roman"/>
          <w:sz w:val="24"/>
          <w:szCs w:val="24"/>
          <w:lang w:val="pt-PT"/>
        </w:rPr>
        <w:t xml:space="preserve"> obedecendo aos princípios éticos conforme termo consubstanciado sob a indicação </w:t>
      </w:r>
      <w:r w:rsidR="0079012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</w:t>
      </w:r>
      <w:r w:rsidR="0079012D" w:rsidRPr="0079012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o Comitê de Ética em Pesquisa da Unimontes, com aprovação registrada pelo parecer nº 7.003.498</w:t>
      </w:r>
      <w:r w:rsidR="0079012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, 13 de agosto de 2024</w:t>
      </w:r>
      <w:r w:rsidR="0079012D" w:rsidRPr="0079012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 e C</w:t>
      </w:r>
      <w:r w:rsidR="0079012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ertificado de </w:t>
      </w:r>
      <w:r w:rsidR="0079012D" w:rsidRPr="0079012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</w:t>
      </w:r>
      <w:r w:rsidR="0079012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presentação de </w:t>
      </w:r>
      <w:r w:rsidR="0079012D" w:rsidRPr="0079012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</w:t>
      </w:r>
      <w:r w:rsidR="0079012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preciação Ética (CAAE) Nº</w:t>
      </w:r>
      <w:r w:rsidR="0079012D" w:rsidRPr="0079012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 81985224.4.0000.5146</w:t>
      </w:r>
      <w:r w:rsidRPr="00EC27A1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7558349E" w14:textId="77777777" w:rsidR="005C530C" w:rsidRDefault="005C530C" w:rsidP="00337C76">
      <w:pPr>
        <w:pStyle w:val="Corpodetexto"/>
        <w:spacing w:after="0"/>
        <w:ind w:right="136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82D6C7C" w14:textId="773BEE47" w:rsidR="005C530C" w:rsidRDefault="0050310B" w:rsidP="00337C76">
      <w:pPr>
        <w:tabs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Justificativa e problema da pesquisa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9145803" w14:textId="4D40220B" w:rsidR="00E76345" w:rsidRPr="00E76345" w:rsidRDefault="0050310B" w:rsidP="00337C76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FF">
        <w:rPr>
          <w:rFonts w:ascii="Times New Roman" w:hAnsi="Times New Roman" w:cs="Times New Roman"/>
          <w:sz w:val="24"/>
          <w:szCs w:val="24"/>
          <w:lang w:val="pt-PT"/>
        </w:rPr>
        <w:t xml:space="preserve">A inserção do cálculo, por meio de jogos pedagógicos nas aulas de Educação Física, constitui uma estratégia que visa potencializar o desenvolvimento do raciocínio matemático </w:t>
      </w:r>
      <w:r w:rsidRPr="00FC78FF">
        <w:rPr>
          <w:rFonts w:ascii="Times New Roman" w:hAnsi="Times New Roman" w:cs="Times New Roman"/>
          <w:sz w:val="24"/>
          <w:szCs w:val="24"/>
          <w:lang w:val="pt-PT"/>
        </w:rPr>
        <w:lastRenderedPageBreak/>
        <w:t>articulado à prática corporal na consolidação dos Fatos Fundamentais. Ao incorporar jogos pedagógicos, que envolvem operações matemáticas, nas atividades práticas das aulas de Educação Física, é possível estimular o interesse dos estudantes, favorecer a construção do conhecimento de forma lúdica e interdisciplinar e contribuir para o alcance dos objetivos educacionais previstos para essa etapa de ensino. Assim, o trabalho entre jogo, movimento e pensamento matemático pode tornar o processo de ensino e aprendizagem mais dinâmico</w:t>
      </w:r>
      <w:r w:rsidRPr="00FC78FF">
        <w:rPr>
          <w:rFonts w:ascii="Times New Roman" w:hAnsi="Times New Roman" w:cs="Times New Roman"/>
          <w:b/>
          <w:sz w:val="24"/>
          <w:szCs w:val="24"/>
          <w:lang w:val="pt-PT"/>
        </w:rPr>
        <w:t>.</w:t>
      </w:r>
    </w:p>
    <w:p w14:paraId="3C813BF0" w14:textId="77777777" w:rsidR="00AE7DFB" w:rsidRPr="00580907" w:rsidRDefault="00AE7DFB" w:rsidP="005C530C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8090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57DA8544" w14:textId="61101C37" w:rsidR="00FE716E" w:rsidRPr="006161CF" w:rsidRDefault="006161CF" w:rsidP="005C530C">
      <w:pPr>
        <w:spacing w:before="240"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I</w:t>
      </w:r>
      <w:r w:rsidRPr="006161C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nvestigar o uso dos jogos pedagógicos nas aulas de Educação Física como estratégia para mediar a aprendizagem dos Fatos Fundamentais, favorecendo a superação de dificuldades no ensino de </w:t>
      </w:r>
      <w:r w:rsidR="00EC27A1" w:rsidRPr="006161C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Matemática.</w:t>
      </w:r>
      <w:r w:rsidR="005C530C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 </w:t>
      </w:r>
    </w:p>
    <w:p w14:paraId="0D5EA236" w14:textId="3CC03A6F" w:rsidR="00FE716E" w:rsidRPr="00EC27A1" w:rsidRDefault="00EC27A1" w:rsidP="005C530C">
      <w:pPr>
        <w:spacing w:before="24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7A1">
        <w:rPr>
          <w:rFonts w:ascii="Times New Roman" w:hAnsi="Times New Roman" w:cs="Times New Roman"/>
          <w:b/>
          <w:sz w:val="24"/>
          <w:szCs w:val="24"/>
        </w:rPr>
        <w:t>Referencial teórico que fundamenta a pesquisa</w:t>
      </w:r>
    </w:p>
    <w:p w14:paraId="6EF1EBEA" w14:textId="1C1975C2" w:rsidR="00E76345" w:rsidRPr="00EC27A1" w:rsidRDefault="009D15A4" w:rsidP="005C530C">
      <w:pPr>
        <w:spacing w:before="240" w:after="12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9D15A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Teoria das Situações Didáticas (TSD) de Brousseau (2008) tem como foco principal a compreensão das relações existentes entre a tríade estudante, professor e saber, além do meio em que o aprendizado acontece intermediado pelo saber nas situações de ensino. Brousseau (2008) afirma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ainda</w:t>
      </w:r>
      <w:r w:rsidRPr="009D15A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que o conhecimento está ligado à situação e acontece por meio de múltiplas relaç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ões pedagógicas estabelecidas nesta</w:t>
      </w:r>
      <w:r w:rsidRPr="009D15A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tríade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51F462B9" w14:textId="77777777" w:rsidR="00AE7DFB" w:rsidRDefault="00AE7DFB" w:rsidP="005C530C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277C30A5" w14:textId="1560151F" w:rsidR="001A4CDD" w:rsidRPr="001A4CDD" w:rsidRDefault="00D31A18" w:rsidP="005C530C">
      <w:pPr>
        <w:tabs>
          <w:tab w:val="left" w:pos="709"/>
        </w:tabs>
        <w:spacing w:before="24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Para</w:t>
      </w:r>
      <w:r w:rsidR="0050310B" w:rsidRPr="0050310B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este</w:t>
      </w:r>
      <w:r w:rsidR="0050310B" w:rsidRPr="0050310B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estudo,</w:t>
      </w:r>
      <w:r w:rsidR="0050310B" w:rsidRPr="0050310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foram acompanhados </w:t>
      </w:r>
      <w:r w:rsidR="00023E80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treze</w:t>
      </w:r>
      <w:r w:rsidR="00023E80" w:rsidRPr="0050310B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estudantes</w:t>
      </w:r>
      <w:r w:rsidR="0050310B" w:rsidRPr="0050310B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do 5º</w:t>
      </w:r>
      <w:r w:rsidR="0050310B" w:rsidRPr="0050310B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val="pt-PT"/>
          <w14:ligatures w14:val="none"/>
        </w:rPr>
        <w:t xml:space="preserve"> </w:t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ano</w:t>
      </w:r>
      <w:r w:rsidR="0050310B" w:rsidRPr="0050310B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do</w:t>
      </w:r>
      <w:r w:rsidR="0050310B" w:rsidRPr="0050310B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Ensino</w:t>
      </w:r>
      <w:r w:rsidR="0050310B" w:rsidRPr="0050310B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Fundamental</w:t>
      </w:r>
      <w:r w:rsidR="0050310B" w:rsidRPr="0050310B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anos</w:t>
      </w:r>
      <w:r w:rsidR="0050310B" w:rsidRPr="0050310B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iniciais</w:t>
      </w:r>
      <w:r w:rsidR="0050310B" w:rsidRPr="0050310B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</w:t>
      </w:r>
      <w:r w:rsidR="0050310B" w:rsidRPr="0050310B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uma</w:t>
      </w:r>
      <w:r w:rsidR="0050310B" w:rsidRPr="0050310B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escola</w:t>
      </w:r>
      <w:r w:rsidR="0050310B" w:rsidRPr="0050310B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pública</w:t>
      </w:r>
      <w:r w:rsidR="0050310B" w:rsidRPr="0050310B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</w:t>
      </w:r>
      <w:r w:rsidR="0050310B" w:rsidRPr="0050310B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Montes</w:t>
      </w:r>
      <w:r w:rsidR="0050310B" w:rsidRPr="0050310B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Claros,</w:t>
      </w:r>
      <w:r w:rsidR="0050310B" w:rsidRPr="0050310B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pt-PT"/>
          <w14:ligatures w14:val="none"/>
        </w:rPr>
        <w:t xml:space="preserve"> </w:t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Minas</w:t>
      </w:r>
      <w:r w:rsidR="0050310B" w:rsidRPr="0050310B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pt-PT"/>
          <w14:ligatures w14:val="none"/>
        </w:rPr>
        <w:t xml:space="preserve"> </w:t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Gerais. A pesquisa foi desenvolvida a partir de uma abordagem qualitativa, fundamentada nas contribuições de Minayo (2009). As atividades foram planejadas com base nas habilidades da Base Nacional Comum Curricular (BNCC) (Brasil, 2018) e organizadas em uma sequência de ensino. A coleta de dados ocorreu por meio de registro em áudio e vídeo das aulas, produções dos estudantes e pela realização de atividades com resolução e discussão individual e coletiva. Teoricamente, o estudo apoia-se na Teoria das Situações Didáticas de Brousseau (2008), conteplando as fases de Ação, Formulação, Validação e Institucionalização. Tal</w:t>
      </w:r>
      <w:r w:rsidR="0050310B" w:rsidRPr="0050310B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pt-PT"/>
          <w14:ligatures w14:val="none"/>
        </w:rPr>
        <w:t xml:space="preserve"> </w:t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atuação teve como pressuposto metodológico a Engenharia Didática de</w:t>
      </w:r>
      <w:r w:rsidR="00044973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 </w:t>
      </w:r>
      <w:r w:rsidR="0050310B" w:rsidRP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Artigue (1988</w:t>
      </w:r>
      <w:r w:rsidR="0050310B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)</w:t>
      </w:r>
      <w:r w:rsidR="009D15A4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, e</w:t>
      </w:r>
      <w:r w:rsidR="009D15A4" w:rsidRPr="009D15A4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la busca investigar fenômenos didáticos mais próximos possíveis da sala de aula. Para desenvolver uma Engenharia, Artigue (1988, 1990, </w:t>
      </w:r>
      <w:r w:rsidR="005965E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1995, </w:t>
      </w:r>
      <w:r w:rsidR="009D15A4" w:rsidRPr="009D15A4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1996) definiu quatro fases, a saber: análises prévias ou preliminares; análises </w:t>
      </w:r>
      <w:r w:rsidR="009D15A4" w:rsidRPr="009D15A4">
        <w:rPr>
          <w:rFonts w:ascii="Times New Roman" w:eastAsia="Times New Roman" w:hAnsi="Times New Roman" w:cs="Times New Roman"/>
          <w:i/>
          <w:kern w:val="0"/>
          <w:sz w:val="24"/>
          <w:szCs w:val="24"/>
          <w:lang w:val="pt-PT"/>
          <w14:ligatures w14:val="none"/>
        </w:rPr>
        <w:t>a priori</w:t>
      </w:r>
      <w:r w:rsidR="009D15A4" w:rsidRPr="009D15A4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; experimentação;</w:t>
      </w:r>
      <w:r w:rsidR="009D15A4" w:rsidRPr="009D15A4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="009D15A4" w:rsidRPr="009D15A4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análise</w:t>
      </w:r>
      <w:r w:rsidR="009D15A4" w:rsidRPr="009D15A4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="009D15A4" w:rsidRPr="009D15A4">
        <w:rPr>
          <w:rFonts w:ascii="Times New Roman" w:eastAsia="Times New Roman" w:hAnsi="Times New Roman" w:cs="Times New Roman"/>
          <w:i/>
          <w:kern w:val="0"/>
          <w:sz w:val="24"/>
          <w:szCs w:val="24"/>
          <w:lang w:val="pt-PT"/>
          <w14:ligatures w14:val="none"/>
        </w:rPr>
        <w:t>a</w:t>
      </w:r>
      <w:r w:rsidR="009D15A4" w:rsidRPr="009D15A4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="009D15A4" w:rsidRPr="009D15A4">
        <w:rPr>
          <w:rFonts w:ascii="Times New Roman" w:eastAsia="Times New Roman" w:hAnsi="Times New Roman" w:cs="Times New Roman"/>
          <w:i/>
          <w:kern w:val="0"/>
          <w:sz w:val="24"/>
          <w:szCs w:val="24"/>
          <w:lang w:val="pt-PT"/>
          <w14:ligatures w14:val="none"/>
        </w:rPr>
        <w:t>posteriori</w:t>
      </w:r>
      <w:r w:rsidR="009D15A4" w:rsidRPr="009D15A4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="009D15A4" w:rsidRPr="009D15A4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</w:t>
      </w:r>
      <w:r w:rsidR="009D15A4" w:rsidRPr="009D15A4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="007C45C2" w:rsidRPr="009D15A4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validação.</w:t>
      </w:r>
      <w:r w:rsidR="005C530C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 </w:t>
      </w:r>
    </w:p>
    <w:p w14:paraId="6262F0D2" w14:textId="77777777" w:rsidR="00AE7DFB" w:rsidRDefault="00AE7DFB" w:rsidP="005C530C">
      <w:pPr>
        <w:tabs>
          <w:tab w:val="left" w:pos="709"/>
        </w:tabs>
        <w:spacing w:before="240"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14:paraId="3DE81D97" w14:textId="22170FB2" w:rsidR="0058337E" w:rsidRDefault="003B0BF9" w:rsidP="005C530C">
      <w:pPr>
        <w:pStyle w:val="PargrafodaLista"/>
        <w:widowControl w:val="0"/>
        <w:spacing w:before="240" w:after="120"/>
        <w:ind w:left="0" w:firstLine="709"/>
        <w:contextualSpacing w:val="0"/>
        <w:jc w:val="both"/>
        <w:rPr>
          <w:lang w:val="pt-PT"/>
        </w:rPr>
      </w:pPr>
      <w:r>
        <w:rPr>
          <w:lang w:val="pt-PT"/>
        </w:rPr>
        <w:t>Os resultados obtidos a</w:t>
      </w:r>
      <w:r w:rsidR="00044973">
        <w:rPr>
          <w:lang w:val="pt-PT"/>
        </w:rPr>
        <w:t xml:space="preserve"> </w:t>
      </w:r>
      <w:r>
        <w:rPr>
          <w:lang w:val="pt-PT"/>
        </w:rPr>
        <w:t>partir dos dados coletados</w:t>
      </w:r>
      <w:r w:rsidR="001E4697">
        <w:rPr>
          <w:lang w:val="pt-PT"/>
        </w:rPr>
        <w:t xml:space="preserve"> indicaram</w:t>
      </w:r>
      <w:r>
        <w:rPr>
          <w:lang w:val="pt-PT"/>
        </w:rPr>
        <w:t xml:space="preserve"> que a ansiedade dos estudantes esteve relacioda às exigências simultâneas de movimento corporal e raciocínio lógico, bem como à ausência de experiências prévias com práticas interdiciplinares entre Educação Física e Matemática</w:t>
      </w:r>
      <w:r w:rsidR="0058337E">
        <w:rPr>
          <w:lang w:val="pt-PT"/>
        </w:rPr>
        <w:t xml:space="preserve"> </w:t>
      </w:r>
      <w:r w:rsidR="00C04B1C">
        <w:rPr>
          <w:lang w:val="pt-PT"/>
        </w:rPr>
        <w:t>(</w:t>
      </w:r>
      <w:r w:rsidR="0058337E">
        <w:rPr>
          <w:lang w:val="pt-PT"/>
        </w:rPr>
        <w:t>Quadro 1</w:t>
      </w:r>
      <w:r w:rsidR="00C04B1C">
        <w:rPr>
          <w:lang w:val="pt-PT"/>
        </w:rPr>
        <w:t>)</w:t>
      </w:r>
      <w:r w:rsidR="0058337E">
        <w:rPr>
          <w:lang w:val="pt-PT"/>
        </w:rPr>
        <w:t>,</w:t>
      </w:r>
      <w:r>
        <w:rPr>
          <w:lang w:val="pt-PT"/>
        </w:rPr>
        <w:t xml:space="preserve"> gerando desconfortos iniciais e impactando o desempenho. Observou-se a predominância </w:t>
      </w:r>
      <w:r w:rsidR="001E4697">
        <w:rPr>
          <w:lang w:val="pt-PT"/>
        </w:rPr>
        <w:t xml:space="preserve">da memorização da tabuada e a ausência de métodos mais reflexíveis, como fatos derivados, decomposição numérica e relações inversas entre operações, evidenciando limitações no raciocínio mental. Tais resultados apontam para a </w:t>
      </w:r>
      <w:r w:rsidR="001E4697">
        <w:rPr>
          <w:lang w:val="pt-PT"/>
        </w:rPr>
        <w:lastRenderedPageBreak/>
        <w:t>necessidade de intervenções pedagógicas que ampliem estrátégias cognitivas e fortaleçam competências socioemocionais e cooperativas.</w:t>
      </w:r>
    </w:p>
    <w:p w14:paraId="070EC57D" w14:textId="0C9B7D47" w:rsidR="0058337E" w:rsidRDefault="0058337E" w:rsidP="0058337E">
      <w:pPr>
        <w:pStyle w:val="PargrafodaLista"/>
        <w:widowControl w:val="0"/>
        <w:spacing w:before="240" w:after="120"/>
        <w:ind w:left="0" w:firstLine="709"/>
        <w:contextualSpacing w:val="0"/>
        <w:jc w:val="center"/>
        <w:rPr>
          <w:lang w:val="pt-PT"/>
        </w:rPr>
      </w:pPr>
      <w:r>
        <w:rPr>
          <w:lang w:val="pt-PT"/>
        </w:rPr>
        <w:t>Quadro1</w:t>
      </w:r>
    </w:p>
    <w:tbl>
      <w:tblPr>
        <w:tblStyle w:val="Tabelacomgrade1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1711"/>
        <w:gridCol w:w="1585"/>
        <w:gridCol w:w="928"/>
        <w:gridCol w:w="1275"/>
        <w:gridCol w:w="1471"/>
        <w:gridCol w:w="1931"/>
      </w:tblGrid>
      <w:tr w:rsidR="0058337E" w:rsidRPr="0089243F" w14:paraId="0AC95880" w14:textId="77777777" w:rsidTr="0032633C">
        <w:trPr>
          <w:trHeight w:val="381"/>
        </w:trPr>
        <w:tc>
          <w:tcPr>
            <w:tcW w:w="1711" w:type="dxa"/>
            <w:shd w:val="clear" w:color="auto" w:fill="BFBFBF" w:themeFill="background1" w:themeFillShade="BF"/>
            <w:vAlign w:val="center"/>
          </w:tcPr>
          <w:p w14:paraId="13D37440" w14:textId="77777777" w:rsidR="0058337E" w:rsidRPr="0089243F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F38F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Atividade</w:t>
            </w:r>
          </w:p>
        </w:tc>
        <w:tc>
          <w:tcPr>
            <w:tcW w:w="1585" w:type="dxa"/>
            <w:shd w:val="clear" w:color="auto" w:fill="BFBFBF" w:themeFill="background1" w:themeFillShade="BF"/>
            <w:vAlign w:val="center"/>
          </w:tcPr>
          <w:p w14:paraId="321F7BEA" w14:textId="77777777" w:rsidR="0058337E" w:rsidRPr="0089243F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F38F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Conteúdo/foco</w:t>
            </w:r>
          </w:p>
        </w:tc>
        <w:tc>
          <w:tcPr>
            <w:tcW w:w="928" w:type="dxa"/>
            <w:shd w:val="clear" w:color="auto" w:fill="BFBFBF" w:themeFill="background1" w:themeFillShade="BF"/>
            <w:vAlign w:val="center"/>
          </w:tcPr>
          <w:p w14:paraId="7CE1907A" w14:textId="77777777" w:rsidR="0058337E" w:rsidRPr="00FF38F6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F38F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Nº de questões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74709BAB" w14:textId="77777777" w:rsidR="0058337E" w:rsidRPr="00FF38F6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F38F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Acertos</w:t>
            </w:r>
          </w:p>
        </w:tc>
        <w:tc>
          <w:tcPr>
            <w:tcW w:w="1471" w:type="dxa"/>
            <w:shd w:val="clear" w:color="auto" w:fill="BFBFBF" w:themeFill="background1" w:themeFillShade="BF"/>
            <w:vAlign w:val="center"/>
          </w:tcPr>
          <w:p w14:paraId="1F10D8FF" w14:textId="77777777" w:rsidR="0058337E" w:rsidRPr="00FF38F6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F38F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Erros</w:t>
            </w:r>
          </w:p>
        </w:tc>
        <w:tc>
          <w:tcPr>
            <w:tcW w:w="1931" w:type="dxa"/>
            <w:shd w:val="clear" w:color="auto" w:fill="BFBFBF" w:themeFill="background1" w:themeFillShade="BF"/>
            <w:vAlign w:val="center"/>
          </w:tcPr>
          <w:p w14:paraId="64617B70" w14:textId="77777777" w:rsidR="0058337E" w:rsidRPr="00FF38F6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F38F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Observação/análise</w:t>
            </w:r>
          </w:p>
        </w:tc>
      </w:tr>
      <w:tr w:rsidR="0058337E" w:rsidRPr="0089243F" w14:paraId="071AA889" w14:textId="77777777" w:rsidTr="0032633C">
        <w:trPr>
          <w:trHeight w:val="759"/>
        </w:trPr>
        <w:tc>
          <w:tcPr>
            <w:tcW w:w="1711" w:type="dxa"/>
            <w:vAlign w:val="center"/>
          </w:tcPr>
          <w:p w14:paraId="6954CDAF" w14:textId="77777777" w:rsidR="0058337E" w:rsidRPr="0089243F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Jogo do dado da soma</w:t>
            </w:r>
          </w:p>
        </w:tc>
        <w:tc>
          <w:tcPr>
            <w:tcW w:w="1585" w:type="dxa"/>
            <w:vAlign w:val="center"/>
          </w:tcPr>
          <w:p w14:paraId="7563B2B3" w14:textId="77777777" w:rsidR="0058337E" w:rsidRPr="0089243F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Adição</w:t>
            </w:r>
          </w:p>
        </w:tc>
        <w:tc>
          <w:tcPr>
            <w:tcW w:w="928" w:type="dxa"/>
            <w:vAlign w:val="center"/>
          </w:tcPr>
          <w:p w14:paraId="0CCB6E19" w14:textId="77777777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26</w:t>
            </w:r>
          </w:p>
        </w:tc>
        <w:tc>
          <w:tcPr>
            <w:tcW w:w="1275" w:type="dxa"/>
            <w:vAlign w:val="center"/>
          </w:tcPr>
          <w:p w14:paraId="734B6C4D" w14:textId="77777777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20</w:t>
            </w:r>
          </w:p>
        </w:tc>
        <w:tc>
          <w:tcPr>
            <w:tcW w:w="1471" w:type="dxa"/>
            <w:vAlign w:val="center"/>
          </w:tcPr>
          <w:p w14:paraId="2F86C128" w14:textId="77777777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6</w:t>
            </w:r>
          </w:p>
        </w:tc>
        <w:tc>
          <w:tcPr>
            <w:tcW w:w="1931" w:type="dxa"/>
            <w:vAlign w:val="center"/>
          </w:tcPr>
          <w:p w14:paraId="5FACE6AF" w14:textId="77777777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Dificuldade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 xml:space="preserve"> inicial, </w:t>
            </w: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contagem nos dedos</w:t>
            </w:r>
          </w:p>
        </w:tc>
      </w:tr>
      <w:tr w:rsidR="0058337E" w:rsidRPr="0089243F" w14:paraId="34125CD1" w14:textId="77777777" w:rsidTr="0032633C">
        <w:trPr>
          <w:trHeight w:val="276"/>
        </w:trPr>
        <w:tc>
          <w:tcPr>
            <w:tcW w:w="1711" w:type="dxa"/>
            <w:vAlign w:val="center"/>
          </w:tcPr>
          <w:p w14:paraId="24C044E5" w14:textId="77777777" w:rsidR="0058337E" w:rsidRPr="0089243F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Jogo corrida da subtração</w:t>
            </w:r>
          </w:p>
        </w:tc>
        <w:tc>
          <w:tcPr>
            <w:tcW w:w="1585" w:type="dxa"/>
            <w:vAlign w:val="center"/>
          </w:tcPr>
          <w:p w14:paraId="7F1FD6B6" w14:textId="77777777" w:rsidR="0058337E" w:rsidRPr="0089243F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Subtração</w:t>
            </w:r>
          </w:p>
        </w:tc>
        <w:tc>
          <w:tcPr>
            <w:tcW w:w="928" w:type="dxa"/>
            <w:vAlign w:val="center"/>
          </w:tcPr>
          <w:p w14:paraId="037CF5F0" w14:textId="77777777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42</w:t>
            </w:r>
          </w:p>
        </w:tc>
        <w:tc>
          <w:tcPr>
            <w:tcW w:w="1275" w:type="dxa"/>
            <w:vAlign w:val="center"/>
          </w:tcPr>
          <w:p w14:paraId="6BF3A85D" w14:textId="77777777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21</w:t>
            </w:r>
          </w:p>
        </w:tc>
        <w:tc>
          <w:tcPr>
            <w:tcW w:w="1471" w:type="dxa"/>
            <w:vAlign w:val="center"/>
          </w:tcPr>
          <w:p w14:paraId="7D8EF01E" w14:textId="77777777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21</w:t>
            </w:r>
          </w:p>
        </w:tc>
        <w:tc>
          <w:tcPr>
            <w:tcW w:w="1931" w:type="dxa"/>
            <w:vAlign w:val="center"/>
          </w:tcPr>
          <w:p w14:paraId="6F9EA44F" w14:textId="77777777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Ansiedade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 xml:space="preserve"> em acertar</w:t>
            </w: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, uso de traços de contagem na folha.</w:t>
            </w:r>
          </w:p>
        </w:tc>
      </w:tr>
      <w:tr w:rsidR="0058337E" w:rsidRPr="0089243F" w14:paraId="1C81FDF8" w14:textId="77777777" w:rsidTr="0032633C">
        <w:trPr>
          <w:trHeight w:val="414"/>
        </w:trPr>
        <w:tc>
          <w:tcPr>
            <w:tcW w:w="1711" w:type="dxa"/>
            <w:vAlign w:val="center"/>
          </w:tcPr>
          <w:p w14:paraId="3F7F89FA" w14:textId="77777777" w:rsidR="0058337E" w:rsidRPr="0089243F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Jogo pega-pega da multiplicação</w:t>
            </w:r>
          </w:p>
        </w:tc>
        <w:tc>
          <w:tcPr>
            <w:tcW w:w="1585" w:type="dxa"/>
            <w:vAlign w:val="center"/>
          </w:tcPr>
          <w:p w14:paraId="1ADD23AC" w14:textId="77777777" w:rsidR="0058337E" w:rsidRPr="0089243F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Multiplicação</w:t>
            </w:r>
          </w:p>
        </w:tc>
        <w:tc>
          <w:tcPr>
            <w:tcW w:w="928" w:type="dxa"/>
            <w:vAlign w:val="center"/>
          </w:tcPr>
          <w:p w14:paraId="30AE4DE2" w14:textId="77777777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36</w:t>
            </w:r>
          </w:p>
        </w:tc>
        <w:tc>
          <w:tcPr>
            <w:tcW w:w="1275" w:type="dxa"/>
            <w:vAlign w:val="center"/>
          </w:tcPr>
          <w:p w14:paraId="29EEAD1F" w14:textId="77777777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22</w:t>
            </w:r>
          </w:p>
        </w:tc>
        <w:tc>
          <w:tcPr>
            <w:tcW w:w="1471" w:type="dxa"/>
            <w:vAlign w:val="center"/>
          </w:tcPr>
          <w:p w14:paraId="447445D1" w14:textId="77777777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14</w:t>
            </w:r>
          </w:p>
        </w:tc>
        <w:tc>
          <w:tcPr>
            <w:tcW w:w="1931" w:type="dxa"/>
            <w:vAlign w:val="center"/>
          </w:tcPr>
          <w:p w14:paraId="3BA74EAC" w14:textId="60607BF6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 xml:space="preserve">Maior 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 xml:space="preserve">dificuldade com operações </w:t>
            </w: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com fatores 7,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8 e 9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 xml:space="preserve">, </w:t>
            </w:r>
            <w:r w:rsidR="006D4DF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e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uforia. Pediram para repetir a atividade.</w:t>
            </w:r>
          </w:p>
        </w:tc>
      </w:tr>
      <w:tr w:rsidR="0058337E" w:rsidRPr="0089243F" w14:paraId="66CCE1CD" w14:textId="77777777" w:rsidTr="0032633C">
        <w:trPr>
          <w:trHeight w:val="382"/>
        </w:trPr>
        <w:tc>
          <w:tcPr>
            <w:tcW w:w="1711" w:type="dxa"/>
            <w:vAlign w:val="center"/>
          </w:tcPr>
          <w:p w14:paraId="41F8D2A2" w14:textId="77777777" w:rsidR="0058337E" w:rsidRPr="0089243F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Jogo dança das cadeiras</w:t>
            </w:r>
          </w:p>
        </w:tc>
        <w:tc>
          <w:tcPr>
            <w:tcW w:w="1585" w:type="dxa"/>
            <w:vAlign w:val="center"/>
          </w:tcPr>
          <w:p w14:paraId="01B56BE5" w14:textId="77777777" w:rsidR="0058337E" w:rsidRPr="0089243F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Divisão</w:t>
            </w:r>
          </w:p>
        </w:tc>
        <w:tc>
          <w:tcPr>
            <w:tcW w:w="928" w:type="dxa"/>
            <w:vAlign w:val="center"/>
          </w:tcPr>
          <w:p w14:paraId="27F8D7E8" w14:textId="77777777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130</w:t>
            </w:r>
          </w:p>
        </w:tc>
        <w:tc>
          <w:tcPr>
            <w:tcW w:w="1275" w:type="dxa"/>
            <w:vAlign w:val="center"/>
          </w:tcPr>
          <w:p w14:paraId="107F9D1A" w14:textId="77777777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33</w:t>
            </w:r>
          </w:p>
        </w:tc>
        <w:tc>
          <w:tcPr>
            <w:tcW w:w="1471" w:type="dxa"/>
            <w:vAlign w:val="center"/>
          </w:tcPr>
          <w:p w14:paraId="0ABAB34F" w14:textId="77777777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97</w:t>
            </w:r>
          </w:p>
        </w:tc>
        <w:tc>
          <w:tcPr>
            <w:tcW w:w="1931" w:type="dxa"/>
            <w:vAlign w:val="center"/>
          </w:tcPr>
          <w:p w14:paraId="377D8E67" w14:textId="77777777" w:rsidR="0058337E" w:rsidRPr="00FF38F6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F38F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Muita alegria e distração ao mesmo tempo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. Lacuna conceitual.</w:t>
            </w:r>
          </w:p>
        </w:tc>
      </w:tr>
      <w:tr w:rsidR="0058337E" w:rsidRPr="0089243F" w14:paraId="5A4E358C" w14:textId="77777777" w:rsidTr="0032633C">
        <w:trPr>
          <w:trHeight w:val="382"/>
        </w:trPr>
        <w:tc>
          <w:tcPr>
            <w:tcW w:w="1711" w:type="dxa"/>
            <w:vAlign w:val="center"/>
          </w:tcPr>
          <w:p w14:paraId="5CFF7440" w14:textId="77777777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Jogo boliche dos fatos fundamentais</w:t>
            </w:r>
          </w:p>
        </w:tc>
        <w:tc>
          <w:tcPr>
            <w:tcW w:w="1585" w:type="dxa"/>
            <w:vAlign w:val="center"/>
          </w:tcPr>
          <w:p w14:paraId="4F1BA1FA" w14:textId="77777777" w:rsidR="0058337E" w:rsidRDefault="0058337E" w:rsidP="0032633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Adição</w:t>
            </w:r>
          </w:p>
          <w:p w14:paraId="7221CEC8" w14:textId="77777777" w:rsidR="0058337E" w:rsidRDefault="0058337E" w:rsidP="0032633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Subtração</w:t>
            </w:r>
          </w:p>
          <w:p w14:paraId="1606BC21" w14:textId="77777777" w:rsidR="0058337E" w:rsidRDefault="0058337E" w:rsidP="0032633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Multiplicação</w:t>
            </w:r>
          </w:p>
          <w:p w14:paraId="1B6C0001" w14:textId="77777777" w:rsidR="0058337E" w:rsidRPr="005335BA" w:rsidRDefault="0058337E" w:rsidP="0032633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Divisão</w:t>
            </w:r>
          </w:p>
        </w:tc>
        <w:tc>
          <w:tcPr>
            <w:tcW w:w="928" w:type="dxa"/>
            <w:vAlign w:val="center"/>
          </w:tcPr>
          <w:p w14:paraId="1948DAD1" w14:textId="77777777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52</w:t>
            </w:r>
          </w:p>
        </w:tc>
        <w:tc>
          <w:tcPr>
            <w:tcW w:w="1275" w:type="dxa"/>
            <w:vAlign w:val="center"/>
          </w:tcPr>
          <w:p w14:paraId="1AFF3D19" w14:textId="77777777" w:rsidR="0058337E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Adição (13)</w:t>
            </w:r>
          </w:p>
          <w:p w14:paraId="4CD7B243" w14:textId="77777777" w:rsidR="0058337E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Subtração (5)</w:t>
            </w:r>
          </w:p>
          <w:p w14:paraId="09DE8770" w14:textId="77777777" w:rsidR="0058337E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Multiplicação (7)</w:t>
            </w:r>
          </w:p>
          <w:p w14:paraId="38FE9806" w14:textId="77777777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Divisão (3)</w:t>
            </w:r>
          </w:p>
        </w:tc>
        <w:tc>
          <w:tcPr>
            <w:tcW w:w="1471" w:type="dxa"/>
            <w:vAlign w:val="center"/>
          </w:tcPr>
          <w:p w14:paraId="1A1AEAD5" w14:textId="77777777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Adição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 xml:space="preserve"> (0</w:t>
            </w: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  <w:p w14:paraId="15AFC041" w14:textId="77777777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Subtração (8</w:t>
            </w: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  <w:p w14:paraId="126F2D0C" w14:textId="77777777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Multiplicação (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6</w:t>
            </w: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  <w:p w14:paraId="4E1FD803" w14:textId="77777777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Divisão (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10</w:t>
            </w:r>
            <w:r w:rsidRPr="005335B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  <w:p w14:paraId="36AEBCD6" w14:textId="77777777" w:rsidR="0058337E" w:rsidRPr="005335BA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931" w:type="dxa"/>
            <w:vAlign w:val="center"/>
          </w:tcPr>
          <w:p w14:paraId="688F3E19" w14:textId="77777777" w:rsidR="0058337E" w:rsidRPr="008D6288" w:rsidRDefault="0058337E" w:rsidP="00C04B1C">
            <w:pPr>
              <w:widowControl w:val="0"/>
              <w:tabs>
                <w:tab w:val="left" w:pos="851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D628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t>Consolidação das aprendizagens.</w:t>
            </w:r>
          </w:p>
        </w:tc>
      </w:tr>
    </w:tbl>
    <w:p w14:paraId="240424D3" w14:textId="7080684D" w:rsidR="001E4697" w:rsidRDefault="001E4697" w:rsidP="0058337E">
      <w:pPr>
        <w:pStyle w:val="PargrafodaLista"/>
        <w:widowControl w:val="0"/>
        <w:spacing w:before="240" w:after="120"/>
        <w:ind w:left="0" w:firstLine="851"/>
        <w:contextualSpacing w:val="0"/>
        <w:jc w:val="both"/>
      </w:pPr>
      <w:r w:rsidRPr="001E4697">
        <w:t>Por outro lado, observou-se que os estudantes se mantiveram ativos</w:t>
      </w:r>
      <w:r w:rsidR="00C04B1C">
        <w:t xml:space="preserve"> (</w:t>
      </w:r>
      <w:r w:rsidR="0058337E">
        <w:t>Figura 1</w:t>
      </w:r>
      <w:r w:rsidR="00C04B1C">
        <w:t>)</w:t>
      </w:r>
      <w:r w:rsidR="0058337E">
        <w:t>,</w:t>
      </w:r>
      <w:r w:rsidRPr="001E4697">
        <w:t xml:space="preserve"> e engajados durante todas as etapas das atividades, demonstrando interesse em acertar os Fatos Fundamentais e expressando o desejo de repetir os jogos. Essa postura revela o potencial dos jogos pedagógicos, uma vez que favorecem a motivação, a participação e a construção do conhecimento de forma integrada.</w:t>
      </w:r>
    </w:p>
    <w:p w14:paraId="24F012A7" w14:textId="3D1F91A2" w:rsidR="0089243F" w:rsidRDefault="0089243F" w:rsidP="0089243F">
      <w:pPr>
        <w:pStyle w:val="PargrafodaLista"/>
        <w:widowControl w:val="0"/>
        <w:spacing w:before="240" w:after="120"/>
        <w:ind w:left="0" w:firstLine="709"/>
        <w:contextualSpacing w:val="0"/>
        <w:jc w:val="center"/>
      </w:pPr>
      <w:r>
        <w:t>Figura 1</w:t>
      </w:r>
    </w:p>
    <w:p w14:paraId="448CED44" w14:textId="7278F230" w:rsidR="0089243F" w:rsidRDefault="0089243F" w:rsidP="0089243F">
      <w:pPr>
        <w:pStyle w:val="PargrafodaLista"/>
        <w:widowControl w:val="0"/>
        <w:spacing w:before="240" w:after="120"/>
        <w:ind w:left="0" w:firstLine="709"/>
        <w:contextualSpacing w:val="0"/>
        <w:jc w:val="center"/>
      </w:pPr>
      <w:r w:rsidRPr="0089243F">
        <w:rPr>
          <w:noProof/>
        </w:rPr>
        <w:drawing>
          <wp:inline distT="0" distB="0" distL="0" distR="0" wp14:anchorId="3E8D3B53" wp14:editId="3617E096">
            <wp:extent cx="3152176" cy="19440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097460" name="Imagem 93509746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176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185DA" w14:textId="77777777" w:rsidR="00AE7DFB" w:rsidRDefault="00AE7DFB" w:rsidP="00AE7DFB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Relação do objeto de estudo com a pesquisa em Educação e eixo temático do COPED</w:t>
      </w:r>
    </w:p>
    <w:p w14:paraId="2B38C9AC" w14:textId="4BD95D3B" w:rsidR="00327DBE" w:rsidRDefault="00327DBE" w:rsidP="003C343B">
      <w:pPr>
        <w:spacing w:before="240"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presente estudo, pertencente à linha de Educação Matemática, foi desenvolvido no Programa de Pós-Graduação em Educação (PPGE) da Universidade Estadual de Montes Claros (Unimontes). </w:t>
      </w:r>
      <w:r w:rsidR="003C343B">
        <w:rPr>
          <w:rFonts w:ascii="Times New Roman" w:hAnsi="Times New Roman" w:cs="Times New Roman"/>
          <w:color w:val="000000" w:themeColor="text1"/>
          <w:sz w:val="24"/>
          <w:szCs w:val="24"/>
        </w:rPr>
        <w:t>Fundamentado na T</w:t>
      </w:r>
      <w:r w:rsidR="00521883">
        <w:rPr>
          <w:rFonts w:ascii="Times New Roman" w:hAnsi="Times New Roman" w:cs="Times New Roman"/>
          <w:color w:val="000000" w:themeColor="text1"/>
          <w:sz w:val="24"/>
          <w:szCs w:val="24"/>
        </w:rPr>
        <w:t>eoria das Situações Didáticas</w:t>
      </w:r>
      <w:r w:rsidR="003C34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521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nos pressupostos da Engenharia Didática</w:t>
      </w:r>
      <w:r w:rsidR="00CE2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desenvolvendo-se de forma interdisciplinar, com vista à construção de</w:t>
      </w:r>
      <w:proofErr w:type="gramStart"/>
      <w:r w:rsidR="005C53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34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End"/>
      <w:r w:rsidR="003C34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propostas de ensino </w:t>
      </w:r>
      <w:r w:rsidR="00CE253F">
        <w:rPr>
          <w:rFonts w:ascii="Times New Roman" w:hAnsi="Times New Roman" w:cs="Times New Roman"/>
          <w:color w:val="000000" w:themeColor="text1"/>
          <w:sz w:val="24"/>
          <w:szCs w:val="24"/>
        </w:rPr>
        <w:t>acessível, interativas e inovadoras</w:t>
      </w:r>
      <w:r w:rsidR="003C34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C53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C9D9E48" w14:textId="77777777" w:rsidR="00AE7DFB" w:rsidRDefault="00AE7DFB" w:rsidP="00AE7DFB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05CDFEFC" w14:textId="34E66DCB" w:rsidR="00E53113" w:rsidRPr="0058337E" w:rsidRDefault="00CE253F" w:rsidP="0032633C">
      <w:pPr>
        <w:pStyle w:val="Corpodetexto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58337E">
        <w:rPr>
          <w:rFonts w:ascii="Times New Roman" w:hAnsi="Times New Roman" w:cs="Times New Roman"/>
          <w:sz w:val="24"/>
          <w:szCs w:val="24"/>
          <w:lang w:val="pt-PT"/>
        </w:rPr>
        <w:t xml:space="preserve">Conclui-se que a Matemática ainda é percebida por muitos estudantes como uma disciplina difícil, especialmente no domínio dos Fatos Fundamentais, o que reforça a necessidade de metodologias mais </w:t>
      </w:r>
      <w:r>
        <w:rPr>
          <w:rFonts w:ascii="Times New Roman" w:hAnsi="Times New Roman" w:cs="Times New Roman"/>
          <w:sz w:val="24"/>
          <w:szCs w:val="24"/>
          <w:lang w:val="pt-PT"/>
        </w:rPr>
        <w:t>interativas</w:t>
      </w:r>
      <w:r w:rsidRPr="0058337E">
        <w:rPr>
          <w:rFonts w:ascii="Times New Roman" w:hAnsi="Times New Roman" w:cs="Times New Roman"/>
          <w:sz w:val="24"/>
          <w:szCs w:val="24"/>
          <w:lang w:val="pt-PT"/>
        </w:rPr>
        <w:t xml:space="preserve"> e </w:t>
      </w:r>
      <w:r>
        <w:rPr>
          <w:rFonts w:ascii="Times New Roman" w:hAnsi="Times New Roman" w:cs="Times New Roman"/>
          <w:sz w:val="24"/>
          <w:szCs w:val="24"/>
          <w:lang w:val="pt-PT"/>
        </w:rPr>
        <w:t>inovadoras</w:t>
      </w:r>
      <w:r w:rsidRPr="0058337E">
        <w:rPr>
          <w:rFonts w:ascii="Times New Roman" w:hAnsi="Times New Roman" w:cs="Times New Roman"/>
          <w:sz w:val="24"/>
          <w:szCs w:val="24"/>
          <w:lang w:val="pt-PT"/>
        </w:rPr>
        <w:t>. Nesse sentido, o uso de jogos pedagógicos, integrados às aulas de Educação Física, mostrou-se uma estratégia eficaz ao promover movimento, interação social e tomada de decisão, favorecendo a participação ativa dos estudantes. Assim, práticas lúdicas e interdisciplinares contribuem para a construção do conhecimento matemático de forma mais acessível, envolvente e menos intimidadora, potencializando avanços na aprendizagem.</w:t>
      </w:r>
    </w:p>
    <w:p w14:paraId="4ABBC052" w14:textId="77777777" w:rsidR="00AE7DFB" w:rsidRDefault="00AE7DFB" w:rsidP="00AE7DFB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640C46C1" w14:textId="3EBA33EF" w:rsidR="00CE253F" w:rsidRPr="00CE253F" w:rsidRDefault="00CE253F" w:rsidP="0032633C">
      <w:pPr>
        <w:widowControl w:val="0"/>
        <w:autoSpaceDE w:val="0"/>
        <w:autoSpaceDN w:val="0"/>
        <w:spacing w:before="98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ARTIGUE,</w:t>
      </w:r>
      <w:r w:rsidRPr="00CE253F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Michelle.</w:t>
      </w:r>
      <w:r w:rsidRPr="00CE253F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Ingénierie</w:t>
      </w:r>
      <w:r w:rsidRPr="00CE253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Didactique.</w:t>
      </w:r>
      <w:r w:rsidRPr="00CE253F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Recherches em</w:t>
      </w:r>
      <w:r w:rsidRPr="00CE253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Didactique</w:t>
      </w:r>
      <w:r w:rsidRPr="00CE253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des</w:t>
      </w:r>
      <w:r w:rsidRPr="00CE253F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Mathématiques,</w:t>
      </w:r>
      <w:r w:rsidRPr="00CE253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Grenoble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,</w:t>
      </w:r>
      <w:r w:rsidRPr="00CE253F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v.</w:t>
      </w:r>
      <w:r w:rsidRPr="00CE253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9,</w:t>
      </w:r>
      <w:r w:rsidRPr="00CE253F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n.</w:t>
      </w:r>
      <w:r w:rsidRPr="00CE253F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3,</w:t>
      </w:r>
      <w:r w:rsidRPr="00CE253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p.</w:t>
      </w:r>
      <w:r w:rsidRPr="00CE253F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281-308,</w:t>
      </w:r>
      <w:r w:rsidRPr="00CE253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>1988.</w:t>
      </w:r>
    </w:p>
    <w:p w14:paraId="460352D3" w14:textId="77777777" w:rsidR="00CE253F" w:rsidRPr="00CE253F" w:rsidRDefault="00CE253F" w:rsidP="0032633C">
      <w:pPr>
        <w:widowControl w:val="0"/>
        <w:autoSpaceDE w:val="0"/>
        <w:autoSpaceDN w:val="0"/>
        <w:spacing w:before="101" w:after="0" w:line="240" w:lineRule="auto"/>
        <w:ind w:right="434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ARTIGUE,</w:t>
      </w:r>
      <w:r w:rsidRPr="00CE253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Michelle. Epistémologie</w:t>
      </w:r>
      <w:r w:rsidRPr="00CE253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et</w:t>
      </w:r>
      <w:r w:rsidRPr="00CE253F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Didactique.</w:t>
      </w:r>
      <w:r w:rsidRPr="00CE253F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Recherches en</w:t>
      </w:r>
      <w:r w:rsidRPr="00CE253F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didactique</w:t>
      </w:r>
      <w:r w:rsidRPr="00CE253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des</w:t>
      </w:r>
      <w:r w:rsidRPr="00CE253F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mathématiques.</w:t>
      </w:r>
      <w:r w:rsidRPr="00CE253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Grenoble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,</w:t>
      </w:r>
      <w:r w:rsidRPr="00CE253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v.</w:t>
      </w:r>
      <w:r w:rsidRPr="00CE253F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10,</w:t>
      </w:r>
      <w:r w:rsidRPr="00CE253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n.</w:t>
      </w:r>
      <w:r w:rsidRPr="00CE253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2.3,</w:t>
      </w:r>
      <w:r w:rsidRPr="00CE253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p.</w:t>
      </w:r>
      <w:r w:rsidRPr="00CE253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241-286,</w:t>
      </w:r>
      <w:r w:rsidRPr="00CE253F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1990.</w:t>
      </w:r>
    </w:p>
    <w:p w14:paraId="50588293" w14:textId="68B4725C" w:rsidR="006D4DF1" w:rsidRPr="00CE253F" w:rsidRDefault="00CE253F" w:rsidP="006D4DF1">
      <w:pPr>
        <w:widowControl w:val="0"/>
        <w:autoSpaceDE w:val="0"/>
        <w:autoSpaceDN w:val="0"/>
        <w:spacing w:before="104" w:after="0" w:line="240" w:lineRule="auto"/>
        <w:ind w:right="437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ARTIGUE,</w:t>
      </w:r>
      <w:r w:rsidRPr="00CE253F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Michelle</w:t>
      </w:r>
      <w:r w:rsidRPr="00CE253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pt-PT"/>
          <w14:ligatures w14:val="none"/>
        </w:rPr>
        <w:t>.</w:t>
      </w:r>
      <w:r w:rsidRPr="00CE253F">
        <w:rPr>
          <w:rFonts w:ascii="Times New Roman" w:eastAsia="Times New Roman" w:hAnsi="Times New Roman" w:cs="Times New Roman"/>
          <w:b/>
          <w:i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Ingeniería</w:t>
      </w:r>
      <w:r w:rsidRPr="00CE253F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Didáctica.</w:t>
      </w:r>
      <w:r w:rsidRPr="00CE253F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i/>
          <w:kern w:val="0"/>
          <w:sz w:val="24"/>
          <w:szCs w:val="24"/>
          <w:lang w:val="pt-PT"/>
          <w14:ligatures w14:val="none"/>
        </w:rPr>
        <w:t>In:</w:t>
      </w:r>
      <w:r w:rsidRPr="00CE253F">
        <w:rPr>
          <w:rFonts w:ascii="Times New Roman" w:eastAsia="Times New Roman" w:hAnsi="Times New Roman" w:cs="Times New Roman"/>
          <w:i/>
          <w:spacing w:val="-9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ARTIGUE,</w:t>
      </w:r>
      <w:r w:rsidRPr="00CE253F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M.;</w:t>
      </w:r>
      <w:r w:rsidRPr="00CE253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DOUADY,</w:t>
      </w:r>
      <w:r w:rsidRPr="00CE253F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R.;</w:t>
      </w:r>
      <w:r w:rsidRPr="00CE253F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MORENO,</w:t>
      </w:r>
      <w:r w:rsidRPr="00CE253F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L.;</w:t>
      </w:r>
      <w:r w:rsidRPr="00CE253F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GÓMEZ,</w:t>
      </w:r>
      <w:r w:rsidRPr="00CE253F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P.</w:t>
      </w:r>
      <w:r w:rsidRPr="00CE253F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(ed.).</w:t>
      </w:r>
      <w:r w:rsidRPr="00CE253F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 xml:space="preserve">Ingeniería Didáctica em Educación Matemática.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Bogotá: Grupo Editorial Iberoamérica, 1995. p. 33-59.</w:t>
      </w:r>
    </w:p>
    <w:p w14:paraId="6E96280D" w14:textId="118B7515" w:rsidR="006D4DF1" w:rsidRPr="00CE253F" w:rsidRDefault="00044973" w:rsidP="006D4DF1">
      <w:pPr>
        <w:widowControl w:val="0"/>
        <w:autoSpaceDE w:val="0"/>
        <w:autoSpaceDN w:val="0"/>
        <w:spacing w:before="104" w:after="0" w:line="240" w:lineRule="auto"/>
        <w:ind w:right="437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ARTIGUE,</w:t>
      </w:r>
      <w:r w:rsidRPr="00CE253F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Michelle.</w:t>
      </w:r>
      <w:r w:rsidRPr="00CE253F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Engenharia</w:t>
      </w:r>
      <w:r w:rsidRPr="00CE253F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Didática:</w:t>
      </w:r>
      <w:r w:rsidRPr="00CE253F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Didáticas</w:t>
      </w:r>
      <w:r w:rsidRPr="00CE253F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das</w:t>
      </w:r>
      <w:r w:rsidRPr="00CE253F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Matemáticas</w:t>
      </w:r>
      <w:r w:rsidRPr="00CE253F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(Dir.</w:t>
      </w:r>
      <w:r w:rsidRPr="00CE253F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Jean</w:t>
      </w:r>
      <w:r w:rsidRPr="00CE253F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Brun).</w:t>
      </w:r>
      <w:r w:rsidRPr="00CE253F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Tradução</w:t>
      </w:r>
      <w:r w:rsidRPr="00CE253F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Maria</w:t>
      </w:r>
      <w:r w:rsidRPr="00CE253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José</w:t>
      </w:r>
      <w:r w:rsidRPr="00CE253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Figueiredo.</w:t>
      </w:r>
      <w:r w:rsidRPr="00CE253F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Lisboa: Instituto Piaget; Horizontes Pedagógicos, 1996.</w:t>
      </w:r>
    </w:p>
    <w:p w14:paraId="2C11E668" w14:textId="77777777" w:rsidR="00CE253F" w:rsidRPr="00CE253F" w:rsidRDefault="00CE253F" w:rsidP="0032633C">
      <w:pPr>
        <w:widowControl w:val="0"/>
        <w:autoSpaceDE w:val="0"/>
        <w:autoSpaceDN w:val="0"/>
        <w:spacing w:before="10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BRASIL.</w:t>
      </w:r>
      <w:r w:rsidRPr="00CE253F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Ministério</w:t>
      </w:r>
      <w:r w:rsidRPr="00CE253F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da</w:t>
      </w:r>
      <w:r w:rsidRPr="00CE253F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Educação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.</w:t>
      </w:r>
      <w:r w:rsidRPr="00CE253F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Base</w:t>
      </w:r>
      <w:r w:rsidRPr="00CE253F">
        <w:rPr>
          <w:rFonts w:ascii="Times New Roman" w:eastAsia="Times New Roman" w:hAnsi="Times New Roman" w:cs="Times New Roman"/>
          <w:b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Nacional</w:t>
      </w:r>
      <w:r w:rsidRPr="00CE253F">
        <w:rPr>
          <w:rFonts w:ascii="Times New Roman" w:eastAsia="Times New Roman" w:hAnsi="Times New Roman" w:cs="Times New Roman"/>
          <w:b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Comum</w:t>
      </w:r>
      <w:r w:rsidRPr="00CE253F">
        <w:rPr>
          <w:rFonts w:ascii="Times New Roman" w:eastAsia="Times New Roman" w:hAnsi="Times New Roman" w:cs="Times New Roman"/>
          <w:b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Curricular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.</w:t>
      </w:r>
      <w:r w:rsidRPr="00CE253F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Brasília:</w:t>
      </w:r>
      <w:r w:rsidRPr="00CE253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Mec,</w:t>
      </w:r>
      <w:r w:rsidRPr="00CE253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>2018.</w:t>
      </w:r>
    </w:p>
    <w:p w14:paraId="45C0F2E8" w14:textId="77777777" w:rsidR="00CE253F" w:rsidRPr="00CE253F" w:rsidRDefault="00CE253F" w:rsidP="0032633C">
      <w:pPr>
        <w:widowControl w:val="0"/>
        <w:autoSpaceDE w:val="0"/>
        <w:autoSpaceDN w:val="0"/>
        <w:spacing w:before="102" w:after="0" w:line="240" w:lineRule="auto"/>
        <w:ind w:right="434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</w:pP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BROUSSEAU,</w:t>
      </w:r>
      <w:r w:rsidRPr="00CE253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Guy.</w:t>
      </w:r>
      <w:r w:rsidRPr="00CE253F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Introdução</w:t>
      </w:r>
      <w:r w:rsidRPr="00CE253F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ao</w:t>
      </w:r>
      <w:r w:rsidRPr="00CE253F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estudo</w:t>
      </w:r>
      <w:r w:rsidRPr="00CE253F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das</w:t>
      </w:r>
      <w:r w:rsidRPr="00CE253F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situações</w:t>
      </w:r>
      <w:r w:rsidRPr="00CE253F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didáticas:</w:t>
      </w:r>
      <w:r w:rsidRPr="00CE253F">
        <w:rPr>
          <w:rFonts w:ascii="Times New Roman" w:eastAsia="Times New Roman" w:hAnsi="Times New Roman" w:cs="Times New Roman"/>
          <w:b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conteúdos</w:t>
      </w:r>
      <w:r w:rsidRPr="00CE253F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e</w:t>
      </w:r>
      <w:r w:rsidRPr="00CE253F">
        <w:rPr>
          <w:rFonts w:ascii="Times New Roman" w:eastAsia="Times New Roman" w:hAnsi="Times New Roman" w:cs="Times New Roman"/>
          <w:b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métodos</w:t>
      </w:r>
      <w:r w:rsidRPr="00CE253F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de</w:t>
      </w:r>
      <w:r w:rsidRPr="00CE253F">
        <w:rPr>
          <w:rFonts w:ascii="Times New Roman" w:eastAsia="Times New Roman" w:hAnsi="Times New Roman" w:cs="Times New Roman"/>
          <w:b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ensino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.</w:t>
      </w:r>
      <w:r w:rsidRPr="00CE253F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São</w:t>
      </w:r>
      <w:r w:rsidRPr="00CE253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Paulo:</w:t>
      </w:r>
      <w:r w:rsidRPr="00CE253F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Ática,</w:t>
      </w:r>
      <w:r w:rsidRPr="00CE253F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2008. </w:t>
      </w:r>
      <w:r w:rsidRPr="00CE253F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>128p.</w:t>
      </w:r>
    </w:p>
    <w:p w14:paraId="1FCDDB2A" w14:textId="17C7BC1E" w:rsidR="00327DBE" w:rsidRPr="00327DBE" w:rsidRDefault="00CE253F" w:rsidP="0032633C">
      <w:pPr>
        <w:widowControl w:val="0"/>
        <w:autoSpaceDE w:val="0"/>
        <w:autoSpaceDN w:val="0"/>
        <w:spacing w:before="102" w:after="0" w:line="240" w:lineRule="auto"/>
        <w:ind w:right="434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MINAYO, Maria Cecília de Souza. </w:t>
      </w:r>
      <w:r w:rsidRPr="00CE253F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O desafio do conhecimento: pesquisa qualitativa em saúde</w:t>
      </w:r>
      <w:r w:rsidRPr="00CE253F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. 11. ed. São Paulo: Hucitec, 2009.</w:t>
      </w:r>
      <w:bookmarkStart w:id="0" w:name="_GoBack"/>
      <w:bookmarkEnd w:id="0"/>
    </w:p>
    <w:sectPr w:rsidR="00327DBE" w:rsidRPr="00327DBE">
      <w:headerReference w:type="default" r:id="rId10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DB890C" w14:textId="77777777" w:rsidR="000E681A" w:rsidRDefault="000E681A">
      <w:pPr>
        <w:spacing w:line="240" w:lineRule="auto"/>
      </w:pPr>
      <w:r>
        <w:separator/>
      </w:r>
    </w:p>
  </w:endnote>
  <w:endnote w:type="continuationSeparator" w:id="0">
    <w:p w14:paraId="5771967E" w14:textId="77777777" w:rsidR="000E681A" w:rsidRDefault="000E68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BB74A0" w14:textId="77777777" w:rsidR="000E681A" w:rsidRDefault="000E681A">
      <w:pPr>
        <w:spacing w:after="0"/>
      </w:pPr>
      <w:r>
        <w:separator/>
      </w:r>
    </w:p>
  </w:footnote>
  <w:footnote w:type="continuationSeparator" w:id="0">
    <w:p w14:paraId="533D534E" w14:textId="77777777" w:rsidR="000E681A" w:rsidRDefault="000E68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1AF0EB" w14:textId="77777777" w:rsidR="00E825DD" w:rsidRDefault="00E825DD">
    <w:pPr>
      <w:pStyle w:val="Cabealho"/>
    </w:pPr>
    <w:r>
      <w:rPr>
        <w:noProof/>
        <w:lang w:eastAsia="pt-BR"/>
      </w:rPr>
      <w:drawing>
        <wp:inline distT="0" distB="0" distL="114300" distR="114300" wp14:anchorId="231986F8" wp14:editId="255B8E0B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34CB"/>
    <w:rsid w:val="00023E80"/>
    <w:rsid w:val="00044973"/>
    <w:rsid w:val="000B16D9"/>
    <w:rsid w:val="000C250F"/>
    <w:rsid w:val="000E681A"/>
    <w:rsid w:val="0010641F"/>
    <w:rsid w:val="0010744B"/>
    <w:rsid w:val="00124B05"/>
    <w:rsid w:val="00136931"/>
    <w:rsid w:val="00172A27"/>
    <w:rsid w:val="0018593E"/>
    <w:rsid w:val="001A4CDD"/>
    <w:rsid w:val="001C644F"/>
    <w:rsid w:val="001D215F"/>
    <w:rsid w:val="001E4697"/>
    <w:rsid w:val="002076A2"/>
    <w:rsid w:val="00241960"/>
    <w:rsid w:val="00260178"/>
    <w:rsid w:val="002C5917"/>
    <w:rsid w:val="0032633C"/>
    <w:rsid w:val="00327DBE"/>
    <w:rsid w:val="00337C76"/>
    <w:rsid w:val="00356C5F"/>
    <w:rsid w:val="00361CDB"/>
    <w:rsid w:val="00361E46"/>
    <w:rsid w:val="003B0BF9"/>
    <w:rsid w:val="003C343B"/>
    <w:rsid w:val="00415280"/>
    <w:rsid w:val="00431D2A"/>
    <w:rsid w:val="004C14A0"/>
    <w:rsid w:val="0050310B"/>
    <w:rsid w:val="00521883"/>
    <w:rsid w:val="005335BA"/>
    <w:rsid w:val="00552755"/>
    <w:rsid w:val="00583360"/>
    <w:rsid w:val="0058337E"/>
    <w:rsid w:val="005965EF"/>
    <w:rsid w:val="005C530C"/>
    <w:rsid w:val="005E255C"/>
    <w:rsid w:val="006161CF"/>
    <w:rsid w:val="00677F30"/>
    <w:rsid w:val="006D4DF1"/>
    <w:rsid w:val="00741E2B"/>
    <w:rsid w:val="0079012D"/>
    <w:rsid w:val="007C45C2"/>
    <w:rsid w:val="007E677E"/>
    <w:rsid w:val="00847BB2"/>
    <w:rsid w:val="00857AFD"/>
    <w:rsid w:val="0089243F"/>
    <w:rsid w:val="008B62FB"/>
    <w:rsid w:val="008C456A"/>
    <w:rsid w:val="008D6288"/>
    <w:rsid w:val="008D6C6A"/>
    <w:rsid w:val="009D15A4"/>
    <w:rsid w:val="009F1E71"/>
    <w:rsid w:val="00AA5863"/>
    <w:rsid w:val="00AE7DFB"/>
    <w:rsid w:val="00B755B5"/>
    <w:rsid w:val="00B82A8F"/>
    <w:rsid w:val="00C04B1C"/>
    <w:rsid w:val="00C11BD0"/>
    <w:rsid w:val="00C726F9"/>
    <w:rsid w:val="00CE253F"/>
    <w:rsid w:val="00D02C2C"/>
    <w:rsid w:val="00D31A18"/>
    <w:rsid w:val="00D66922"/>
    <w:rsid w:val="00DF7E54"/>
    <w:rsid w:val="00E53113"/>
    <w:rsid w:val="00E76345"/>
    <w:rsid w:val="00E825DD"/>
    <w:rsid w:val="00EB13A9"/>
    <w:rsid w:val="00EC15C9"/>
    <w:rsid w:val="00EC27A1"/>
    <w:rsid w:val="00F239CF"/>
    <w:rsid w:val="00F26634"/>
    <w:rsid w:val="00F474EE"/>
    <w:rsid w:val="00F716C1"/>
    <w:rsid w:val="00F77B9F"/>
    <w:rsid w:val="00F84658"/>
    <w:rsid w:val="00FC583F"/>
    <w:rsid w:val="00FD6871"/>
    <w:rsid w:val="00FE716E"/>
    <w:rsid w:val="00FF38F6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192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rsid w:val="00F266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26634"/>
    <w:rPr>
      <w:rFonts w:eastAsia="Times New Roman"/>
    </w:rPr>
  </w:style>
  <w:style w:type="character" w:styleId="Refdenotaderodap">
    <w:name w:val="footnote reference"/>
    <w:uiPriority w:val="99"/>
    <w:rsid w:val="00F26634"/>
    <w:rPr>
      <w:vertAlign w:val="superscript"/>
    </w:rPr>
  </w:style>
  <w:style w:type="paragraph" w:customStyle="1" w:styleId="texto">
    <w:name w:val="texto"/>
    <w:basedOn w:val="Normal"/>
    <w:link w:val="textoChar"/>
    <w:qFormat/>
    <w:rsid w:val="00E76345"/>
    <w:pPr>
      <w:tabs>
        <w:tab w:val="left" w:pos="709"/>
      </w:tabs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color w:val="000000" w:themeColor="text1"/>
      <w:kern w:val="0"/>
      <w:sz w:val="24"/>
      <w:szCs w:val="24"/>
      <w:lang w:eastAsia="pt-BR"/>
      <w14:ligatures w14:val="none"/>
    </w:rPr>
  </w:style>
  <w:style w:type="character" w:customStyle="1" w:styleId="textoChar">
    <w:name w:val="texto Char"/>
    <w:basedOn w:val="Fontepargpadro"/>
    <w:link w:val="texto"/>
    <w:rsid w:val="00E76345"/>
    <w:rPr>
      <w:rFonts w:eastAsia="Times New Roman"/>
      <w:color w:val="000000" w:themeColor="text1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41528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o">
    <w:name w:val="Revision"/>
    <w:hidden/>
    <w:uiPriority w:val="99"/>
    <w:semiHidden/>
    <w:rsid w:val="00B755B5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871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character" w:styleId="Refdecomentrio">
    <w:name w:val="annotation reference"/>
    <w:basedOn w:val="Fontepargpadro"/>
    <w:uiPriority w:val="99"/>
    <w:semiHidden/>
    <w:unhideWhenUsed/>
    <w:rsid w:val="001C644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C644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C644F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C644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C644F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paragraph" w:styleId="Corpodetexto">
    <w:name w:val="Body Text"/>
    <w:basedOn w:val="Normal"/>
    <w:link w:val="CorpodetextoChar"/>
    <w:uiPriority w:val="99"/>
    <w:unhideWhenUsed/>
    <w:rsid w:val="006161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61CF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PargrafodaLista">
    <w:name w:val="List Paragraph"/>
    <w:basedOn w:val="Normal"/>
    <w:uiPriority w:val="34"/>
    <w:qFormat/>
    <w:rsid w:val="001E46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elacomgrade1">
    <w:name w:val="Tabela com grade1"/>
    <w:basedOn w:val="Tabelanormal"/>
    <w:next w:val="Tabelacomgrade"/>
    <w:uiPriority w:val="59"/>
    <w:qFormat/>
    <w:rsid w:val="0089243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rsid w:val="00F266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26634"/>
    <w:rPr>
      <w:rFonts w:eastAsia="Times New Roman"/>
    </w:rPr>
  </w:style>
  <w:style w:type="character" w:styleId="Refdenotaderodap">
    <w:name w:val="footnote reference"/>
    <w:uiPriority w:val="99"/>
    <w:rsid w:val="00F26634"/>
    <w:rPr>
      <w:vertAlign w:val="superscript"/>
    </w:rPr>
  </w:style>
  <w:style w:type="paragraph" w:customStyle="1" w:styleId="texto">
    <w:name w:val="texto"/>
    <w:basedOn w:val="Normal"/>
    <w:link w:val="textoChar"/>
    <w:qFormat/>
    <w:rsid w:val="00E76345"/>
    <w:pPr>
      <w:tabs>
        <w:tab w:val="left" w:pos="709"/>
      </w:tabs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color w:val="000000" w:themeColor="text1"/>
      <w:kern w:val="0"/>
      <w:sz w:val="24"/>
      <w:szCs w:val="24"/>
      <w:lang w:eastAsia="pt-BR"/>
      <w14:ligatures w14:val="none"/>
    </w:rPr>
  </w:style>
  <w:style w:type="character" w:customStyle="1" w:styleId="textoChar">
    <w:name w:val="texto Char"/>
    <w:basedOn w:val="Fontepargpadro"/>
    <w:link w:val="texto"/>
    <w:rsid w:val="00E76345"/>
    <w:rPr>
      <w:rFonts w:eastAsia="Times New Roman"/>
      <w:color w:val="000000" w:themeColor="text1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41528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o">
    <w:name w:val="Revision"/>
    <w:hidden/>
    <w:uiPriority w:val="99"/>
    <w:semiHidden/>
    <w:rsid w:val="00B755B5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871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character" w:styleId="Refdecomentrio">
    <w:name w:val="annotation reference"/>
    <w:basedOn w:val="Fontepargpadro"/>
    <w:uiPriority w:val="99"/>
    <w:semiHidden/>
    <w:unhideWhenUsed/>
    <w:rsid w:val="001C644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C644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C644F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C644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C644F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paragraph" w:styleId="Corpodetexto">
    <w:name w:val="Body Text"/>
    <w:basedOn w:val="Normal"/>
    <w:link w:val="CorpodetextoChar"/>
    <w:uiPriority w:val="99"/>
    <w:unhideWhenUsed/>
    <w:rsid w:val="006161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61CF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PargrafodaLista">
    <w:name w:val="List Paragraph"/>
    <w:basedOn w:val="Normal"/>
    <w:uiPriority w:val="34"/>
    <w:qFormat/>
    <w:rsid w:val="001E46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elacomgrade1">
    <w:name w:val="Tabela com grade1"/>
    <w:basedOn w:val="Tabelanormal"/>
    <w:next w:val="Tabelacomgrade"/>
    <w:uiPriority w:val="59"/>
    <w:qFormat/>
    <w:rsid w:val="0089243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ueama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9EE0D-86D1-4796-8205-49C405355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1412</Words>
  <Characters>7630</Characters>
  <Application>Microsoft Office Word</Application>
  <DocSecurity>0</DocSecurity>
  <Lines>63</Lines>
  <Paragraphs>18</Paragraphs>
  <ScaleCrop>false</ScaleCrop>
  <Company/>
  <LinksUpToDate>false</LinksUpToDate>
  <CharactersWithSpaces>9024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2026-05-05T23:19:00Z</dcterms:created>
  <dcterms:modified xsi:type="dcterms:W3CDTF">2026-06-02T15:45:00Z</dcterms:modified>
</cp:coreProperties>
</file>