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2257771" w:rsidP="72D014E4" w:rsidRDefault="02257771" w14:paraId="4065E697" w14:textId="1EF765C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 w:rsidRPr="72D014E4"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A EDUCAÇÃO FINANCEIRA EM LIVROS DIDÁTICOS DE MATEMÁTICA E QUAIS SUAS CONTRIBUIÇÕES PARA O DESENVOLVIMENTO SUSTENTÁVEL?</w:t>
      </w:r>
    </w:p>
    <w:p w:rsidR="00326D42" w:rsidP="72D014E4" w:rsidRDefault="00326D42" w14:paraId="27427D67" w14:textId="77777777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:rsidR="00326D42" w:rsidP="72D014E4" w:rsidRDefault="02257771" w14:paraId="10D3A26A" w14:textId="5A14056E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Larissa Souza de Carvalho</w:t>
      </w:r>
    </w:p>
    <w:p w:rsidR="00326D42" w:rsidP="72D014E4" w:rsidRDefault="02257771" w14:paraId="734DB4C7" w14:textId="20265285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72D014E4">
        <w:rPr>
          <w:rFonts w:ascii="Times New Roman" w:hAnsi="Times New Roman" w:eastAsia="Times New Roman" w:cs="Times New Roman"/>
          <w:sz w:val="24"/>
          <w:szCs w:val="24"/>
          <w:lang w:eastAsia="pt-BR"/>
        </w:rPr>
        <w:t>U</w:t>
      </w:r>
      <w:r w:rsidRPr="72D014E4" w:rsidR="4F2F329D"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niversidade </w:t>
      </w:r>
      <w:r w:rsidRPr="72D014E4" w:rsidR="74776683">
        <w:rPr>
          <w:rFonts w:ascii="Times New Roman" w:hAnsi="Times New Roman" w:eastAsia="Times New Roman" w:cs="Times New Roman"/>
          <w:sz w:val="24"/>
          <w:szCs w:val="24"/>
          <w:lang w:eastAsia="pt-BR"/>
        </w:rPr>
        <w:t>E</w:t>
      </w:r>
      <w:r w:rsidRPr="72D014E4" w:rsidR="5E7484E0"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stadual do </w:t>
      </w:r>
      <w:r w:rsidRPr="72D014E4" w:rsidR="74776683">
        <w:rPr>
          <w:rFonts w:ascii="Times New Roman" w:hAnsi="Times New Roman" w:eastAsia="Times New Roman" w:cs="Times New Roman"/>
          <w:sz w:val="24"/>
          <w:szCs w:val="24"/>
          <w:lang w:eastAsia="pt-BR"/>
        </w:rPr>
        <w:t>S</w:t>
      </w:r>
      <w:r w:rsidRPr="72D014E4" w:rsidR="5242F1A3"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udoeste da </w:t>
      </w:r>
      <w:r w:rsidRPr="72D014E4" w:rsidR="74776683">
        <w:rPr>
          <w:rFonts w:ascii="Times New Roman" w:hAnsi="Times New Roman" w:eastAsia="Times New Roman" w:cs="Times New Roman"/>
          <w:sz w:val="24"/>
          <w:szCs w:val="24"/>
          <w:lang w:eastAsia="pt-BR"/>
        </w:rPr>
        <w:t>B</w:t>
      </w:r>
      <w:r w:rsidRPr="72D014E4" w:rsidR="75620E0B">
        <w:rPr>
          <w:rFonts w:ascii="Times New Roman" w:hAnsi="Times New Roman" w:eastAsia="Times New Roman" w:cs="Times New Roman"/>
          <w:sz w:val="24"/>
          <w:szCs w:val="24"/>
          <w:lang w:eastAsia="pt-BR"/>
        </w:rPr>
        <w:t>ahia</w:t>
      </w:r>
    </w:p>
    <w:p w:rsidR="00326D42" w:rsidP="72D014E4" w:rsidRDefault="00610EC7" w14:paraId="04EA0E8F" w14:textId="5AFFFF55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hyperlink r:id="rId6">
        <w:r w:rsidRPr="72D014E4" w:rsidR="6EFA2F65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202310310@uesb.edu.br</w:t>
        </w:r>
        <w:r w:rsidRPr="72D014E4" w:rsidR="7597AAA6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.</w:t>
        </w:r>
      </w:hyperlink>
    </w:p>
    <w:p w:rsidR="72D014E4" w:rsidP="72D014E4" w:rsidRDefault="72D014E4" w14:paraId="417070D3" w14:textId="0FF51B64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:rsidR="623C2F64" w:rsidP="72D014E4" w:rsidRDefault="623C2F64" w14:paraId="468C486B" w14:textId="42E64C5B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72D014E4"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Ana Paula </w:t>
      </w:r>
      <w:proofErr w:type="spellStart"/>
      <w:r w:rsidRPr="72D014E4">
        <w:rPr>
          <w:rFonts w:ascii="Times New Roman" w:hAnsi="Times New Roman" w:eastAsia="Times New Roman" w:cs="Times New Roman"/>
          <w:sz w:val="24"/>
          <w:szCs w:val="24"/>
          <w:lang w:eastAsia="pt-BR"/>
        </w:rPr>
        <w:t>Perovano</w:t>
      </w:r>
      <w:proofErr w:type="spellEnd"/>
    </w:p>
    <w:p w:rsidR="319A35F9" w:rsidP="72D014E4" w:rsidRDefault="319A35F9" w14:paraId="3987FBDB" w14:textId="3050C888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 w:rsidRPr="72D014E4">
        <w:rPr>
          <w:rFonts w:ascii="Times New Roman" w:hAnsi="Times New Roman" w:eastAsia="Times New Roman" w:cs="Times New Roman"/>
          <w:sz w:val="24"/>
          <w:szCs w:val="24"/>
          <w:lang w:eastAsia="pt-BR"/>
        </w:rPr>
        <w:t>Universidade Estadual do Sudoeste da Bahia</w:t>
      </w:r>
    </w:p>
    <w:p w:rsidR="1D19BD12" w:rsidP="72D014E4" w:rsidRDefault="00610EC7" w14:paraId="435811B8" w14:textId="1B6F92B5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hyperlink r:id="rId7">
        <w:r w:rsidRPr="72D014E4" w:rsidR="1D19BD12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apperovano@uesb.edu.br</w:t>
        </w:r>
        <w:r w:rsidRPr="72D014E4" w:rsidR="4E4BBE33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.</w:t>
        </w:r>
      </w:hyperlink>
    </w:p>
    <w:p w:rsidR="72D014E4" w:rsidP="72D014E4" w:rsidRDefault="72D014E4" w14:paraId="59681303" w14:textId="12B17076">
      <w:pPr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:rsidR="00326D42" w:rsidRDefault="72D014E4" w14:paraId="3BF696E9" w14:textId="4112639D">
      <w:pPr>
        <w:spacing w:after="0" w:line="240" w:lineRule="auto"/>
        <w:jc w:val="right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pt-BR"/>
        </w:rPr>
      </w:pPr>
      <w:r w:rsidRPr="6E71833A" w:rsidR="72D014E4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pt-BR"/>
        </w:rPr>
        <w:t>Eixo:</w:t>
      </w:r>
      <w:r w:rsidRPr="6E71833A" w:rsidR="0B8DDF74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pt-BR"/>
        </w:rPr>
        <w:t xml:space="preserve"> </w:t>
      </w:r>
      <w:r w:rsidRPr="6E71833A" w:rsidR="0B8DDF74"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pt-BR"/>
        </w:rPr>
        <w:t>2</w:t>
      </w:r>
      <w:r w:rsidRPr="6E71833A" w:rsidR="0B8DDF74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pt-BR"/>
        </w:rPr>
        <w:t>-</w:t>
      </w:r>
      <w:r w:rsidRPr="6E71833A" w:rsidR="5FF6F5E9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pt-BR"/>
        </w:rPr>
        <w:t xml:space="preserve"> </w:t>
      </w:r>
      <w:r w:rsidRPr="6E71833A" w:rsidR="5FF6F5E9">
        <w:rPr>
          <w:rFonts w:ascii="Times New Roman" w:hAnsi="Times New Roman" w:eastAsia="Times New Roman" w:cs="Times New Roman"/>
          <w:color w:val="auto"/>
          <w:sz w:val="24"/>
          <w:szCs w:val="24"/>
          <w:lang w:eastAsia="pt-BR"/>
        </w:rPr>
        <w:t>Educação Matemática</w:t>
      </w:r>
      <w:r w:rsidRPr="6E71833A" w:rsidR="5FF6F5E9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eastAsia="pt-BR"/>
        </w:rPr>
        <w:t xml:space="preserve"> </w:t>
      </w:r>
    </w:p>
    <w:p w:rsidR="6E71833A" w:rsidP="6E71833A" w:rsidRDefault="6E71833A" w14:paraId="2E0D083A" w14:textId="27C3BDF9">
      <w:pPr>
        <w:spacing w:after="0" w:line="240" w:lineRule="auto"/>
        <w:jc w:val="right"/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  <w:lang w:eastAsia="pt-BR"/>
        </w:rPr>
      </w:pPr>
    </w:p>
    <w:p w:rsidR="00326D42" w:rsidP="6E71833A" w:rsidRDefault="72D014E4" w14:paraId="68C7F05C" w14:textId="325B49DA">
      <w:pPr>
        <w:spacing w:after="0" w:line="240" w:lineRule="auto"/>
        <w:jc w:val="right"/>
        <w:rPr>
          <w:rFonts w:ascii="Times New Roman" w:hAnsi="Times New Roman" w:eastAsia="Times New Roman" w:cs="Times New Roman"/>
          <w:color w:val="auto"/>
          <w:sz w:val="24"/>
          <w:szCs w:val="24"/>
          <w:lang w:eastAsia="pt-BR"/>
        </w:rPr>
      </w:pPr>
      <w:r w:rsidRPr="11FC6E36" w:rsidR="72D014E4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pt-BR"/>
        </w:rPr>
        <w:t>Palavras-chave</w:t>
      </w:r>
      <w:r w:rsidRPr="11FC6E36" w:rsidR="72D014E4">
        <w:rPr>
          <w:rFonts w:ascii="Times New Roman" w:hAnsi="Times New Roman" w:eastAsia="Times New Roman" w:cs="Times New Roman"/>
          <w:sz w:val="24"/>
          <w:szCs w:val="24"/>
          <w:lang w:eastAsia="pt-BR"/>
        </w:rPr>
        <w:t>:</w:t>
      </w:r>
      <w:r w:rsidRPr="11FC6E36" w:rsidR="7E696971"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</w:t>
      </w:r>
      <w:r w:rsidRPr="11FC6E36" w:rsidR="7E696971">
        <w:rPr>
          <w:rFonts w:ascii="Times New Roman" w:hAnsi="Times New Roman" w:eastAsia="Times New Roman" w:cs="Times New Roman"/>
          <w:color w:val="auto"/>
          <w:sz w:val="24"/>
          <w:szCs w:val="24"/>
          <w:lang w:eastAsia="pt-BR"/>
        </w:rPr>
        <w:t>Educação Financeira</w:t>
      </w:r>
      <w:r w:rsidRPr="11FC6E36" w:rsidR="411A688F">
        <w:rPr>
          <w:rFonts w:ascii="Times New Roman" w:hAnsi="Times New Roman" w:eastAsia="Times New Roman" w:cs="Times New Roman"/>
          <w:color w:val="auto"/>
          <w:sz w:val="24"/>
          <w:szCs w:val="24"/>
          <w:lang w:eastAsia="pt-BR"/>
        </w:rPr>
        <w:t>;</w:t>
      </w:r>
      <w:r w:rsidRPr="11FC6E36" w:rsidR="7E696971">
        <w:rPr>
          <w:rFonts w:ascii="Times New Roman" w:hAnsi="Times New Roman" w:eastAsia="Times New Roman" w:cs="Times New Roman"/>
          <w:color w:val="auto"/>
          <w:sz w:val="24"/>
          <w:szCs w:val="24"/>
          <w:lang w:eastAsia="pt-BR"/>
        </w:rPr>
        <w:t xml:space="preserve"> Livro Didático</w:t>
      </w:r>
      <w:r w:rsidRPr="11FC6E36" w:rsidR="3F5D18D3">
        <w:rPr>
          <w:rFonts w:ascii="Times New Roman" w:hAnsi="Times New Roman" w:eastAsia="Times New Roman" w:cs="Times New Roman"/>
          <w:color w:val="auto"/>
          <w:sz w:val="24"/>
          <w:szCs w:val="24"/>
          <w:lang w:eastAsia="pt-BR"/>
        </w:rPr>
        <w:t>;</w:t>
      </w:r>
      <w:r w:rsidRPr="11FC6E36" w:rsidR="7E696971">
        <w:rPr>
          <w:rFonts w:ascii="Times New Roman" w:hAnsi="Times New Roman" w:eastAsia="Times New Roman" w:cs="Times New Roman"/>
          <w:color w:val="auto"/>
          <w:sz w:val="24"/>
          <w:szCs w:val="24"/>
          <w:lang w:eastAsia="pt-BR"/>
        </w:rPr>
        <w:t xml:space="preserve"> Desenvolvimento Sustentável</w:t>
      </w:r>
      <w:r w:rsidRPr="11FC6E36" w:rsidR="3C443EB4">
        <w:rPr>
          <w:rFonts w:ascii="Times New Roman" w:hAnsi="Times New Roman" w:eastAsia="Times New Roman" w:cs="Times New Roman"/>
          <w:color w:val="auto"/>
          <w:sz w:val="24"/>
          <w:szCs w:val="24"/>
          <w:lang w:eastAsia="pt-BR"/>
        </w:rPr>
        <w:t>.</w:t>
      </w:r>
    </w:p>
    <w:p w:rsidR="00326D42" w:rsidP="72D014E4" w:rsidRDefault="00326D42" w14:paraId="595CE7B7" w14:textId="77777777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326D42" w:rsidP="72D014E4" w:rsidRDefault="72D014E4" w14:paraId="5C323FB4" w14:textId="77777777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72D014E4">
        <w:rPr>
          <w:rFonts w:ascii="Times New Roman" w:hAnsi="Times New Roman" w:eastAsia="Times New Roman" w:cs="Times New Roman"/>
          <w:b/>
          <w:bCs/>
          <w:sz w:val="24"/>
          <w:szCs w:val="24"/>
        </w:rPr>
        <w:t>Resumo Simples</w:t>
      </w:r>
    </w:p>
    <w:p w:rsidR="72D014E4" w:rsidP="72D014E4" w:rsidRDefault="72D014E4" w14:paraId="146B582A" w14:textId="7BB42576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4A308D86" w:rsidP="72D014E4" w:rsidRDefault="4A308D86" w14:paraId="1B63DBC6" w14:textId="28A8A79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A Educação para o Desenvolvimento Sustentável (EDS) é um processo formativo voltado à transformação social, que articula conteúdos escolares a questões sociais, econômicas e ambientais, contribuindo para a formação de estudantes críticos (King</w:t>
      </w:r>
      <w:r w:rsidRPr="72D014E4" w:rsidR="7E7CA178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Pang</w:t>
      </w:r>
      <w:proofErr w:type="spellEnd"/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2022). </w:t>
      </w:r>
      <w:r w:rsidRPr="72D014E4" w:rsidR="4BBD70C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A EDS</w:t>
      </w:r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conecta-se à Educação Financeira (EF), ao problematizar práticas de consumo, uso de recursos </w:t>
      </w:r>
      <w:proofErr w:type="gramStart"/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e</w:t>
      </w:r>
      <w:proofErr w:type="gramEnd"/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tomada de decisões no cotidiano. Assim, a EF pode operacionalizar princípios da EDS no ensino de Matemática. Nesse contexto, o livro didático</w:t>
      </w:r>
      <w:r w:rsidRPr="72D014E4" w:rsidR="54A0125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(LD)</w:t>
      </w:r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de Matemática assume papel relevante como material curricular que pode mediar ou limitar essa articulação, constituindo-se </w:t>
      </w:r>
      <w:proofErr w:type="gramStart"/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como</w:t>
      </w:r>
      <w:proofErr w:type="gramEnd"/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objeto de análise. Nesse cenário, estamos desenvolvendo uma pesquisa de Iniciação Científica que possui como objetivo de analisar se, e como, os</w:t>
      </w:r>
      <w:r w:rsidRPr="72D014E4" w:rsidR="17F77EC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LD</w:t>
      </w:r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de Matemática oferecem </w:t>
      </w:r>
      <w:proofErr w:type="gramStart"/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tarefas</w:t>
      </w:r>
      <w:proofErr w:type="gramEnd"/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que ajudam os alunos a conectar a matemática com questões da EDS. A pesquisa possui abordagem qualitativa (</w:t>
      </w:r>
      <w:proofErr w:type="spellStart"/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Creswell</w:t>
      </w:r>
      <w:proofErr w:type="spellEnd"/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,</w:t>
      </w:r>
      <w:r w:rsidRPr="72D014E4" w:rsidR="237459B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2010) e empregará o Sistema Teorema (Amaral </w:t>
      </w:r>
      <w:r w:rsidRPr="72D014E4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>et al</w:t>
      </w:r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</w:t>
      </w:r>
      <w:r w:rsidRPr="72D014E4" w:rsidR="186C24A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2022) para a análise das tarefas de uma coleção de L</w:t>
      </w:r>
      <w:r w:rsidRPr="72D014E4" w:rsidR="2031F97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D</w:t>
      </w:r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de Matemática do Ensino Fundamental. A pesquisa encontra-se em seu estágio inicial. Os textos analisados até o momento abordam diferentes perspectivas da E</w:t>
      </w:r>
      <w:r w:rsidRPr="72D014E4" w:rsidR="1924265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F</w:t>
      </w:r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:</w:t>
      </w:r>
      <w:r w:rsidRPr="72D014E4" w:rsidR="25D2EE9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relação com a justiça social, presença na Base Nacional Comum Curricular, ligações com questões ambientais e sua abordagem na formação inicial de professores. Observa-se que há uma aproximação entre os textos analisados, todos</w:t>
      </w:r>
      <w:r w:rsidRPr="72D014E4" w:rsidR="2F71CFE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convergem ao defender a Educação Matemática Crítica (EMC), que propõe reflexões sobre os processos de ensino e aprendizagem da Matemática, considerando elementos que vão além do potencial individual dos alunos para pensar e resolver problemas por meio de ferramentas de cálculo (</w:t>
      </w:r>
      <w:proofErr w:type="spellStart"/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Mazzi</w:t>
      </w:r>
      <w:proofErr w:type="spellEnd"/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Baroni</w:t>
      </w:r>
      <w:proofErr w:type="spellEnd"/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, 2019). Além disso, um estudo indica que na formação inicial de professores os principais livros utilizados </w:t>
      </w:r>
      <w:r w:rsidRPr="72D014E4" w:rsidR="52E00BA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nos cursos de Licenciatura em Matemática do Instituto Federal </w:t>
      </w:r>
      <w:r w:rsidRPr="72D014E4" w:rsidR="18420A3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de Educação, Ciência e Tecnologia </w:t>
      </w:r>
      <w:r w:rsidRPr="72D014E4" w:rsidR="52E00BA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de São Paulo</w:t>
      </w:r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tendem a priorizar técnicas e não apresentam atividades que estimulem a investigação e a reflexão dos estudantes, dificultando o desenvolvimento de uma perspectiva crítica sobre o tema (Goulart; Paixão, 2019). </w:t>
      </w:r>
      <w:r w:rsidRPr="72D014E4" w:rsidR="1B13769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Assim</w:t>
      </w:r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, os autores identificam que, já na formação inicial do futuro professor de matemática, a EF é tratada de forma limitada, com foco em técnicas, o que não favorece </w:t>
      </w:r>
      <w:r w:rsidRPr="72D014E4" w:rsidR="5120188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a EMC </w:t>
      </w:r>
      <w:r w:rsidRPr="72D014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e isso pode refletir na Educação Básic</w:t>
      </w:r>
      <w:r w:rsidRPr="72D014E4" w:rsidR="00DD7E5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a</w:t>
      </w:r>
      <w:r w:rsidRPr="72D014E4" w:rsidR="70E300A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 Indicando a necessidade de ampliar a EF no LD, com foco em consumo e tomada de decisões, contribuindo para a EDS.</w:t>
      </w:r>
    </w:p>
    <w:p w:rsidR="72D014E4" w:rsidP="72D014E4" w:rsidRDefault="72D014E4" w14:paraId="7FB7410D" w14:textId="35D9C69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326D42" w:rsidP="11FC6E36" w:rsidRDefault="72D014E4" w14:paraId="1308177E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eastAsia="pt-BR"/>
        </w:rPr>
      </w:pPr>
      <w:r w:rsidRPr="11FC6E36" w:rsidR="72D014E4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eastAsia="pt-BR"/>
        </w:rPr>
        <w:t>Referências</w:t>
      </w:r>
    </w:p>
    <w:p w:rsidR="00326D42" w:rsidP="11FC6E36" w:rsidRDefault="00326D42" w14:paraId="1A56E1A2" w14:textId="52E03BA7">
      <w:pPr>
        <w:spacing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  <w:lang w:eastAsia="pt-BR"/>
        </w:rPr>
      </w:pPr>
    </w:p>
    <w:p w:rsidR="7F464E13" w:rsidP="11FC6E36" w:rsidRDefault="7F464E13" w14:paraId="5818D092" w14:textId="3F6386D3">
      <w:pPr>
        <w:pStyle w:val="NormalWeb"/>
        <w:spacing w:before="0" w:beforeAutospacing="off" w:after="0" w:afterAutospacing="off"/>
        <w:rPr>
          <w:color w:val="auto"/>
        </w:rPr>
      </w:pPr>
      <w:r w:rsidRPr="11FC6E36" w:rsidR="7F464E13">
        <w:rPr>
          <w:color w:val="auto"/>
        </w:rPr>
        <w:t xml:space="preserve">CRESWELL, John W. </w:t>
      </w:r>
      <w:r w:rsidRPr="11FC6E36" w:rsidR="7F464E13">
        <w:rPr>
          <w:b w:val="1"/>
          <w:bCs w:val="1"/>
          <w:color w:val="auto"/>
        </w:rPr>
        <w:t>Projeto de pesquisa: métodos qualitativo, quantitativo e misto.</w:t>
      </w:r>
      <w:r w:rsidRPr="11FC6E36" w:rsidR="7F464E13">
        <w:rPr>
          <w:color w:val="auto"/>
        </w:rPr>
        <w:t xml:space="preserve"> 3. ed. Porto Alegre: Artmed, 2010.</w:t>
      </w:r>
    </w:p>
    <w:p w:rsidRPr="00B945A2" w:rsidR="00326D42" w:rsidP="11FC6E36" w:rsidRDefault="00326D42" w14:paraId="790900E3" w14:textId="466F0EA3">
      <w:pPr>
        <w:pStyle w:val="NormalWeb"/>
        <w:spacing w:before="0" w:beforeAutospacing="off" w:after="0" w:afterAutospacing="off"/>
        <w:rPr>
          <w:color w:val="auto"/>
        </w:rPr>
      </w:pPr>
    </w:p>
    <w:p w:rsidR="10FA47CB" w:rsidP="11FC6E36" w:rsidRDefault="10FA47CB" w14:paraId="4A626AD7" w14:textId="403B03AF">
      <w:pPr>
        <w:pStyle w:val="NormalWeb"/>
        <w:spacing w:before="0" w:beforeAutospacing="off" w:after="0" w:afterAutospacing="off"/>
        <w:rPr>
          <w:color w:val="auto"/>
        </w:rPr>
      </w:pPr>
      <w:r w:rsidRPr="11FC6E36" w:rsidR="10FA47CB">
        <w:rPr>
          <w:color w:val="auto"/>
        </w:rPr>
        <w:t xml:space="preserve">GOULART, Amari; PAIXÃO, Beatriz da Silva. Uma análise sobre a abordagem da educação financeira nos principais livros propostos nos projetos pedagógicos dos cursos de licenciatura em matemática do Instituto Federal de Educação, Ciência e Tecnologia de São Paulo. In: BARONI, Ana Karina Cancian; HARTMANN, Andrei Luís Berres; CARVALHO, Cláudia Cristina Soares de (Org.). </w:t>
      </w:r>
      <w:r w:rsidRPr="11FC6E36" w:rsidR="10FA47CB">
        <w:rPr>
          <w:b w:val="1"/>
          <w:bCs w:val="1"/>
          <w:color w:val="auto"/>
        </w:rPr>
        <w:t>Uma abordagem crítica da educação financeira na formação do professor de matemática.</w:t>
      </w:r>
      <w:r w:rsidRPr="11FC6E36" w:rsidR="10FA47CB">
        <w:rPr>
          <w:color w:val="auto"/>
        </w:rPr>
        <w:t xml:space="preserve"> Curitiba: Appris, 2019. p. 42-53.</w:t>
      </w:r>
    </w:p>
    <w:p w:rsidRPr="00B945A2" w:rsidR="00326D42" w:rsidP="11FC6E36" w:rsidRDefault="00326D42" w14:paraId="1712FCC7" w14:textId="1DC65AC1">
      <w:pPr>
        <w:pStyle w:val="NormalWeb"/>
        <w:spacing w:before="0" w:beforeAutospacing="off" w:after="0" w:afterAutospacing="off"/>
        <w:rPr>
          <w:color w:val="auto"/>
        </w:rPr>
      </w:pPr>
    </w:p>
    <w:p w:rsidR="21BF16E0" w:rsidP="11FC6E36" w:rsidRDefault="21BF16E0" w14:paraId="2FBC2C19" w14:textId="2CF6CCBF">
      <w:pPr>
        <w:pStyle w:val="NormalWeb"/>
        <w:spacing w:before="0" w:beforeAutospacing="off" w:after="0" w:afterAutospacing="off"/>
        <w:rPr>
          <w:color w:val="auto"/>
          <w:lang w:val="en-US"/>
        </w:rPr>
      </w:pPr>
      <w:r w:rsidRPr="11FC6E36" w:rsidR="21BF16E0">
        <w:rPr>
          <w:color w:val="auto"/>
          <w:lang w:val="en-US"/>
        </w:rPr>
        <w:t xml:space="preserve">KIM, JeongWon; PANG, JeongSuk. An Analysis of Sustainable Activities in Japanese, Korean, and Singaporean Elementary Mathematics Textbooks. </w:t>
      </w:r>
      <w:r w:rsidRPr="11FC6E36" w:rsidR="21BF16E0">
        <w:rPr>
          <w:b w:val="1"/>
          <w:bCs w:val="1"/>
          <w:color w:val="auto"/>
          <w:lang w:val="en-US"/>
        </w:rPr>
        <w:t xml:space="preserve">EURASIA Journal of Mathematics, Science and Technology Education, </w:t>
      </w:r>
      <w:r w:rsidRPr="11FC6E36" w:rsidR="21BF16E0">
        <w:rPr>
          <w:color w:val="auto"/>
          <w:lang w:val="en-US"/>
        </w:rPr>
        <w:t xml:space="preserve">v. 18, n. 2, art. no. em2080, 2022. </w:t>
      </w:r>
    </w:p>
    <w:p w:rsidR="21BF16E0" w:rsidP="11FC6E36" w:rsidRDefault="21BF16E0" w14:paraId="5C29E4E7" w14:textId="3D18B984">
      <w:pPr>
        <w:pStyle w:val="NormalWeb"/>
        <w:spacing w:before="0" w:beforeAutospacing="off" w:after="0" w:afterAutospacing="off"/>
        <w:rPr>
          <w:color w:val="auto"/>
          <w:lang w:val="en-US"/>
        </w:rPr>
      </w:pPr>
      <w:r w:rsidRPr="11FC6E36" w:rsidR="21BF16E0">
        <w:rPr>
          <w:color w:val="auto"/>
          <w:lang w:val="en-US"/>
        </w:rPr>
        <w:t>MAZZI, L. C</w:t>
      </w:r>
    </w:p>
    <w:p w:rsidRPr="00B945A2" w:rsidR="00326D42" w:rsidP="11FC6E36" w:rsidRDefault="00326D42" w14:paraId="061B0F9D" w14:textId="037A99BE">
      <w:pPr>
        <w:pStyle w:val="NormalWeb"/>
        <w:spacing w:before="0" w:beforeAutospacing="off" w:after="0" w:afterAutospacing="off"/>
        <w:rPr>
          <w:color w:val="auto"/>
          <w:lang w:val="en-US"/>
        </w:rPr>
      </w:pPr>
      <w:bookmarkStart w:name="_GoBack" w:id="0"/>
      <w:bookmarkEnd w:id="0"/>
    </w:p>
    <w:p w:rsidR="4A75057E" w:rsidP="11FC6E36" w:rsidRDefault="4A75057E" w14:paraId="656DFAD4" w14:textId="7CC6A239">
      <w:pPr>
        <w:pStyle w:val="Rodap"/>
        <w:spacing w:after="0" w:line="240" w:lineRule="auto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11FC6E36" w:rsidR="4A75057E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MAZZI, Lucas Carato; BARONI, Ana Karina Cancian. Diálogos possíveis entre educação financeira e educação matemática crítica. In: BARONI, Ana Karina Cancian; HARTMANN, Andrei Luís Berres; CARVALHO, Cláudia Cristina Soares de (Org.). </w:t>
      </w:r>
      <w:r w:rsidRPr="11FC6E36" w:rsidR="4A75057E">
        <w:rPr>
          <w:rFonts w:ascii="Times New Roman" w:hAnsi="Times New Roman" w:eastAsia="Times New Roman" w:cs="Times New Roman"/>
          <w:b w:val="1"/>
          <w:bCs w:val="1"/>
          <w:color w:val="auto"/>
          <w:sz w:val="24"/>
          <w:szCs w:val="24"/>
        </w:rPr>
        <w:t>Uma abordagem crítica da educação financeira na formação do professor de matemática.</w:t>
      </w:r>
      <w:r w:rsidRPr="11FC6E36" w:rsidR="4A75057E"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Curitiba: Appris, 2019. p. 25-35.</w:t>
      </w:r>
    </w:p>
    <w:sectPr w:rsidRPr="00B945A2" w:rsidR="00326D42">
      <w:headerReference w:type="default" r:id="rId8"/>
      <w:pgSz w:w="11906" w:h="16838" w:orient="portrait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EC7" w:rsidRDefault="00610EC7" w14:paraId="75149BD2" w14:textId="77777777">
      <w:pPr>
        <w:spacing w:line="240" w:lineRule="auto"/>
      </w:pPr>
      <w:r>
        <w:separator/>
      </w:r>
    </w:p>
  </w:endnote>
  <w:endnote w:type="continuationSeparator" w:id="0">
    <w:p w:rsidR="00610EC7" w:rsidRDefault="00610EC7" w14:paraId="587E0EF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EC7" w:rsidRDefault="00610EC7" w14:paraId="1135A7FF" w14:textId="77777777">
      <w:pPr>
        <w:spacing w:after="0"/>
      </w:pPr>
      <w:r>
        <w:separator/>
      </w:r>
    </w:p>
  </w:footnote>
  <w:footnote w:type="continuationSeparator" w:id="0">
    <w:p w:rsidR="00610EC7" w:rsidRDefault="00610EC7" w14:paraId="472F833F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p w:rsidR="00326D42" w:rsidRDefault="00610EC7" w14:paraId="4A4D817C" w14:textId="77777777">
    <w:pPr>
      <w:pStyle w:val="Cabealho"/>
    </w:pPr>
    <w:r>
      <w:rPr>
        <w:noProof/>
        <w:lang w:eastAsia="pt-BR"/>
      </w:rPr>
      <w:drawing>
        <wp:inline distT="0" distB="0" distL="114300" distR="114300" wp14:anchorId="20A5F1B9" wp14:editId="07777777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172A27"/>
    <w:rsid w:val="00326D42"/>
    <w:rsid w:val="00610EC7"/>
    <w:rsid w:val="00677F30"/>
    <w:rsid w:val="00741E2B"/>
    <w:rsid w:val="007FB862"/>
    <w:rsid w:val="00B82A8F"/>
    <w:rsid w:val="00B945A2"/>
    <w:rsid w:val="00DD7E5D"/>
    <w:rsid w:val="02257771"/>
    <w:rsid w:val="0363ED1B"/>
    <w:rsid w:val="0482083B"/>
    <w:rsid w:val="0513A05D"/>
    <w:rsid w:val="06BD3A08"/>
    <w:rsid w:val="077A974C"/>
    <w:rsid w:val="0862CDA3"/>
    <w:rsid w:val="086EE2F9"/>
    <w:rsid w:val="0A199609"/>
    <w:rsid w:val="0B8DDF74"/>
    <w:rsid w:val="0C8CC3B4"/>
    <w:rsid w:val="0CB3D17F"/>
    <w:rsid w:val="0E923A3D"/>
    <w:rsid w:val="0EA84DE8"/>
    <w:rsid w:val="0ED70F16"/>
    <w:rsid w:val="0F58C4D4"/>
    <w:rsid w:val="10FA47CB"/>
    <w:rsid w:val="11FC6E36"/>
    <w:rsid w:val="16580EBF"/>
    <w:rsid w:val="169E1E76"/>
    <w:rsid w:val="17F77EC3"/>
    <w:rsid w:val="18420A39"/>
    <w:rsid w:val="1856E3D0"/>
    <w:rsid w:val="186C24A4"/>
    <w:rsid w:val="19002C93"/>
    <w:rsid w:val="19242656"/>
    <w:rsid w:val="1A894334"/>
    <w:rsid w:val="1ACAA33E"/>
    <w:rsid w:val="1B137692"/>
    <w:rsid w:val="1B347AB7"/>
    <w:rsid w:val="1BC16B7E"/>
    <w:rsid w:val="1C25E331"/>
    <w:rsid w:val="1CBC13DE"/>
    <w:rsid w:val="1D19BD12"/>
    <w:rsid w:val="1D315857"/>
    <w:rsid w:val="1DFACF13"/>
    <w:rsid w:val="1EBF622F"/>
    <w:rsid w:val="1EF63937"/>
    <w:rsid w:val="2031F97F"/>
    <w:rsid w:val="212E34D9"/>
    <w:rsid w:val="21BF16E0"/>
    <w:rsid w:val="221653A0"/>
    <w:rsid w:val="22184B3D"/>
    <w:rsid w:val="227999FE"/>
    <w:rsid w:val="229455D4"/>
    <w:rsid w:val="237459B4"/>
    <w:rsid w:val="25087EE2"/>
    <w:rsid w:val="25485496"/>
    <w:rsid w:val="25D2EE9F"/>
    <w:rsid w:val="25DEEB5F"/>
    <w:rsid w:val="27CD66DB"/>
    <w:rsid w:val="2800DD03"/>
    <w:rsid w:val="29D46EEB"/>
    <w:rsid w:val="2A89608D"/>
    <w:rsid w:val="2AF02A68"/>
    <w:rsid w:val="2CE05C7F"/>
    <w:rsid w:val="2D05675A"/>
    <w:rsid w:val="2D0A23B4"/>
    <w:rsid w:val="2F71CFEF"/>
    <w:rsid w:val="2F88B5C3"/>
    <w:rsid w:val="3120B693"/>
    <w:rsid w:val="319A35F9"/>
    <w:rsid w:val="33715EFB"/>
    <w:rsid w:val="3429220E"/>
    <w:rsid w:val="39113C01"/>
    <w:rsid w:val="3A7B935E"/>
    <w:rsid w:val="3C330CF1"/>
    <w:rsid w:val="3C443EB4"/>
    <w:rsid w:val="3CA76C34"/>
    <w:rsid w:val="3F5D18D3"/>
    <w:rsid w:val="40400079"/>
    <w:rsid w:val="411A688F"/>
    <w:rsid w:val="414FC641"/>
    <w:rsid w:val="4188EA10"/>
    <w:rsid w:val="4246EBE0"/>
    <w:rsid w:val="437C8EF0"/>
    <w:rsid w:val="44954EC4"/>
    <w:rsid w:val="450CE917"/>
    <w:rsid w:val="4775AC19"/>
    <w:rsid w:val="496FE715"/>
    <w:rsid w:val="499E80BD"/>
    <w:rsid w:val="49EE177D"/>
    <w:rsid w:val="49F44A38"/>
    <w:rsid w:val="4A308D86"/>
    <w:rsid w:val="4A309E52"/>
    <w:rsid w:val="4A373C2B"/>
    <w:rsid w:val="4A4308C7"/>
    <w:rsid w:val="4A75057E"/>
    <w:rsid w:val="4B42E326"/>
    <w:rsid w:val="4BBD70C4"/>
    <w:rsid w:val="4C0E1B5F"/>
    <w:rsid w:val="4C871DB8"/>
    <w:rsid w:val="4D322A46"/>
    <w:rsid w:val="4D83438D"/>
    <w:rsid w:val="4DAD2754"/>
    <w:rsid w:val="4DB0F509"/>
    <w:rsid w:val="4E4BBE33"/>
    <w:rsid w:val="4F2F329D"/>
    <w:rsid w:val="4F440B02"/>
    <w:rsid w:val="4FC49A90"/>
    <w:rsid w:val="5071D763"/>
    <w:rsid w:val="5120188F"/>
    <w:rsid w:val="52106880"/>
    <w:rsid w:val="5242F1A3"/>
    <w:rsid w:val="52603EB2"/>
    <w:rsid w:val="52AF468A"/>
    <w:rsid w:val="52E00BAE"/>
    <w:rsid w:val="535BBA1B"/>
    <w:rsid w:val="5426C897"/>
    <w:rsid w:val="54A0125A"/>
    <w:rsid w:val="564B7178"/>
    <w:rsid w:val="57BDD8AA"/>
    <w:rsid w:val="59FB6197"/>
    <w:rsid w:val="5B5B3C9A"/>
    <w:rsid w:val="5C78CDE3"/>
    <w:rsid w:val="5D6D47E4"/>
    <w:rsid w:val="5E7484E0"/>
    <w:rsid w:val="5EA0C48A"/>
    <w:rsid w:val="5EAE05E9"/>
    <w:rsid w:val="5FADA87D"/>
    <w:rsid w:val="5FF6F5E9"/>
    <w:rsid w:val="60394092"/>
    <w:rsid w:val="60831F3B"/>
    <w:rsid w:val="60A996BA"/>
    <w:rsid w:val="60FF12C0"/>
    <w:rsid w:val="6133E80F"/>
    <w:rsid w:val="61923857"/>
    <w:rsid w:val="623C2F64"/>
    <w:rsid w:val="62DDB1D3"/>
    <w:rsid w:val="6356A046"/>
    <w:rsid w:val="638EFADB"/>
    <w:rsid w:val="63A72749"/>
    <w:rsid w:val="66908B98"/>
    <w:rsid w:val="68F74436"/>
    <w:rsid w:val="6ADD9D05"/>
    <w:rsid w:val="6B87A688"/>
    <w:rsid w:val="6BA35B58"/>
    <w:rsid w:val="6BD0F055"/>
    <w:rsid w:val="6BD81FD4"/>
    <w:rsid w:val="6D90A6E0"/>
    <w:rsid w:val="6E71833A"/>
    <w:rsid w:val="6E967A68"/>
    <w:rsid w:val="6EFA2F65"/>
    <w:rsid w:val="6F16F62B"/>
    <w:rsid w:val="704476BC"/>
    <w:rsid w:val="70E300A3"/>
    <w:rsid w:val="7138B41D"/>
    <w:rsid w:val="7155E715"/>
    <w:rsid w:val="7203D351"/>
    <w:rsid w:val="72D014E4"/>
    <w:rsid w:val="72E58447"/>
    <w:rsid w:val="7390773E"/>
    <w:rsid w:val="740BEA7B"/>
    <w:rsid w:val="743E8074"/>
    <w:rsid w:val="74776683"/>
    <w:rsid w:val="75620E0B"/>
    <w:rsid w:val="7597AAA6"/>
    <w:rsid w:val="763C8971"/>
    <w:rsid w:val="795A9616"/>
    <w:rsid w:val="7A73762C"/>
    <w:rsid w:val="7AFC9756"/>
    <w:rsid w:val="7C397E10"/>
    <w:rsid w:val="7E5F027E"/>
    <w:rsid w:val="7E67223B"/>
    <w:rsid w:val="7E696971"/>
    <w:rsid w:val="7E7CA178"/>
    <w:rsid w:val="7E8C8FDE"/>
    <w:rsid w:val="7E92DCD0"/>
    <w:rsid w:val="7E9E1187"/>
    <w:rsid w:val="7F46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F1B9"/>
  <w15:docId w15:val="{9787AB14-6521-440F-93FA-E0F83EC5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SimSu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eastAsia="en-US"/>
      <w14:ligatures w14:val="standardContextual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hyperlink" Target="mailto:apperovano@uesb.edu.br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202310310@uesb.edu.br" TargetMode="Externa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Ùrsula</dc:creator>
  <lastModifiedBy>Larissa Souza de carvalho</lastModifiedBy>
  <revision>5</revision>
  <dcterms:created xsi:type="dcterms:W3CDTF">2024-10-22T15:37:00.0000000Z</dcterms:created>
  <dcterms:modified xsi:type="dcterms:W3CDTF">2026-06-01T23:06:33.0317700Z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