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8686049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 xml:space="preserve">TECNOLOGIA ASSISTIVA DE BAIXO CUSTO PARA POTENCIALIZAR O APRENDIZADO E A AUTONOMIA DE ESTUDANTES DA EDUCAÇÃO ESPECIAL INCLUSIVA (TRANSTORNO DO ESPECTRO AUTISTA, DEFICIÊNCIA INTELECTUAL E DEFICIÊNCIA FÍSICA) NO ENSINO FUNDAMENTAL ANOS FINAIS.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r>
    </w:p>
    <w:p w14:paraId="27427D67"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r>
    </w:p>
    <w:p w14:paraId="743628BD">
      <w:pPr>
        <w:pBdr/>
        <w:spacing w:after="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Marília Garcia da Conceição 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/>
    </w:p>
    <w:p w14:paraId="0934F7A7">
      <w:pPr>
        <w:pBdr/>
        <w:spacing w:after="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Universidade Estadual de Montes Claros 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/>
    </w:p>
    <w:p w14:paraId="41980379">
      <w:pPr>
        <w:pBdr/>
        <w:spacing w:after="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mariliagaco@gmail.com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/>
    </w:p>
    <w:p w14:paraId="7761AD7F">
      <w:pPr>
        <w:pBdr/>
        <w:spacing w:after="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/>
    </w:p>
    <w:p w14:paraId="30838E0C">
      <w:pPr>
        <w:pBdr/>
        <w:spacing w:after="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Rosilene Aparecida Froes Santos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/>
    </w:p>
    <w:p w14:paraId="6FAADC50">
      <w:pPr>
        <w:pBdr/>
        <w:spacing w:after="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Universidade Estadual de Montes Claros 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/>
    </w:p>
    <w:p w14:paraId="4B59F528">
      <w:pPr>
        <w:pBdr/>
        <w:spacing w:after="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rosy.froes@yahoo.com.br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/>
    </w:p>
    <w:p w14:paraId="3342A455"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</w:p>
    <w:p w14:paraId="3BF696E9"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 xml:space="preserve">Eixo: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pt-BR"/>
        </w:rPr>
        <w:t xml:space="preserve">3- Educação e Diversidade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pt-BR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8C7F05C"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 xml:space="preserve">Palavras-chave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Educação Inclusiva; Tecnologias Assistivas; Educação Especial.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</w:p>
    <w:p w14:paraId="595CE7B7">
      <w:pPr>
        <w:pBdr/>
        <w:spacing w:after="0" w:line="240" w:lineRule="auto"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3C1C78DD">
      <w:pPr>
        <w:suppressLineNumbers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A Educação Especial na perspectiva da Educação Inclusiva constitui um importante avanço na garantia do direito à educação para estudantes com deficiência. Entretanto, apesar dos avanços legais assegurados pela Lei Brasileira de Inclusão e pela Política Naci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onal de Educação Especial na Perspectiva da Educação Inclusiva, ainda persistem desafios relacionados à participação, aprendizagem e autonomia desses estudantes no contexto escolar. Entre as principais dificuldades encontradas destaca-se a escassez de recur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sos pedagógicos acessíveis e de tecnologias assistivas adequadas à realidade das escolas públicas. Nesse contexto, a pesquisa parte do seguinte problema: de que forma tecnologias assistivas de baixo custo podem contribuir para potencializar a aprendizagem e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promover a autonomia de estudantes com Transtorno do Espectro Autista (TEA), Deficiência Intelectual (DI) e Deficiência Física (DF) matriculados no Ensino Fundamental Anos Finais? O objetivo da investigação é desenvolver e analisar recursos de tecnologia a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ssistiva de baixo custo capazes de favorecer o processo de ensino e aprendizagem e ampliar a autonomia desses estudantes. A pesquisa insere-se no campo da Educação por investigar práticas pedagógicas inclusivas voltadas à redução das barreiras à aprendizage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m e à participação escolar, articulando-se ao eixo temático Educação e Diversidade ao discutir estratégias educacionais que valorizam as diferenças e promovem a equidade. O estudo fundamenta-se nos pressupostos da teoria histórico-cultural de Vygotsky, espe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cialmente no conceito de Zona de Desenvolvimento Proximal, bem como em autores que discutem inclusão escolar e tecnologia assistiva, como Mantoan, Bersch, Manzini e Ropoli. Metodologicamente, trata-se de uma pesquisa de abordagem mista, qualitativa e quanti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tativa, desenvolvida por meio de revisão bibliográfica, estudos de caso, pesquisa-ação e análise de dados produzidos em escolas públicas do Distrito Federal. Como resultados esperados, pretende-se elaborar e validar recursos de baixo custo, como pranchas de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comunicação, agendas visuais, jogos pedagógicos adaptados e materiais de apoio que possam ser utilizados por professores e estudantes em diferentes contextos educacionais. Embora a pesquisa esteja em andamento, observa-se, a partir do levantamento teórico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inicial, a relevância da tecnologia assistiva como instrumento de mediação pedagógica e promoção da autonomia. A relevância social da investigação está na proposição de recursos acessíveis, economicamente viáveis e passíveis de reprodução em escolas pública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s, contribuindo para a ampliação das oportunidades de aprendizagem, participação e inclusão de estudantes público-alvo da Educação Especial.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 w14:paraId="0EC2CFA2">
      <w:pPr>
        <w:suppressLineNumbers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1308177E"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pt-BR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 xml:space="preserve">Referências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pt-BR"/>
        </w:rPr>
      </w:r>
    </w:p>
    <w:p w14:paraId="1E044BEE"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pt-BR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pt-BR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r>
    </w:p>
    <w:p w14:paraId="1D157925">
      <w:pPr>
        <w:pStyle w:val="912"/>
        <w:pBdr/>
        <w:spacing/>
        <w:ind/>
        <w:rPr/>
      </w:pPr>
      <w:r>
        <w:t xml:space="preserve">BERSCH, R. Tecnologia assistiva na escola. Porto Alegre: Mediação, 2017.</w:t>
      </w:r>
      <w:r/>
    </w:p>
    <w:p w14:paraId="1F83CED0">
      <w:pPr>
        <w:pStyle w:val="912"/>
        <w:pBdr/>
        <w:spacing/>
        <w:ind/>
        <w:rPr/>
      </w:pPr>
      <w:r>
        <w:t xml:space="preserve">B</w:t>
      </w:r>
      <w:r>
        <w:t xml:space="preserve">RASIL. Lei nº 13.146, de 6 de julho de 2015. Institui a Lei Brasileira de Inclusão da Pessoa com Deficiência (Estatuto da Pessoa com Deficiência). Diário Oficial da União: seção 1, Brasília, DF, 7 jul. 2015. Disponível em: https://www.planalto.gov.br/ccivi</w:t>
      </w:r>
      <w:r>
        <w:t xml:space="preserve">l_03/_ato2015-2018/2015/lei/l13146.htm. Acesso em: 19 abr. 2026.</w:t>
      </w:r>
      <w:r/>
    </w:p>
    <w:p w14:paraId="7A06044D">
      <w:pPr>
        <w:pStyle w:val="912"/>
        <w:pBdr/>
        <w:spacing/>
        <w:ind/>
        <w:rPr/>
      </w:pPr>
      <w:r>
        <w:t xml:space="preserve">DAVENPORT, T. H.; PRUSAK, L. Conhecimento empresarial: como as organizações gerenciam o seu capital intelectual. 9. ed. Rio de Janeiro: Campus, 2003.</w:t>
      </w:r>
      <w:r/>
    </w:p>
    <w:p w14:paraId="07F24FC5">
      <w:pPr>
        <w:pStyle w:val="912"/>
        <w:pBdr/>
        <w:spacing/>
        <w:ind/>
        <w:rPr/>
      </w:pPr>
      <w:r>
        <w:t xml:space="preserve">DEMO, P. Metodologia do conhecimento científico. 11. ed. São Paulo: Atlas, 2000. (Edição revista em 2011).</w:t>
      </w:r>
      <w:r/>
    </w:p>
    <w:p w14:paraId="70B34B52">
      <w:pPr>
        <w:pStyle w:val="912"/>
        <w:pBdr/>
        <w:spacing/>
        <w:ind/>
        <w:rPr/>
      </w:pPr>
      <w:r>
        <w:t xml:space="preserve">GIL, A. C. Métodos e técnicas de pesquisa social. 6. ed. São Paulo: Atlas, 2008.</w:t>
      </w:r>
      <w:r/>
    </w:p>
    <w:p w14:paraId="39661DD0">
      <w:pPr>
        <w:pStyle w:val="912"/>
        <w:pBdr/>
        <w:spacing/>
        <w:ind/>
        <w:rPr/>
      </w:pPr>
      <w:r>
        <w:t xml:space="preserve">GOMES, J. P. A educação inclusiva no Brasil: avanços e desafios. Revista Brasileira de Educação, v. 25, n. 3, p. 45-59, 2020.</w:t>
      </w:r>
      <w:r/>
    </w:p>
    <w:p w14:paraId="3FCC55A5">
      <w:pPr>
        <w:pStyle w:val="912"/>
        <w:pBdr/>
        <w:spacing/>
        <w:ind/>
        <w:rPr/>
      </w:pPr>
      <w:r>
        <w:t xml:space="preserve">M</w:t>
      </w:r>
      <w:r>
        <w:t xml:space="preserve">ANTOAN, M. T. E. Inclusão escolar: o que é? por quê? como fazer. São Paulo: Moderna, 2003. (Coleção Cotidiano Escolar). Disponível em: https://files.cercomp.ufg.br/weby/up/211/o/INCLUS%C3%83O-ESCOLARMaria-Teresa-Egl%C3%A9r-Mantoan-Inclus%C3%A3o-Escolar.pdf</w:t>
      </w:r>
      <w:r>
        <w:t xml:space="preserve">. Acesso em: 19 abr. 2026.</w:t>
      </w:r>
      <w:r/>
    </w:p>
    <w:p w14:paraId="616F02BF">
      <w:pPr>
        <w:pStyle w:val="912"/>
        <w:pBdr/>
        <w:spacing/>
        <w:ind/>
        <w:rPr/>
      </w:pPr>
      <w:r>
        <w:t xml:space="preserve">MANZINI, E. J. Tecnologia assistiva: favorecendo a inclusão. São Paulo: Edufscar, 2019.</w:t>
      </w:r>
      <w:r/>
    </w:p>
    <w:p w14:paraId="5A469996">
      <w:pPr>
        <w:pStyle w:val="912"/>
        <w:pBdr/>
        <w:spacing/>
        <w:ind/>
        <w:rPr/>
      </w:pPr>
      <w:r>
        <w:t xml:space="preserve">ROPOLI, E. A. et al. A educação especial na perspectiva da inclusão escolar: a escola comum inclusiva. Brasília: Ministério da Educação, Secretaria de Educação Especial; Fortaleza: Universidade Federal do Ceará, 2010.</w:t>
      </w:r>
      <w:r/>
    </w:p>
    <w:p w14:paraId="6E702BD6">
      <w:pPr>
        <w:pStyle w:val="912"/>
        <w:pBdr/>
        <w:spacing/>
        <w:ind/>
        <w:rPr/>
      </w:pPr>
      <w:r>
        <w:t xml:space="preserve">SASSAKI, R. K. Inclusão: construindo uma sociedade para todos. São Paulo: WVA, 1997.</w:t>
      </w:r>
      <w:r/>
    </w:p>
    <w:p w14:paraId="2EDB913F">
      <w:pPr>
        <w:pStyle w:val="912"/>
        <w:pBdr/>
        <w:spacing/>
        <w:ind/>
        <w:rPr/>
      </w:pPr>
      <w:r>
        <w:t xml:space="preserve">VYGOTSKY, L. S. A formação social da mente: o desenvolvimento dos processos psicológicos superiores. 6. ed. São Paulo: Martins Fontes, 1989.</w:t>
      </w:r>
      <w:r/>
    </w:p>
    <w:p w14:paraId="09C8AFF6">
      <w:pPr>
        <w:pStyle w:val="912"/>
        <w:pBdr/>
        <w:spacing/>
        <w:ind/>
        <w:rPr/>
      </w:pPr>
      <w:r/>
      <w:r/>
    </w:p>
    <w:p w14:paraId="21798290">
      <w:pPr>
        <w:pStyle w:val="910"/>
        <w:pBdr/>
        <w:spacing/>
        <w:ind/>
        <w:rPr/>
      </w:pPr>
      <w:r/>
      <w:r/>
    </w:p>
    <w:p w14:paraId="4A489CD8">
      <w:pPr>
        <w:pBdr/>
        <w:spacing/>
        <w:ind/>
        <w:rPr>
          <w:rFonts w:hint="default"/>
          <w:lang w:val="pt-BR"/>
        </w:rPr>
      </w:pPr>
      <w:r>
        <w:rPr>
          <w:rFonts w:hint="default"/>
          <w:lang w:val="pt-BR"/>
        </w:rPr>
      </w:r>
      <w:r>
        <w:rPr>
          <w:rFonts w:hint="default"/>
          <w:lang w:val="pt-BR"/>
        </w:rPr>
      </w:r>
      <w:r>
        <w:rPr>
          <w:rFonts w:hint="default"/>
          <w:lang w:val="pt-BR"/>
        </w:rPr>
      </w:r>
    </w:p>
    <w:sectPr>
      <w:headerReference w:type="default" r:id="rId8"/>
      <w:footnotePr/>
      <w:endnotePr/>
      <w:type w:val="nextPage"/>
      <w:pgSz w:h="16838" w:orient="portrait" w:w="11906"/>
      <w:pgMar w:top="1701" w:right="1134" w:bottom="1134" w:left="1701" w:header="708" w:footer="709" w:gutter="0"/>
      <w:cols w:num="1" w:sep="0" w:space="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59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59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A4D817C">
    <w:pPr>
      <w:pStyle w:val="911"/>
      <w:pBdr/>
      <w:spacing/>
      <w:ind/>
      <w:rPr>
        <w:rFonts w:hint="default"/>
        <w:lang w:val="pt-BR"/>
      </w:rPr>
    </w:pPr>
    <w:r>
      <w:rPr>
        <w:rFonts w:hint="default"/>
        <w:lang w:val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5756910" cy="1344295"/>
              <wp:effectExtent l="0" t="0" r="0" b="0"/>
              <wp:docPr id="1" name="Imagem 1" descr="Cabeçalho - fundo transpar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 descr="Cabeçalho - fundo transparente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5756910" cy="13442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3.30pt;height:105.8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hint="default"/>
        <w:lang w:val="pt-BR"/>
      </w:rPr>
    </w:r>
    <w:r>
      <w:rPr>
        <w:rFonts w:hint="default"/>
        <w:lang w:val="pt-BR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3">
    <w:name w:val="Table Grid Light"/>
    <w:basedOn w:val="90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1"/>
    <w:basedOn w:val="90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2"/>
    <w:basedOn w:val="90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1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2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3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4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5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6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1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2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3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4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5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6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1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2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3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4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5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6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8">
    <w:name w:val="Heading 1"/>
    <w:basedOn w:val="906"/>
    <w:next w:val="906"/>
    <w:link w:val="85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9">
    <w:name w:val="Heading 2"/>
    <w:basedOn w:val="906"/>
    <w:next w:val="906"/>
    <w:link w:val="85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0">
    <w:name w:val="Heading 3"/>
    <w:basedOn w:val="906"/>
    <w:next w:val="906"/>
    <w:link w:val="86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1">
    <w:name w:val="Heading 4"/>
    <w:basedOn w:val="906"/>
    <w:next w:val="906"/>
    <w:link w:val="86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2">
    <w:name w:val="Heading 5"/>
    <w:basedOn w:val="906"/>
    <w:next w:val="906"/>
    <w:link w:val="86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3">
    <w:name w:val="Heading 6"/>
    <w:basedOn w:val="906"/>
    <w:next w:val="906"/>
    <w:link w:val="86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4">
    <w:name w:val="Heading 7"/>
    <w:basedOn w:val="906"/>
    <w:next w:val="906"/>
    <w:link w:val="86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5">
    <w:name w:val="Heading 8"/>
    <w:basedOn w:val="906"/>
    <w:next w:val="906"/>
    <w:link w:val="86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6">
    <w:name w:val="Heading 9"/>
    <w:basedOn w:val="906"/>
    <w:next w:val="906"/>
    <w:link w:val="86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57" w:default="1">
    <w:name w:val="No List"/>
    <w:uiPriority w:val="99"/>
    <w:semiHidden/>
    <w:unhideWhenUsed/>
    <w:pPr>
      <w:pBdr/>
      <w:spacing/>
      <w:ind/>
    </w:pPr>
  </w:style>
  <w:style w:type="character" w:styleId="858">
    <w:name w:val="Heading 1 Char"/>
    <w:basedOn w:val="907"/>
    <w:link w:val="8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9">
    <w:name w:val="Heading 2 Char"/>
    <w:basedOn w:val="907"/>
    <w:link w:val="8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0">
    <w:name w:val="Heading 3 Char"/>
    <w:basedOn w:val="907"/>
    <w:link w:val="8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1">
    <w:name w:val="Heading 4 Char"/>
    <w:basedOn w:val="907"/>
    <w:link w:val="85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2">
    <w:name w:val="Heading 5 Char"/>
    <w:basedOn w:val="907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3">
    <w:name w:val="Heading 6 Char"/>
    <w:basedOn w:val="907"/>
    <w:link w:val="85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4">
    <w:name w:val="Heading 7 Char"/>
    <w:basedOn w:val="907"/>
    <w:link w:val="85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5">
    <w:name w:val="Heading 8 Char"/>
    <w:basedOn w:val="907"/>
    <w:link w:val="85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6">
    <w:name w:val="Heading 9 Char"/>
    <w:basedOn w:val="907"/>
    <w:link w:val="8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7">
    <w:name w:val="Title"/>
    <w:basedOn w:val="906"/>
    <w:next w:val="906"/>
    <w:link w:val="86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8">
    <w:name w:val="Title Char"/>
    <w:basedOn w:val="907"/>
    <w:link w:val="86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9">
    <w:name w:val="Subtitle"/>
    <w:basedOn w:val="906"/>
    <w:next w:val="906"/>
    <w:link w:val="87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0">
    <w:name w:val="Subtitle Char"/>
    <w:basedOn w:val="907"/>
    <w:link w:val="8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1">
    <w:name w:val="Quote"/>
    <w:basedOn w:val="906"/>
    <w:next w:val="906"/>
    <w:link w:val="87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2">
    <w:name w:val="Quote Char"/>
    <w:basedOn w:val="907"/>
    <w:link w:val="87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3">
    <w:name w:val="List Paragraph"/>
    <w:basedOn w:val="906"/>
    <w:uiPriority w:val="34"/>
    <w:qFormat/>
    <w:pPr>
      <w:pBdr/>
      <w:spacing/>
      <w:ind w:left="720"/>
      <w:contextualSpacing w:val="true"/>
    </w:pPr>
  </w:style>
  <w:style w:type="character" w:styleId="874">
    <w:name w:val="Intense Emphasis"/>
    <w:basedOn w:val="90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5">
    <w:name w:val="Intense Quote"/>
    <w:basedOn w:val="906"/>
    <w:next w:val="906"/>
    <w:link w:val="87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6">
    <w:name w:val="Intense Quote Char"/>
    <w:basedOn w:val="907"/>
    <w:link w:val="87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7">
    <w:name w:val="Intense Reference"/>
    <w:basedOn w:val="90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8">
    <w:name w:val="No Spacing"/>
    <w:basedOn w:val="906"/>
    <w:uiPriority w:val="1"/>
    <w:qFormat/>
    <w:pPr>
      <w:pBdr/>
      <w:spacing w:after="0" w:line="240" w:lineRule="auto"/>
      <w:ind/>
    </w:pPr>
  </w:style>
  <w:style w:type="character" w:styleId="879">
    <w:name w:val="Subtle Emphasis"/>
    <w:basedOn w:val="90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0">
    <w:name w:val="Emphasis"/>
    <w:basedOn w:val="907"/>
    <w:uiPriority w:val="20"/>
    <w:qFormat/>
    <w:pPr>
      <w:pBdr/>
      <w:spacing/>
      <w:ind/>
    </w:pPr>
    <w:rPr>
      <w:i/>
      <w:iCs/>
    </w:rPr>
  </w:style>
  <w:style w:type="character" w:styleId="881">
    <w:name w:val="Strong"/>
    <w:basedOn w:val="907"/>
    <w:uiPriority w:val="22"/>
    <w:qFormat/>
    <w:pPr>
      <w:pBdr/>
      <w:spacing/>
      <w:ind/>
    </w:pPr>
    <w:rPr>
      <w:b/>
      <w:bCs/>
    </w:rPr>
  </w:style>
  <w:style w:type="character" w:styleId="882">
    <w:name w:val="Subtle Reference"/>
    <w:basedOn w:val="90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3">
    <w:name w:val="Book Title"/>
    <w:basedOn w:val="90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84">
    <w:name w:val="Header Char"/>
    <w:basedOn w:val="907"/>
    <w:link w:val="911"/>
    <w:uiPriority w:val="99"/>
    <w:pPr>
      <w:pBdr/>
      <w:spacing/>
      <w:ind/>
    </w:pPr>
  </w:style>
  <w:style w:type="character" w:styleId="885">
    <w:name w:val="Footer Char"/>
    <w:basedOn w:val="907"/>
    <w:link w:val="912"/>
    <w:uiPriority w:val="99"/>
    <w:pPr>
      <w:pBdr/>
      <w:spacing/>
      <w:ind/>
    </w:pPr>
  </w:style>
  <w:style w:type="paragraph" w:styleId="886">
    <w:name w:val="Caption"/>
    <w:basedOn w:val="906"/>
    <w:next w:val="90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7">
    <w:name w:val="footnote text"/>
    <w:basedOn w:val="906"/>
    <w:link w:val="88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8">
    <w:name w:val="Footnote Text Char"/>
    <w:basedOn w:val="907"/>
    <w:link w:val="887"/>
    <w:uiPriority w:val="99"/>
    <w:semiHidden/>
    <w:pPr>
      <w:pBdr/>
      <w:spacing/>
      <w:ind/>
    </w:pPr>
    <w:rPr>
      <w:sz w:val="20"/>
      <w:szCs w:val="20"/>
    </w:rPr>
  </w:style>
  <w:style w:type="character" w:styleId="889">
    <w:name w:val="footnote reference"/>
    <w:basedOn w:val="907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endnote text"/>
    <w:basedOn w:val="906"/>
    <w:link w:val="89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1">
    <w:name w:val="Endnote Text Char"/>
    <w:basedOn w:val="907"/>
    <w:link w:val="890"/>
    <w:uiPriority w:val="99"/>
    <w:semiHidden/>
    <w:pPr>
      <w:pBdr/>
      <w:spacing/>
      <w:ind/>
    </w:pPr>
    <w:rPr>
      <w:sz w:val="20"/>
      <w:szCs w:val="20"/>
    </w:rPr>
  </w:style>
  <w:style w:type="character" w:styleId="892">
    <w:name w:val="endnote reference"/>
    <w:basedOn w:val="907"/>
    <w:uiPriority w:val="99"/>
    <w:semiHidden/>
    <w:unhideWhenUsed/>
    <w:pPr>
      <w:pBdr/>
      <w:spacing/>
      <w:ind/>
    </w:pPr>
    <w:rPr>
      <w:vertAlign w:val="superscript"/>
    </w:rPr>
  </w:style>
  <w:style w:type="character" w:styleId="893">
    <w:name w:val="FollowedHyperlink"/>
    <w:basedOn w:val="90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4">
    <w:name w:val="toc 1"/>
    <w:basedOn w:val="906"/>
    <w:next w:val="906"/>
    <w:uiPriority w:val="39"/>
    <w:unhideWhenUsed/>
    <w:pPr>
      <w:pBdr/>
      <w:spacing w:after="100"/>
      <w:ind/>
    </w:pPr>
  </w:style>
  <w:style w:type="paragraph" w:styleId="895">
    <w:name w:val="toc 2"/>
    <w:basedOn w:val="906"/>
    <w:next w:val="906"/>
    <w:uiPriority w:val="39"/>
    <w:unhideWhenUsed/>
    <w:pPr>
      <w:pBdr/>
      <w:spacing w:after="100"/>
      <w:ind w:left="220"/>
    </w:pPr>
  </w:style>
  <w:style w:type="paragraph" w:styleId="896">
    <w:name w:val="toc 3"/>
    <w:basedOn w:val="906"/>
    <w:next w:val="906"/>
    <w:uiPriority w:val="39"/>
    <w:unhideWhenUsed/>
    <w:pPr>
      <w:pBdr/>
      <w:spacing w:after="100"/>
      <w:ind w:left="440"/>
    </w:pPr>
  </w:style>
  <w:style w:type="paragraph" w:styleId="897">
    <w:name w:val="toc 4"/>
    <w:basedOn w:val="906"/>
    <w:next w:val="906"/>
    <w:uiPriority w:val="39"/>
    <w:unhideWhenUsed/>
    <w:pPr>
      <w:pBdr/>
      <w:spacing w:after="100"/>
      <w:ind w:left="660"/>
    </w:pPr>
  </w:style>
  <w:style w:type="paragraph" w:styleId="898">
    <w:name w:val="toc 5"/>
    <w:basedOn w:val="906"/>
    <w:next w:val="906"/>
    <w:uiPriority w:val="39"/>
    <w:unhideWhenUsed/>
    <w:pPr>
      <w:pBdr/>
      <w:spacing w:after="100"/>
      <w:ind w:left="880"/>
    </w:pPr>
  </w:style>
  <w:style w:type="paragraph" w:styleId="899">
    <w:name w:val="toc 6"/>
    <w:basedOn w:val="906"/>
    <w:next w:val="906"/>
    <w:uiPriority w:val="39"/>
    <w:unhideWhenUsed/>
    <w:pPr>
      <w:pBdr/>
      <w:spacing w:after="100"/>
      <w:ind w:left="1100"/>
    </w:pPr>
  </w:style>
  <w:style w:type="paragraph" w:styleId="900">
    <w:name w:val="toc 7"/>
    <w:basedOn w:val="906"/>
    <w:next w:val="906"/>
    <w:uiPriority w:val="39"/>
    <w:unhideWhenUsed/>
    <w:pPr>
      <w:pBdr/>
      <w:spacing w:after="100"/>
      <w:ind w:left="1320"/>
    </w:pPr>
  </w:style>
  <w:style w:type="paragraph" w:styleId="901">
    <w:name w:val="toc 8"/>
    <w:basedOn w:val="906"/>
    <w:next w:val="906"/>
    <w:uiPriority w:val="39"/>
    <w:unhideWhenUsed/>
    <w:pPr>
      <w:pBdr/>
      <w:spacing w:after="100"/>
      <w:ind w:left="1540"/>
    </w:pPr>
  </w:style>
  <w:style w:type="paragraph" w:styleId="902">
    <w:name w:val="toc 9"/>
    <w:basedOn w:val="906"/>
    <w:next w:val="906"/>
    <w:uiPriority w:val="39"/>
    <w:unhideWhenUsed/>
    <w:pPr>
      <w:pBdr/>
      <w:spacing w:after="100"/>
      <w:ind w:left="1760"/>
    </w:pPr>
  </w:style>
  <w:style w:type="character" w:styleId="903">
    <w:name w:val="Placeholder Text"/>
    <w:basedOn w:val="907"/>
    <w:uiPriority w:val="99"/>
    <w:semiHidden/>
    <w:pPr>
      <w:pBdr/>
      <w:spacing/>
      <w:ind/>
    </w:pPr>
    <w:rPr>
      <w:color w:val="666666"/>
    </w:r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>
    <w:name w:val="table of figures"/>
    <w:basedOn w:val="906"/>
    <w:next w:val="906"/>
    <w:uiPriority w:val="99"/>
    <w:unhideWhenUsed/>
    <w:pPr>
      <w:pBdr/>
      <w:spacing w:after="0" w:afterAutospacing="0"/>
      <w:ind/>
    </w:pPr>
  </w:style>
  <w:style w:type="paragraph" w:styleId="906" w:default="1">
    <w:name w:val="Normal"/>
    <w:uiPriority w:val="0"/>
    <w:qFormat/>
    <w:pPr>
      <w:pBdr/>
      <w:spacing w:after="160" w:line="259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  <w14:ligatures w14:val="standardContextual"/>
    </w:rPr>
  </w:style>
  <w:style w:type="character" w:styleId="907" w:default="1">
    <w:name w:val="Default Paragraph Font"/>
    <w:uiPriority w:val="1"/>
    <w:semiHidden/>
    <w:unhideWhenUsed/>
    <w:qFormat/>
    <w:pPr>
      <w:pBdr/>
      <w:spacing/>
      <w:ind/>
    </w:pPr>
  </w:style>
  <w:style w:type="table" w:styleId="908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>
    <w:name w:val="Hyperlink"/>
    <w:basedOn w:val="907"/>
    <w:uiPriority w:val="99"/>
    <w:semiHidden/>
    <w:unhideWhenUsed/>
    <w:qFormat/>
    <w:pPr>
      <w:pBdr/>
      <w:spacing/>
      <w:ind/>
    </w:pPr>
    <w:rPr>
      <w:color w:val="0000ff"/>
      <w:u w:val="single"/>
    </w:rPr>
  </w:style>
  <w:style w:type="paragraph" w:styleId="910">
    <w:name w:val="Normal (Web)"/>
    <w:basedOn w:val="906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t-BR"/>
      <w14:ligatures w14:val="none"/>
    </w:rPr>
  </w:style>
  <w:style w:type="paragraph" w:styleId="911">
    <w:name w:val="Header"/>
    <w:basedOn w:val="906"/>
    <w:uiPriority w:val="99"/>
    <w:semiHidden/>
    <w:unhideWhenUsed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12">
    <w:name w:val="Footer"/>
    <w:basedOn w:val="906"/>
    <w:uiPriority w:val="99"/>
    <w:semiHidden/>
    <w:unhideWhenUsed/>
    <w:qFormat/>
    <w:pPr>
      <w:pBdr/>
      <w:tabs>
        <w:tab w:val="center" w:leader="none" w:pos="4252"/>
        <w:tab w:val="right" w:leader="none" w:pos="8504"/>
      </w:tabs>
      <w:spacing/>
      <w:ind/>
    </w:pPr>
  </w:style>
  <w:style w:type="table" w:styleId="913">
    <w:name w:val="Table Grid"/>
    <w:basedOn w:val="908"/>
    <w:uiPriority w:val="3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revision>3</cp:revision>
  <dcterms:created xsi:type="dcterms:W3CDTF">2024-10-22T15:37:00Z</dcterms:created>
  <dcterms:modified xsi:type="dcterms:W3CDTF">2026-06-01T18:07:22Z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