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8685" w14:textId="32229988" w:rsidR="008F7BA1" w:rsidRPr="009C2DB8" w:rsidRDefault="00C33E62" w:rsidP="009C2D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3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AVALIAÇÃO PARA A APRENDIZAGEM EM MATEMÁTICA: CRENÇAS DE PROFESSORES E ORIENTAÇÕES DE MANUAIS DO PROFESSOR</w:t>
      </w:r>
    </w:p>
    <w:p w14:paraId="11E98E94" w14:textId="77777777" w:rsidR="009C2DB8" w:rsidRDefault="009C2D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3F4E83D" w14:textId="77777777" w:rsidR="009C2DB8" w:rsidRPr="003255E1" w:rsidRDefault="009C2DB8" w:rsidP="009C2D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255E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Rafael Magalhães Queiroz</w:t>
      </w:r>
    </w:p>
    <w:p w14:paraId="557E330B" w14:textId="7AD87E6E" w:rsidR="009C2DB8" w:rsidRPr="003255E1" w:rsidRDefault="00C33E62" w:rsidP="009C2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Secretaria de Estado de Educação de Minas Gerais</w:t>
      </w:r>
    </w:p>
    <w:p w14:paraId="65790064" w14:textId="77777777" w:rsidR="009C2DB8" w:rsidRPr="003255E1" w:rsidRDefault="009C2DB8" w:rsidP="009C2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3255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rafaelmq30@gmail.com</w:t>
        </w:r>
      </w:hyperlink>
      <w:r w:rsidRPr="003255E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5FC5C3" w14:textId="77777777" w:rsidR="00411FE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B28B28" w14:textId="2E9B7581" w:rsidR="008F7BA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Gilberto Januario</w:t>
      </w:r>
    </w:p>
    <w:p w14:paraId="04914E88" w14:textId="5BFEE725" w:rsidR="008F7BA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Ouro Preto</w:t>
      </w:r>
    </w:p>
    <w:p w14:paraId="557E7871" w14:textId="7C0B3EFE" w:rsidR="008F7BA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F86EC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januario@ufop.edu.br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303847C" w14:textId="77777777" w:rsidR="00411FE1" w:rsidRDefault="00411F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DF7A5D" w14:textId="01F8F7AC" w:rsidR="008F7BA1" w:rsidRDefault="00455D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411F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14:paraId="1F46619D" w14:textId="77777777" w:rsidR="00C33E62" w:rsidRDefault="00C33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B663087" w14:textId="6A1B76AF" w:rsidR="008F7BA1" w:rsidRDefault="00455D4F" w:rsidP="009C2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411F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C2DB8" w:rsidRPr="009C2DB8">
        <w:rPr>
          <w:rFonts w:ascii="Times New Roman" w:eastAsia="Times New Roman" w:hAnsi="Times New Roman" w:cs="Times New Roman"/>
          <w:sz w:val="24"/>
          <w:szCs w:val="24"/>
          <w:lang w:eastAsia="pt-BR"/>
        </w:rPr>
        <w:t>Avaliação para a Aprendizagem. Manual do Professor. Educação Matemática</w:t>
      </w:r>
    </w:p>
    <w:p w14:paraId="4A6096DD" w14:textId="77777777" w:rsidR="008F7BA1" w:rsidRDefault="008F7B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9A4564" w14:textId="72E71E00" w:rsidR="00411FE1" w:rsidRPr="00AA6CB8" w:rsidRDefault="00455D4F" w:rsidP="00AA6CB8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  <w:r w:rsidR="00CA031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6CB8">
        <w:rPr>
          <w:rFonts w:ascii="Times New Roman" w:hAnsi="Times New Roman" w:cs="Times New Roman"/>
          <w:bCs/>
          <w:sz w:val="24"/>
          <w:szCs w:val="24"/>
        </w:rPr>
        <w:t>A pesquisa</w:t>
      </w:r>
      <w:r w:rsidR="00AA6CB8" w:rsidRPr="00AA6CB8">
        <w:rPr>
          <w:rFonts w:ascii="Times New Roman" w:hAnsi="Times New Roman" w:cs="Times New Roman"/>
          <w:bCs/>
          <w:sz w:val="24"/>
          <w:szCs w:val="24"/>
        </w:rPr>
        <w:t>, desenvolvid</w:t>
      </w:r>
      <w:r w:rsidR="00AA6CB8">
        <w:rPr>
          <w:rFonts w:ascii="Times New Roman" w:hAnsi="Times New Roman" w:cs="Times New Roman"/>
          <w:bCs/>
          <w:sz w:val="24"/>
          <w:szCs w:val="24"/>
        </w:rPr>
        <w:t>a</w:t>
      </w:r>
      <w:r w:rsidR="00AA6CB8" w:rsidRPr="00AA6CB8">
        <w:rPr>
          <w:rFonts w:ascii="Times New Roman" w:hAnsi="Times New Roman" w:cs="Times New Roman"/>
          <w:bCs/>
          <w:sz w:val="24"/>
          <w:szCs w:val="24"/>
        </w:rPr>
        <w:t xml:space="preserve"> no âmbito do Grupo de Pesquisa Currículos em Educação Matemática (GPCEEM),</w:t>
      </w:r>
      <w:r w:rsidR="00AA6CB8" w:rsidRPr="00AA6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CB8" w:rsidRPr="00AA6CB8">
        <w:rPr>
          <w:rFonts w:ascii="Times New Roman" w:hAnsi="Times New Roman" w:cs="Times New Roman"/>
          <w:bCs/>
          <w:sz w:val="24"/>
          <w:szCs w:val="24"/>
        </w:rPr>
        <w:t>focaliza a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 avaliação educacional</w:t>
      </w:r>
      <w:r w:rsidR="00AA6CB8">
        <w:rPr>
          <w:rFonts w:asciiTheme="majorBidi" w:hAnsiTheme="majorBidi" w:cstheme="majorBidi"/>
          <w:sz w:val="24"/>
          <w:szCs w:val="24"/>
        </w:rPr>
        <w:t>.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 </w:t>
      </w:r>
      <w:r w:rsidR="00AA6CB8">
        <w:rPr>
          <w:rFonts w:asciiTheme="majorBidi" w:hAnsiTheme="majorBidi" w:cstheme="majorBidi"/>
          <w:sz w:val="24"/>
          <w:szCs w:val="24"/>
        </w:rPr>
        <w:t xml:space="preserve">Esta, </w:t>
      </w:r>
      <w:r w:rsidR="00AA6CB8" w:rsidRPr="00AA6CB8">
        <w:rPr>
          <w:rFonts w:asciiTheme="majorBidi" w:hAnsiTheme="majorBidi" w:cstheme="majorBidi"/>
          <w:sz w:val="24"/>
          <w:szCs w:val="24"/>
        </w:rPr>
        <w:t>quando articulada ao currículo, pode assumir caráter formativo e mediador; contudo, no contexto escolar, persistem práticas que a reduzem à classificação e à mensuração de resultados, evidenciando tensões entre concepções contemporâneas e práticas consolidadas no cotidiano das salas de aula. Essa tensão configura a problemática da pesquisa ao explicitar o distanciamento entre as orientações presentes em documentos e materiais curriculares e aquelas efetivamente mobilizadas por professores que ensinam Matemática. Nesse cenário, a avaliação tende a assumir função de controle do rendimento, em detrimento de seu potencial formativo e regulador da aprendizagem.</w:t>
      </w:r>
      <w:r w:rsidR="00AA6CB8">
        <w:rPr>
          <w:rFonts w:asciiTheme="majorBidi" w:hAnsiTheme="majorBidi" w:cstheme="majorBidi"/>
          <w:sz w:val="24"/>
          <w:szCs w:val="24"/>
        </w:rPr>
        <w:t xml:space="preserve"> </w:t>
      </w:r>
      <w:r w:rsidR="00AA6CB8" w:rsidRPr="00AA6CB8">
        <w:rPr>
          <w:rFonts w:asciiTheme="majorBidi" w:hAnsiTheme="majorBidi" w:cstheme="majorBidi"/>
          <w:sz w:val="24"/>
          <w:szCs w:val="24"/>
        </w:rPr>
        <w:t>Diante disso, o objetivo geral consiste em analisar as concepções de avaliação da aprendizagem expressas em materiais curriculares — particularmente nos Manuais do Professor — e nas enunciações de professores que ensinam Matemática, buscando compreender como tais concepções se articulam, se tensionam e se materializam no currículo em ação, especialmente no que se refere às funções de verificação, regulação e mediação pedagógica.</w:t>
      </w:r>
      <w:r w:rsidR="00AA6CB8">
        <w:rPr>
          <w:rFonts w:asciiTheme="majorBidi" w:hAnsiTheme="majorBidi" w:cstheme="majorBidi"/>
          <w:sz w:val="24"/>
          <w:szCs w:val="24"/>
        </w:rPr>
        <w:t xml:space="preserve"> A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 </w:t>
      </w:r>
      <w:r w:rsidR="00AA6CB8">
        <w:rPr>
          <w:rFonts w:asciiTheme="majorBidi" w:hAnsiTheme="majorBidi" w:cstheme="majorBidi"/>
          <w:sz w:val="24"/>
          <w:szCs w:val="24"/>
        </w:rPr>
        <w:t>pesquisa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 fundamenta-se em referenciais que compreendem a avaliação como prática pedagógica integrada ao currículo, destacando-se a noção de níveis de currículo</w:t>
      </w:r>
      <w:r w:rsidR="00AA6CB8">
        <w:rPr>
          <w:rFonts w:asciiTheme="majorBidi" w:hAnsiTheme="majorBidi" w:cstheme="majorBidi"/>
          <w:sz w:val="24"/>
          <w:szCs w:val="24"/>
        </w:rPr>
        <w:t xml:space="preserve"> (Sacristán, 2013)</w:t>
      </w:r>
      <w:r w:rsidR="00AA6CB8" w:rsidRPr="00AA6CB8">
        <w:rPr>
          <w:rFonts w:asciiTheme="majorBidi" w:hAnsiTheme="majorBidi" w:cstheme="majorBidi"/>
          <w:sz w:val="24"/>
          <w:szCs w:val="24"/>
        </w:rPr>
        <w:t>, bem como as abordagens que defendem a avaliação formativa, diagnóstica e reguladora</w:t>
      </w:r>
      <w:r w:rsidR="00AA6CB8">
        <w:rPr>
          <w:rFonts w:asciiTheme="majorBidi" w:hAnsiTheme="majorBidi" w:cstheme="majorBidi"/>
          <w:sz w:val="24"/>
          <w:szCs w:val="24"/>
        </w:rPr>
        <w:t xml:space="preserve"> (</w:t>
      </w:r>
      <w:r w:rsidR="00AA6CB8" w:rsidRPr="00AA6CB8">
        <w:rPr>
          <w:rFonts w:asciiTheme="majorBidi" w:hAnsiTheme="majorBidi" w:cstheme="majorBidi"/>
          <w:sz w:val="24"/>
          <w:szCs w:val="24"/>
        </w:rPr>
        <w:t>Luckesi</w:t>
      </w:r>
      <w:r w:rsidR="00AA6CB8">
        <w:rPr>
          <w:rFonts w:asciiTheme="majorBidi" w:hAnsiTheme="majorBidi" w:cstheme="majorBidi"/>
          <w:sz w:val="24"/>
          <w:szCs w:val="24"/>
        </w:rPr>
        <w:t xml:space="preserve">, </w:t>
      </w:r>
      <w:r w:rsidR="00AA6CB8" w:rsidRPr="00AA6CB8">
        <w:rPr>
          <w:rFonts w:asciiTheme="majorBidi" w:hAnsiTheme="majorBidi" w:cstheme="majorBidi"/>
          <w:sz w:val="24"/>
          <w:szCs w:val="24"/>
        </w:rPr>
        <w:t>2008; 2011</w:t>
      </w:r>
      <w:r w:rsidR="00AA6CB8">
        <w:rPr>
          <w:rFonts w:asciiTheme="majorBidi" w:hAnsiTheme="majorBidi" w:cstheme="majorBidi"/>
          <w:sz w:val="24"/>
          <w:szCs w:val="24"/>
        </w:rPr>
        <w:t>;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 Catani e Gallego</w:t>
      </w:r>
      <w:r w:rsidR="00AA6CB8">
        <w:rPr>
          <w:rFonts w:asciiTheme="majorBidi" w:hAnsiTheme="majorBidi" w:cstheme="majorBidi"/>
          <w:sz w:val="24"/>
          <w:szCs w:val="24"/>
        </w:rPr>
        <w:t xml:space="preserve">, 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2009), articuladas à dimensão ética, política e democrática da prática avaliativa. Adota-se abordagem qualitativa, do tipo análise documental interpretativa, tendo como corpus Manuais do Professor de coleções </w:t>
      </w:r>
      <w:r w:rsidR="00AA6CB8">
        <w:rPr>
          <w:rFonts w:asciiTheme="majorBidi" w:hAnsiTheme="majorBidi" w:cstheme="majorBidi"/>
          <w:sz w:val="24"/>
          <w:szCs w:val="24"/>
        </w:rPr>
        <w:t xml:space="preserve">de livros didáticos </w:t>
      </w:r>
      <w:r w:rsidR="00AA6CB8" w:rsidRPr="00AA6CB8">
        <w:rPr>
          <w:rFonts w:asciiTheme="majorBidi" w:hAnsiTheme="majorBidi" w:cstheme="majorBidi"/>
          <w:sz w:val="24"/>
          <w:szCs w:val="24"/>
        </w:rPr>
        <w:t>de Matemática aprovadas pelo PNLD (2024</w:t>
      </w:r>
      <w:r w:rsidR="00AA6CB8">
        <w:rPr>
          <w:rFonts w:asciiTheme="majorBidi" w:hAnsiTheme="majorBidi" w:cstheme="majorBidi"/>
          <w:sz w:val="24"/>
          <w:szCs w:val="24"/>
        </w:rPr>
        <w:t>-</w:t>
      </w:r>
      <w:r w:rsidR="00AA6CB8" w:rsidRPr="00AA6CB8">
        <w:rPr>
          <w:rFonts w:asciiTheme="majorBidi" w:hAnsiTheme="majorBidi" w:cstheme="majorBidi"/>
          <w:sz w:val="24"/>
          <w:szCs w:val="24"/>
        </w:rPr>
        <w:t>2026), compreendidos como expressão do currículo apresentado e como mediadores entre prescrições curriculares e práticas docentes</w:t>
      </w:r>
      <w:r w:rsidR="00AA6CB8">
        <w:rPr>
          <w:rFonts w:asciiTheme="majorBidi" w:hAnsiTheme="majorBidi" w:cstheme="majorBidi"/>
          <w:sz w:val="24"/>
          <w:szCs w:val="24"/>
        </w:rPr>
        <w:t xml:space="preserve"> (Januario</w:t>
      </w:r>
      <w:r w:rsidR="000B4C58">
        <w:rPr>
          <w:rFonts w:asciiTheme="majorBidi" w:hAnsiTheme="majorBidi" w:cstheme="majorBidi"/>
          <w:sz w:val="24"/>
          <w:szCs w:val="24"/>
        </w:rPr>
        <w:t>;</w:t>
      </w:r>
      <w:r w:rsidR="00AA6CB8">
        <w:rPr>
          <w:rFonts w:asciiTheme="majorBidi" w:hAnsiTheme="majorBidi" w:cstheme="majorBidi"/>
          <w:sz w:val="24"/>
          <w:szCs w:val="24"/>
        </w:rPr>
        <w:t xml:space="preserve"> Perovano</w:t>
      </w:r>
      <w:r w:rsidR="000B4C58">
        <w:rPr>
          <w:rFonts w:asciiTheme="majorBidi" w:hAnsiTheme="majorBidi" w:cstheme="majorBidi"/>
          <w:sz w:val="24"/>
          <w:szCs w:val="24"/>
        </w:rPr>
        <w:t>;</w:t>
      </w:r>
      <w:r w:rsidR="00AA6CB8">
        <w:rPr>
          <w:rFonts w:asciiTheme="majorBidi" w:hAnsiTheme="majorBidi" w:cstheme="majorBidi"/>
          <w:sz w:val="24"/>
          <w:szCs w:val="24"/>
        </w:rPr>
        <w:t xml:space="preserve"> Lima, 2025)</w:t>
      </w:r>
      <w:r w:rsidR="00AA6CB8" w:rsidRPr="00AA6CB8">
        <w:rPr>
          <w:rFonts w:asciiTheme="majorBidi" w:hAnsiTheme="majorBidi" w:cstheme="majorBidi"/>
          <w:sz w:val="24"/>
          <w:szCs w:val="24"/>
        </w:rPr>
        <w:t>. Os procedimentos envolvem leitura analítica, categorização das enunciações e interpretação à luz do referencial teórico, além da análise de enunciações de professores.</w:t>
      </w:r>
      <w:r w:rsidR="00AA6CB8">
        <w:rPr>
          <w:rFonts w:asciiTheme="majorBidi" w:hAnsiTheme="majorBidi" w:cstheme="majorBidi"/>
          <w:sz w:val="24"/>
          <w:szCs w:val="24"/>
        </w:rPr>
        <w:t xml:space="preserve"> Referente a primeira parte da parte, que envolve os Manuais do Professor, a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 análise evidencia a coexistência de diferentes concepções de avaliação, organizadas em categorias que expressam tanto a permanência de uma lógica tradicional quanto a incorporação de perspectivas formativas. Por um lado, observa-se a centralidade de práticas de verificação e controle, marcadas por léxico associado à mensuração, à comprovação de resultados e à função classificatória, frequentemente vinculadas à prova escrita e a momentos pontuais do processo. Por outro, identificam-se enunciações que apontam para a avaliação como acompanhamento </w:t>
      </w:r>
      <w:r w:rsidR="00AA6CB8" w:rsidRPr="00AA6CB8">
        <w:rPr>
          <w:rFonts w:asciiTheme="majorBidi" w:hAnsiTheme="majorBidi" w:cstheme="majorBidi"/>
          <w:sz w:val="24"/>
          <w:szCs w:val="24"/>
        </w:rPr>
        <w:lastRenderedPageBreak/>
        <w:t>contínuo, diagnóstico e intervenção pedagógica, enfatizando o uso de evidências produzidas pelos estudantes para orientar o planejamento e reconfigurar o ensino.</w:t>
      </w:r>
      <w:r w:rsidR="00AA6CB8">
        <w:rPr>
          <w:rFonts w:asciiTheme="majorBidi" w:hAnsiTheme="majorBidi" w:cstheme="majorBidi"/>
          <w:sz w:val="24"/>
          <w:szCs w:val="24"/>
        </w:rPr>
        <w:t xml:space="preserve"> 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Os resultados indicam, ainda, a presença de </w:t>
      </w:r>
      <w:r w:rsidR="00AA6CB8">
        <w:rPr>
          <w:rFonts w:asciiTheme="majorBidi" w:hAnsiTheme="majorBidi" w:cstheme="majorBidi"/>
          <w:sz w:val="24"/>
          <w:szCs w:val="24"/>
        </w:rPr>
        <w:t>enunciações</w:t>
      </w:r>
      <w:r w:rsidR="00AA6CB8" w:rsidRPr="00AA6CB8">
        <w:rPr>
          <w:rFonts w:asciiTheme="majorBidi" w:hAnsiTheme="majorBidi" w:cstheme="majorBidi"/>
          <w:sz w:val="24"/>
          <w:szCs w:val="24"/>
        </w:rPr>
        <w:t xml:space="preserve"> que defendem a diversificação de instrumentos e a valorização do erro como elemento constitutivo da aprendizagem, sugerindo aproximações com perspectivas construtivistas e formativas. Contudo, tais elementos coexistem com práticas e discursos que mantêm a avaliação centrada no produto, revelando tensões estruturais entre avaliação como verificação e avaliação como regulação da aprendizagem. Essa ambivalência evidencia um descompasso entre o currículo prescrito e o currículo em ação, bem como a influência das crenças docentes na implementação das propostas avaliativas.</w:t>
      </w:r>
      <w:r w:rsidR="00AA6CB8">
        <w:rPr>
          <w:rFonts w:asciiTheme="majorBidi" w:hAnsiTheme="majorBidi" w:cstheme="majorBidi"/>
          <w:sz w:val="24"/>
          <w:szCs w:val="24"/>
        </w:rPr>
        <w:t xml:space="preserve"> E</w:t>
      </w:r>
      <w:r w:rsidR="00AA6CB8" w:rsidRPr="00AA6CB8">
        <w:rPr>
          <w:rFonts w:asciiTheme="majorBidi" w:hAnsiTheme="majorBidi" w:cstheme="majorBidi"/>
          <w:sz w:val="24"/>
          <w:szCs w:val="24"/>
        </w:rPr>
        <w:t>mbora os materiais curriculares apresentem avanços no sentido de uma avaliação para a aprendizagem, sua efetivação depende de processos sistemáticos de reflexão sobre a prática, capazes de problematizar concepções arraigadas e promover a ressignificação da avaliação como prática pedagógica, ética e politicamente comprometida com a aprendizagem e com a equidade educacional</w:t>
      </w:r>
      <w:r w:rsidR="00C33E62" w:rsidRPr="00CA0317">
        <w:rPr>
          <w:rFonts w:asciiTheme="majorBidi" w:hAnsiTheme="majorBidi" w:cstheme="majorBidi"/>
          <w:sz w:val="24"/>
          <w:szCs w:val="24"/>
        </w:rPr>
        <w:t>.</w:t>
      </w:r>
    </w:p>
    <w:p w14:paraId="55F7FEB8" w14:textId="77777777" w:rsidR="008F7BA1" w:rsidRDefault="00455D4F" w:rsidP="00AA6CB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456F5A9" w14:textId="77777777" w:rsidR="00AA6CB8" w:rsidRPr="008B5A9C" w:rsidRDefault="00AA6CB8" w:rsidP="00AA6CB8">
      <w:pPr>
        <w:spacing w:after="240" w:line="240" w:lineRule="auto"/>
        <w:jc w:val="both"/>
        <w:rPr>
          <w:rFonts w:asciiTheme="majorBidi" w:eastAsia="Times New Roman" w:hAnsiTheme="majorBidi" w:cstheme="majorBidi"/>
          <w:b/>
          <w:i/>
          <w:iCs/>
          <w:sz w:val="24"/>
          <w:szCs w:val="24"/>
          <w:lang w:eastAsia="pt-BR"/>
        </w:rPr>
      </w:pPr>
      <w:r w:rsidRPr="008B5A9C">
        <w:rPr>
          <w:rFonts w:asciiTheme="majorBidi" w:eastAsia="Times New Roman" w:hAnsiTheme="majorBidi" w:cstheme="majorBidi"/>
          <w:b/>
          <w:i/>
          <w:iCs/>
          <w:sz w:val="24"/>
          <w:szCs w:val="24"/>
          <w:lang w:val="it-IT" w:eastAsia="pt-BR"/>
        </w:rPr>
        <w:t xml:space="preserve">CATANI, Denice </w:t>
      </w:r>
      <w:r w:rsidRPr="008B5A9C">
        <w:rPr>
          <w:rFonts w:asciiTheme="majorBidi" w:hAnsiTheme="majorBidi" w:cstheme="majorBidi"/>
          <w:b/>
          <w:i/>
          <w:iCs/>
          <w:sz w:val="24"/>
          <w:szCs w:val="24"/>
          <w:lang w:val="it-IT"/>
        </w:rPr>
        <w:t>Barbara</w:t>
      </w:r>
      <w:r w:rsidRPr="008B5A9C">
        <w:rPr>
          <w:rFonts w:asciiTheme="majorBidi" w:eastAsia="Times New Roman" w:hAnsiTheme="majorBidi" w:cstheme="majorBidi"/>
          <w:b/>
          <w:i/>
          <w:iCs/>
          <w:sz w:val="24"/>
          <w:szCs w:val="24"/>
          <w:lang w:val="it-IT" w:eastAsia="pt-BR"/>
        </w:rPr>
        <w:t>; GALLEGO, Rita de Cássia. </w:t>
      </w:r>
      <w:r w:rsidRPr="008B5A9C">
        <w:rPr>
          <w:rFonts w:asciiTheme="majorBidi" w:eastAsia="Times New Roman" w:hAnsiTheme="majorBidi" w:cstheme="majorBidi"/>
          <w:b/>
          <w:i/>
          <w:iCs/>
          <w:sz w:val="24"/>
          <w:szCs w:val="24"/>
          <w:lang w:eastAsia="pt-BR"/>
        </w:rPr>
        <w:t>Avaliação. São Paulo: Unesp, 2009.</w:t>
      </w:r>
    </w:p>
    <w:p w14:paraId="171B0327" w14:textId="77777777" w:rsidR="00AA6CB8" w:rsidRPr="008B5A9C" w:rsidRDefault="00AA6CB8" w:rsidP="00AA6CB8">
      <w:pPr>
        <w:widowControl w:val="0"/>
        <w:spacing w:after="240"/>
        <w:jc w:val="both"/>
        <w:rPr>
          <w:rFonts w:asciiTheme="majorBidi" w:hAnsiTheme="majorBidi" w:cstheme="majorBidi"/>
          <w:b/>
          <w:i/>
          <w:iCs/>
          <w:sz w:val="24"/>
          <w:szCs w:val="24"/>
          <w:lang w:val="en-US"/>
        </w:rPr>
      </w:pPr>
      <w:r w:rsidRPr="008B5A9C">
        <w:rPr>
          <w:rFonts w:asciiTheme="majorBidi" w:hAnsiTheme="majorBidi" w:cstheme="majorBidi"/>
          <w:b/>
          <w:i/>
          <w:iCs/>
          <w:sz w:val="24"/>
          <w:szCs w:val="24"/>
        </w:rPr>
        <w:t xml:space="preserve">JANUARIO, Gilberto; PEROVANO, Ana Paula; LIMA, Katia. Curriculum materials as a discursive genre in Mathematics Education. Educação Matemática Pesquisa, v. 27, n. 5, p. 110-132, 2025. </w:t>
      </w:r>
      <w:hyperlink r:id="rId9" w:history="1">
        <w:r w:rsidRPr="008B5A9C">
          <w:rPr>
            <w:rStyle w:val="Hyperlink"/>
            <w:rFonts w:asciiTheme="majorBidi" w:hAnsiTheme="majorBidi" w:cstheme="majorBidi"/>
            <w:b/>
            <w:i/>
            <w:iCs/>
            <w:sz w:val="24"/>
            <w:szCs w:val="24"/>
            <w:u w:val="none"/>
            <w:lang w:val="en-US"/>
          </w:rPr>
          <w:t>https://doi.org/10.23925/1983-3156.2025v27i5p110-132</w:t>
        </w:r>
      </w:hyperlink>
    </w:p>
    <w:p w14:paraId="0254AFD6" w14:textId="77777777" w:rsidR="00AA6CB8" w:rsidRPr="008B5A9C" w:rsidRDefault="00AA6CB8" w:rsidP="00AA6CB8">
      <w:pPr>
        <w:spacing w:after="240" w:line="240" w:lineRule="auto"/>
        <w:jc w:val="both"/>
        <w:rPr>
          <w:rFonts w:asciiTheme="majorBidi" w:eastAsia="Times New Roman" w:hAnsiTheme="majorBidi" w:cstheme="majorBidi"/>
          <w:b/>
          <w:i/>
          <w:iCs/>
          <w:sz w:val="24"/>
          <w:szCs w:val="24"/>
          <w:lang w:eastAsia="pt-BR"/>
        </w:rPr>
      </w:pPr>
      <w:r w:rsidRPr="008B5A9C">
        <w:rPr>
          <w:rFonts w:asciiTheme="majorBidi" w:eastAsia="Times New Roman" w:hAnsiTheme="majorBidi" w:cstheme="majorBidi"/>
          <w:b/>
          <w:i/>
          <w:iCs/>
          <w:sz w:val="24"/>
          <w:szCs w:val="24"/>
          <w:lang w:eastAsia="pt-BR"/>
        </w:rPr>
        <w:t>LUCKESI, Cipriano. Carlos. Avaliação da Aprendizagem Escolar. 18. ed. São Paulo: Cortez, 2008.</w:t>
      </w:r>
    </w:p>
    <w:p w14:paraId="05EA4EDB" w14:textId="77777777" w:rsidR="00AA6CB8" w:rsidRPr="008B5A9C" w:rsidRDefault="00AA6CB8" w:rsidP="00AA6CB8">
      <w:pPr>
        <w:spacing w:after="240" w:line="240" w:lineRule="auto"/>
        <w:jc w:val="both"/>
        <w:rPr>
          <w:rFonts w:asciiTheme="majorBidi" w:eastAsia="Times New Roman" w:hAnsiTheme="majorBidi" w:cstheme="majorBidi"/>
          <w:b/>
          <w:i/>
          <w:iCs/>
          <w:sz w:val="24"/>
          <w:szCs w:val="24"/>
          <w:lang w:eastAsia="pt-BR"/>
        </w:rPr>
      </w:pPr>
      <w:r w:rsidRPr="008B5A9C">
        <w:rPr>
          <w:rFonts w:asciiTheme="majorBidi" w:eastAsia="Times New Roman" w:hAnsiTheme="majorBidi" w:cstheme="majorBidi"/>
          <w:b/>
          <w:i/>
          <w:iCs/>
          <w:sz w:val="24"/>
          <w:szCs w:val="24"/>
          <w:lang w:eastAsia="pt-BR"/>
        </w:rPr>
        <w:t>LUCKESI, Cipriano. Carlos. Avaliação da Aprendizagem Escolar. 22. ed. São Paulo: Cortez, 2011.</w:t>
      </w:r>
    </w:p>
    <w:p w14:paraId="0F5B8B82" w14:textId="2C4671A0" w:rsidR="00AA6CB8" w:rsidRPr="008B5A9C" w:rsidRDefault="00AA6CB8" w:rsidP="00AA6CB8">
      <w:pPr>
        <w:spacing w:after="240" w:line="240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 w:rsidRPr="008B5A9C">
        <w:rPr>
          <w:rFonts w:asciiTheme="majorBidi" w:hAnsiTheme="majorBidi" w:cstheme="majorBidi"/>
          <w:b/>
          <w:i/>
          <w:iCs/>
          <w:sz w:val="24"/>
          <w:szCs w:val="24"/>
        </w:rPr>
        <w:t>SACRISTÁN, José Gimeno. O que significa o currículo? In: SACRISTÁN, José Gimeno (Org). Saberes e incertezas sobre o currículo. Tradução de Alexandre Salvaterra. Porto Alegre: Penso, 2013, p. 15-35.</w:t>
      </w:r>
    </w:p>
    <w:sectPr w:rsidR="00AA6CB8" w:rsidRPr="008B5A9C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DCF7" w14:textId="77777777" w:rsidR="00DF0C7C" w:rsidRDefault="00DF0C7C">
      <w:pPr>
        <w:spacing w:line="240" w:lineRule="auto"/>
      </w:pPr>
      <w:r>
        <w:separator/>
      </w:r>
    </w:p>
  </w:endnote>
  <w:endnote w:type="continuationSeparator" w:id="0">
    <w:p w14:paraId="5CABCBAA" w14:textId="77777777" w:rsidR="00DF0C7C" w:rsidRDefault="00DF0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7EB22" w14:textId="77777777" w:rsidR="00DF0C7C" w:rsidRDefault="00DF0C7C">
      <w:pPr>
        <w:spacing w:after="0"/>
      </w:pPr>
      <w:r>
        <w:separator/>
      </w:r>
    </w:p>
  </w:footnote>
  <w:footnote w:type="continuationSeparator" w:id="0">
    <w:p w14:paraId="6AE585DC" w14:textId="77777777" w:rsidR="00DF0C7C" w:rsidRDefault="00DF0C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947B" w14:textId="77777777" w:rsidR="008F7BA1" w:rsidRDefault="00455D4F">
    <w:pPr>
      <w:pStyle w:val="Cabealho"/>
    </w:pPr>
    <w:r>
      <w:rPr>
        <w:noProof/>
      </w:rPr>
      <w:drawing>
        <wp:inline distT="0" distB="0" distL="114300" distR="114300" wp14:anchorId="757C5F24" wp14:editId="3F5AD39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D83"/>
    <w:multiLevelType w:val="hybridMultilevel"/>
    <w:tmpl w:val="EE48C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2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4C58"/>
    <w:rsid w:val="00172A27"/>
    <w:rsid w:val="00267E8D"/>
    <w:rsid w:val="004003BA"/>
    <w:rsid w:val="00411FE1"/>
    <w:rsid w:val="00455D4F"/>
    <w:rsid w:val="00647021"/>
    <w:rsid w:val="00677F30"/>
    <w:rsid w:val="00741E2B"/>
    <w:rsid w:val="007F3284"/>
    <w:rsid w:val="008B5A9C"/>
    <w:rsid w:val="008F7BA1"/>
    <w:rsid w:val="009C2DB8"/>
    <w:rsid w:val="00AA6CB8"/>
    <w:rsid w:val="00B82A8F"/>
    <w:rsid w:val="00C33E62"/>
    <w:rsid w:val="00CA0317"/>
    <w:rsid w:val="00DD4D0A"/>
    <w:rsid w:val="00DF0C7C"/>
    <w:rsid w:val="00E45E66"/>
    <w:rsid w:val="00F3538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B75"/>
  <w15:docId w15:val="{02B19226-1403-43A9-8D01-490AD7A8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1FE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411FE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C33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uario@ufop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faelmq3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3925/1983-3156.2025v27i5p110-13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815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Aluno</cp:lastModifiedBy>
  <cp:revision>6</cp:revision>
  <dcterms:created xsi:type="dcterms:W3CDTF">2026-04-28T23:33:00Z</dcterms:created>
  <dcterms:modified xsi:type="dcterms:W3CDTF">2026-05-31T22:53:00Z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