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1C6F2" w14:textId="77777777" w:rsidR="009C6565" w:rsidRDefault="009C6565">
      <w:pPr>
        <w:jc w:val="center"/>
        <w:rPr>
          <w:rFonts w:ascii="Times New Roman" w:hAnsi="Times New Roman"/>
          <w:b/>
          <w:sz w:val="24"/>
        </w:rPr>
      </w:pPr>
    </w:p>
    <w:p w14:paraId="02CA16D9" w14:textId="77777777" w:rsidR="009C6565" w:rsidRDefault="007E377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color w:val="222222"/>
          <w:sz w:val="24"/>
        </w:rPr>
        <w:t>APRENDER JOGANDO NO PIBID: O PROTAGONISMO ESTUDANTIL NO ENSINO DA MULTIPLICAÇÃO NOS ANOS INICIAIS</w:t>
      </w:r>
    </w:p>
    <w:p w14:paraId="1DDB29A6" w14:textId="77777777" w:rsidR="009C6565" w:rsidRDefault="009C656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BD97C3A" w14:textId="77777777" w:rsidR="009C6565" w:rsidRDefault="007E377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João Victor Silva Teixeira</w:t>
      </w:r>
    </w:p>
    <w:p w14:paraId="617FB361" w14:textId="77777777" w:rsidR="009C6565" w:rsidRDefault="007E377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Universidade Estadual de Montes Claros – Unimontes</w:t>
      </w:r>
    </w:p>
    <w:p w14:paraId="7B11893F" w14:textId="77777777" w:rsidR="009C6565" w:rsidRDefault="007E377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joaovictor.1046@gmail.com</w:t>
      </w:r>
    </w:p>
    <w:p w14:paraId="6ACB1D23" w14:textId="77777777" w:rsidR="009C6565" w:rsidRDefault="007E377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Livia Suely Souto</w:t>
      </w:r>
    </w:p>
    <w:p w14:paraId="0D29AD3F" w14:textId="77777777" w:rsidR="009C6565" w:rsidRDefault="007E377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Universidade Estadual de Montes Claros – Unimontes</w:t>
      </w:r>
    </w:p>
    <w:p w14:paraId="12E80229" w14:textId="77777777" w:rsidR="009C6565" w:rsidRDefault="007E377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liviasuelysouto@gmail.com</w:t>
      </w:r>
    </w:p>
    <w:p w14:paraId="69A7A22E" w14:textId="77777777" w:rsidR="009C6565" w:rsidRDefault="007E377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Francely Aparecida dos Santos</w:t>
      </w:r>
    </w:p>
    <w:p w14:paraId="5F059CE5" w14:textId="77777777" w:rsidR="009C6565" w:rsidRDefault="007E377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Universidade Estadual de Montes Claros – Unimontes</w:t>
      </w:r>
    </w:p>
    <w:p w14:paraId="7560E364" w14:textId="77777777" w:rsidR="009C6565" w:rsidRDefault="007E37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/>
          <w:sz w:val="24"/>
        </w:rPr>
        <w:t>Francely.santos@unimontes.br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21006A3E" w14:textId="77777777" w:rsidR="009C6565" w:rsidRDefault="009C65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7F88A31" w14:textId="77777777" w:rsidR="009C6565" w:rsidRDefault="007E37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: </w:t>
      </w:r>
      <w:r>
        <w:rPr>
          <w:rFonts w:ascii="Times New Roman" w:hAnsi="Times New Roman"/>
          <w:sz w:val="24"/>
        </w:rPr>
        <w:t>Educação Matemáti</w:t>
      </w:r>
      <w:r>
        <w:rPr>
          <w:rFonts w:ascii="Times New Roman" w:hAnsi="Times New Roman"/>
          <w:sz w:val="24"/>
        </w:rPr>
        <w:t>ca nos Anos Iniciais</w:t>
      </w:r>
    </w:p>
    <w:p w14:paraId="04DA4016" w14:textId="1E19C84E" w:rsidR="009C6565" w:rsidRDefault="007E377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>
        <w:rPr>
          <w:rFonts w:ascii="Times New Roman" w:hAnsi="Times New Roman"/>
          <w:sz w:val="24"/>
        </w:rPr>
        <w:t xml:space="preserve"> </w:t>
      </w:r>
      <w:r w:rsidR="00DE41CF" w:rsidRPr="00DE41CF">
        <w:rPr>
          <w:rFonts w:ascii="Times New Roman" w:hAnsi="Times New Roman" w:cs="Times New Roman"/>
          <w:sz w:val="24"/>
          <w:szCs w:val="24"/>
        </w:rPr>
        <w:t>Anos Iniciais, Ludicidade, Jogo da memória, Multiplicação.</w:t>
      </w:r>
    </w:p>
    <w:p w14:paraId="43D94E01" w14:textId="77777777" w:rsidR="009C6565" w:rsidRDefault="009C65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92572E" w14:textId="77777777" w:rsidR="009C6565" w:rsidRDefault="009C65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2738E2" w14:textId="77777777" w:rsidR="009C6565" w:rsidRDefault="007E37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  <w:bookmarkStart w:id="0" w:name="_GoBack"/>
      <w:bookmarkEnd w:id="0"/>
    </w:p>
    <w:p w14:paraId="52BE0048" w14:textId="77777777" w:rsidR="009C6565" w:rsidRDefault="009C65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1DB441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99033F" w14:textId="77777777" w:rsidR="009C6565" w:rsidRDefault="007E3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6D1E555C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BDA395" w14:textId="77777777" w:rsidR="009C6565" w:rsidRDefault="007E3771">
      <w:pPr>
        <w:jc w:val="both"/>
      </w:pPr>
      <w:r>
        <w:rPr>
          <w:rFonts w:ascii="Times New Roman" w:hAnsi="Times New Roman"/>
          <w:sz w:val="24"/>
        </w:rPr>
        <w:t>Este relato de experiência apresenta uma prática pedagógica desenvolvida no âmbito do</w:t>
      </w:r>
      <w:r>
        <w:rPr>
          <w:rFonts w:ascii="Times New Roman" w:hAnsi="Times New Roman"/>
          <w:sz w:val="24"/>
        </w:rPr>
        <w:t xml:space="preserve"> Programa Institucional de Bolsa de Iniciação à Docência (PIBID), no curso de Pedagogia da Universidade Estadual de Montes Claros (Unimontes), realizada em março de 2026. A atividade ocorreu com uma turma do 5º ano do Ensino Fundamental e teve como foco o </w:t>
      </w:r>
      <w:r>
        <w:rPr>
          <w:rFonts w:ascii="Times New Roman" w:hAnsi="Times New Roman"/>
          <w:sz w:val="24"/>
        </w:rPr>
        <w:t>ensino da multiplicação por meio de estratégias lúdicas. A proposta surgiu da necessidade de superar práticas tradicionais baseadas na memorização mecânica, buscando promover uma aprendizagem significativa, participativa e centrada no aluno, fortalecendo o</w:t>
      </w:r>
      <w:r>
        <w:rPr>
          <w:rFonts w:ascii="Times New Roman" w:hAnsi="Times New Roman"/>
          <w:sz w:val="24"/>
        </w:rPr>
        <w:t xml:space="preserve"> ensino da matemática nos anos iniciais.</w:t>
      </w:r>
    </w:p>
    <w:p w14:paraId="69395A07" w14:textId="77777777" w:rsidR="009C6565" w:rsidRDefault="007E3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583FA2A5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4F878F" w14:textId="77777777" w:rsidR="009C6565" w:rsidRDefault="007E3771">
      <w:pPr>
        <w:jc w:val="both"/>
      </w:pPr>
      <w:r>
        <w:rPr>
          <w:rFonts w:ascii="Times New Roman" w:hAnsi="Times New Roman"/>
          <w:sz w:val="24"/>
        </w:rPr>
        <w:t>A prática foi orientada pela seguinte questão: como promover o aprendizado da multiplicação de forma envolvente, significativa e centrada no protagonismo dos alunos? O objetivo foi re</w:t>
      </w:r>
      <w:r>
        <w:rPr>
          <w:rFonts w:ascii="Times New Roman" w:hAnsi="Times New Roman"/>
          <w:sz w:val="24"/>
        </w:rPr>
        <w:t>forçar os fatos da multiplicação, estimular o cálculo mental e desenvolver o raciocínio lógico, valorizando a autonomia, a participação ativa e o engajamento dos estudantes durante a atividade.</w:t>
      </w:r>
    </w:p>
    <w:p w14:paraId="321036D7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14B14B" w14:textId="77777777" w:rsidR="009C6565" w:rsidRDefault="007E3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3BE26642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779CDE9" w14:textId="77777777" w:rsidR="009C6565" w:rsidRDefault="007E3771">
      <w:pPr>
        <w:jc w:val="both"/>
      </w:pPr>
      <w:r>
        <w:rPr>
          <w:rFonts w:ascii="Times New Roman" w:hAnsi="Times New Roman"/>
          <w:sz w:val="24"/>
        </w:rPr>
        <w:lastRenderedPageBreak/>
        <w:t>A atividade foi</w:t>
      </w:r>
      <w:r>
        <w:rPr>
          <w:rFonts w:ascii="Times New Roman" w:hAnsi="Times New Roman"/>
          <w:sz w:val="24"/>
        </w:rPr>
        <w:t xml:space="preserve"> desenvolvida por meio de uma abordagem lúdica, utilizando um jogo da memória gigante, organizado no chão da sala e ocupando uma parte significativa do espaço. Inicialmente, realizou-se uma retomada dialogada sobre o conceito de multiplicação como soma de </w:t>
      </w:r>
      <w:r>
        <w:rPr>
          <w:rFonts w:ascii="Times New Roman" w:hAnsi="Times New Roman"/>
          <w:sz w:val="24"/>
        </w:rPr>
        <w:t>parcelas iguais. Em seguida, os alunos foram organizados em duplas e participaram do jogo, no qual deveriam encontrar pares entre operações e seus respectivos resultados. A dinâmica exigia atenção, memória e estratégia, colocando os alunos como protagonist</w:t>
      </w:r>
      <w:r>
        <w:rPr>
          <w:rFonts w:ascii="Times New Roman" w:hAnsi="Times New Roman"/>
          <w:sz w:val="24"/>
        </w:rPr>
        <w:t>as da atividade. Durante o desenvolvimento, observou-se intensa colaboração entre os estudantes, que se ajudavam, trocavam ideias e construíam coletivamente soluções.</w:t>
      </w:r>
    </w:p>
    <w:p w14:paraId="16DD5EFB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91760F" w14:textId="77777777" w:rsidR="009C6565" w:rsidRDefault="007E3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786B0419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C4A248" w14:textId="77777777" w:rsidR="00DE41CF" w:rsidRPr="00F56EB0" w:rsidRDefault="00DE41CF" w:rsidP="00DE41CF">
      <w:pPr>
        <w:jc w:val="both"/>
        <w:rPr>
          <w:rFonts w:ascii="Times New Roman" w:hAnsi="Times New Roman" w:cs="Times New Roman"/>
          <w:sz w:val="24"/>
          <w:szCs w:val="24"/>
        </w:rPr>
      </w:pPr>
      <w:r w:rsidRPr="00F56EB0">
        <w:rPr>
          <w:rFonts w:ascii="Times New Roman" w:hAnsi="Times New Roman" w:cs="Times New Roman"/>
          <w:sz w:val="24"/>
          <w:szCs w:val="24"/>
        </w:rPr>
        <w:t>A prática fundamenta-se nos princípios da Educação Matemática que valorizam a resolução de problemas, a construção do conhecimento pelo estudante, a interação entre os pares e o desenvolvimento do raciocínio lógico. Nessa perspectiva, o aluno assume papel ativo no processo de aprendizagem, elaborando estratégias e refletindo sobre suas ações (Smole; Diniz, 2001). Além disso, a Base Nacional Comum Curricular destaca a importância de os estudantes desenvolverem diferentes estratégias para resolver problemas matemáticos, compreendendo os significados das operações e não apenas reproduzindo procedimentos mecânicos (Brasil, 2018).</w:t>
      </w:r>
    </w:p>
    <w:p w14:paraId="75A1135A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705297" w14:textId="77777777" w:rsidR="009C6565" w:rsidRDefault="007E3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531D3E1A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E43DB8" w14:textId="77777777" w:rsidR="009C6565" w:rsidRDefault="007E3771">
      <w:pPr>
        <w:jc w:val="both"/>
      </w:pPr>
      <w:r>
        <w:rPr>
          <w:rFonts w:ascii="Times New Roman" w:hAnsi="Times New Roman"/>
          <w:sz w:val="24"/>
        </w:rPr>
        <w:t>Os resultados evidenciaram elevado nível de envolvimento, entusiasmo e participação dos alunos. O formato do</w:t>
      </w:r>
      <w:r>
        <w:rPr>
          <w:rFonts w:ascii="Times New Roman" w:hAnsi="Times New Roman"/>
          <w:sz w:val="24"/>
        </w:rPr>
        <w:t xml:space="preserve"> jogo da memória gigante despertou interesse imediato, tornando a aula mais dinâmica e interativa. Os estudantes demonstraram cooperação constante, ajudando uns aos outros e fortalecendo o aprendizado coletivo. Observou-se avanço no cálculo mental, maior s</w:t>
      </w:r>
      <w:r>
        <w:rPr>
          <w:rFonts w:ascii="Times New Roman" w:hAnsi="Times New Roman"/>
          <w:sz w:val="24"/>
        </w:rPr>
        <w:t>egurança na resolução das operações e um ambiente de aprendizagem marcado pela motivação e pelo protagonismo dos alunos.</w:t>
      </w:r>
    </w:p>
    <w:p w14:paraId="06208042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7E5113C" w14:textId="77777777" w:rsidR="009C6565" w:rsidRDefault="007E3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19D2F98D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DBC4607" w14:textId="77777777" w:rsidR="009C6565" w:rsidRDefault="007E3771">
      <w:pPr>
        <w:jc w:val="both"/>
      </w:pPr>
      <w:r>
        <w:rPr>
          <w:rFonts w:ascii="Times New Roman" w:hAnsi="Times New Roman"/>
          <w:sz w:val="24"/>
        </w:rPr>
        <w:t xml:space="preserve">A </w:t>
      </w:r>
      <w:r>
        <w:rPr>
          <w:rFonts w:ascii="Times New Roman" w:hAnsi="Times New Roman"/>
          <w:sz w:val="24"/>
        </w:rPr>
        <w:t>experiência reforça a importância de práticas pedagógicas que valorizem o protagonismo estudantil e o trabalho colaborativo. No contexto do 5º ano, o uso de estratégias lúdicas contribui para tornar a matemática mais acessível e significativa, promovendo n</w:t>
      </w:r>
      <w:r>
        <w:rPr>
          <w:rFonts w:ascii="Times New Roman" w:hAnsi="Times New Roman"/>
          <w:sz w:val="24"/>
        </w:rPr>
        <w:t>ão apenas o aprendizado de conteúdo, mas também o desenvolvimento de habilidades sociais, como cooperação, autonomia e respeito mútuo. A prática dialoga diretamente com propostas educacionais que defendem uma educação participativa e centrada no aluno.</w:t>
      </w:r>
    </w:p>
    <w:p w14:paraId="4AD75009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264CC6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5C2A28" w14:textId="77777777" w:rsidR="009C6565" w:rsidRDefault="007E3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onsiderações finais</w:t>
      </w:r>
    </w:p>
    <w:p w14:paraId="6BCA45C0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9E2D574" w14:textId="77777777" w:rsidR="009C6565" w:rsidRDefault="007E3771">
      <w:pPr>
        <w:jc w:val="both"/>
      </w:pPr>
      <w:r>
        <w:rPr>
          <w:rFonts w:ascii="Times New Roman" w:hAnsi="Times New Roman"/>
          <w:sz w:val="24"/>
        </w:rPr>
        <w:t>Conclui-se que o uso de jogos no ensino da multiplicação potencializa o aprendizado ao colocar o aluno no centro do processo. A experiência evidenciou que, quando envolvidos em atividades dinâmicas e colaborativas, os estudantes demons</w:t>
      </w:r>
      <w:r>
        <w:rPr>
          <w:rFonts w:ascii="Times New Roman" w:hAnsi="Times New Roman"/>
          <w:sz w:val="24"/>
        </w:rPr>
        <w:t>tram entusiasmo, interesse e participação ativa, tornando a aprendizagem mais significativa e duradoura.</w:t>
      </w:r>
    </w:p>
    <w:p w14:paraId="1E23A2FA" w14:textId="77777777" w:rsidR="009C6565" w:rsidRDefault="009C6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301082" w14:textId="77777777" w:rsidR="009C6565" w:rsidRDefault="007E3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46F63433" w14:textId="77777777" w:rsidR="009C6565" w:rsidRDefault="009C6565">
      <w:pPr>
        <w:spacing w:after="0" w:line="240" w:lineRule="auto"/>
        <w:rPr>
          <w:sz w:val="24"/>
          <w:szCs w:val="24"/>
        </w:rPr>
      </w:pPr>
    </w:p>
    <w:p w14:paraId="4D67AC0B" w14:textId="77777777" w:rsidR="00DE41CF" w:rsidRDefault="00DE41CF" w:rsidP="00DE41CF">
      <w:pPr>
        <w:pStyle w:val="NormalWeb"/>
        <w:jc w:val="both"/>
        <w:rPr>
          <w:rStyle w:val="nfase"/>
        </w:rPr>
      </w:pPr>
      <w:r>
        <w:t xml:space="preserve">BRASIL. Ministério da Educação. </w:t>
      </w:r>
      <w:r>
        <w:rPr>
          <w:rStyle w:val="nfase"/>
        </w:rPr>
        <w:t>Base Nacional Comum Curricular</w:t>
      </w:r>
      <w:r>
        <w:t>. Brasília, DF: MEC, 2018.</w:t>
      </w:r>
    </w:p>
    <w:p w14:paraId="7ABE1F82" w14:textId="1D3FEDFA" w:rsidR="00DE41CF" w:rsidRDefault="00DE41CF" w:rsidP="00DE41CF">
      <w:pPr>
        <w:pStyle w:val="NormalWeb"/>
        <w:jc w:val="both"/>
      </w:pPr>
      <w:r>
        <w:t xml:space="preserve">SMOLE, Kátia Stocco; DINIZ, Maria Ignez. </w:t>
      </w:r>
      <w:r>
        <w:rPr>
          <w:rStyle w:val="nfase"/>
        </w:rPr>
        <w:t>Ler, escrever e resolver problemas: habilidades básicas para aprender matemática</w:t>
      </w:r>
      <w:r>
        <w:t>. Porto Alegre: Artmed, 2001.</w:t>
      </w:r>
    </w:p>
    <w:p w14:paraId="46B3C223" w14:textId="77777777" w:rsidR="009C6565" w:rsidRDefault="009C6565">
      <w:pPr>
        <w:spacing w:line="240" w:lineRule="auto"/>
        <w:rPr>
          <w:sz w:val="24"/>
          <w:szCs w:val="24"/>
        </w:rPr>
      </w:pPr>
    </w:p>
    <w:sectPr w:rsidR="009C6565">
      <w:headerReference w:type="default" r:id="rId6"/>
      <w:headerReference w:type="first" r:id="rId7"/>
      <w:pgSz w:w="11906" w:h="16838"/>
      <w:pgMar w:top="1701" w:right="1134" w:bottom="1134" w:left="1701" w:header="708" w:footer="0" w:gutter="0"/>
      <w:cols w:space="720"/>
      <w:formProt w:val="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FC2C9E5" w16cid:durableId="3EC5F540"/>
  <w16cid:commentId w16cid:paraId="552C0F93" w16cid:durableId="1BB29C05"/>
  <w16cid:commentId w16cid:paraId="651B2C79" w16cid:durableId="4A594E4F"/>
  <w16cid:commentId w16cid:paraId="0A4899F8" w16cid:durableId="3DD07A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07DD3" w14:textId="77777777" w:rsidR="007E3771" w:rsidRDefault="007E3771">
      <w:pPr>
        <w:spacing w:after="0" w:line="240" w:lineRule="auto"/>
      </w:pPr>
      <w:r>
        <w:separator/>
      </w:r>
    </w:p>
  </w:endnote>
  <w:endnote w:type="continuationSeparator" w:id="0">
    <w:p w14:paraId="35713BA0" w14:textId="77777777" w:rsidR="007E3771" w:rsidRDefault="007E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D62FF" w14:textId="77777777" w:rsidR="007E3771" w:rsidRDefault="007E3771">
      <w:pPr>
        <w:spacing w:after="0" w:line="240" w:lineRule="auto"/>
      </w:pPr>
      <w:r>
        <w:separator/>
      </w:r>
    </w:p>
  </w:footnote>
  <w:footnote w:type="continuationSeparator" w:id="0">
    <w:p w14:paraId="435584CE" w14:textId="77777777" w:rsidR="007E3771" w:rsidRDefault="007E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7EF2F" w14:textId="77777777" w:rsidR="009C6565" w:rsidRDefault="007E3771">
    <w:pPr>
      <w:pStyle w:val="Cabealho"/>
    </w:pPr>
    <w:r>
      <w:rPr>
        <w:noProof/>
        <w:lang w:eastAsia="pt-BR"/>
      </w:rPr>
      <w:drawing>
        <wp:inline distT="0" distB="0" distL="0" distR="0" wp14:anchorId="015A9FEB" wp14:editId="0CB5A8FB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060D8" w14:textId="77777777" w:rsidR="009C6565" w:rsidRDefault="007E3771">
    <w:pPr>
      <w:pStyle w:val="Cabealho"/>
    </w:pPr>
    <w:r>
      <w:rPr>
        <w:noProof/>
        <w:lang w:eastAsia="pt-BR"/>
      </w:rPr>
      <w:drawing>
        <wp:inline distT="0" distB="0" distL="0" distR="0" wp14:anchorId="302057EA" wp14:editId="63D969DC">
          <wp:extent cx="5756910" cy="1344295"/>
          <wp:effectExtent l="0" t="0" r="0" b="0"/>
          <wp:docPr id="2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trackRevisions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65"/>
    <w:rsid w:val="000F268E"/>
    <w:rsid w:val="001871C8"/>
    <w:rsid w:val="002B6D6C"/>
    <w:rsid w:val="002F2CC5"/>
    <w:rsid w:val="007E3771"/>
    <w:rsid w:val="009122F0"/>
    <w:rsid w:val="009C6565"/>
    <w:rsid w:val="00DE41CF"/>
    <w:rsid w:val="00DF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B5B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o">
    <w:name w:val="Revision"/>
    <w:hidden/>
    <w:uiPriority w:val="99"/>
    <w:semiHidden/>
    <w:rsid w:val="000F268E"/>
    <w:pPr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efdecomentrio">
    <w:name w:val="annotation reference"/>
    <w:basedOn w:val="Fontepargpadro"/>
    <w:uiPriority w:val="99"/>
    <w:semiHidden/>
    <w:unhideWhenUsed/>
    <w:rsid w:val="000F268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F268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F268E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F26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F268E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4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41CF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DE41C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E41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6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2026-05-31T17:54:00Z</dcterms:created>
  <dcterms:modified xsi:type="dcterms:W3CDTF">2026-05-31T17:54:00Z</dcterms:modified>
  <dc:language/>
</cp:coreProperties>
</file>