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9A2" w:rsidRDefault="00D269A2">
      <w:pPr>
        <w:tabs>
          <w:tab w:val="center" w:pos="4535"/>
          <w:tab w:val="right" w:pos="90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269A2" w:rsidRDefault="007F620A">
      <w:pPr>
        <w:tabs>
          <w:tab w:val="center" w:pos="4535"/>
          <w:tab w:val="right" w:pos="90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MANEJO TERAPÊUTICO DE GRANULOMA INFECCIOSO E COINFECÇÃO POR HEMOPARASITOSES EM CADELA: RELATO DE CASO</w:t>
      </w:r>
    </w:p>
    <w:p w:rsidR="00D269A2" w:rsidRPr="00CC0D68" w:rsidRDefault="007F620A">
      <w:pPr>
        <w:tabs>
          <w:tab w:val="center" w:pos="4535"/>
          <w:tab w:val="right" w:pos="907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0D68">
        <w:rPr>
          <w:rFonts w:ascii="Times New Roman" w:eastAsia="Times New Roman" w:hAnsi="Times New Roman" w:cs="Times New Roman"/>
          <w:sz w:val="24"/>
          <w:szCs w:val="24"/>
        </w:rPr>
        <w:t xml:space="preserve">Emilly Martins 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>ARAÚJO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 xml:space="preserve">¹*; Kaéllyda Marques 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>LOPES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>¹;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 xml:space="preserve">Monalisa Correia de 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>MORAIS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 xml:space="preserve">¹; João Victor do Ó de 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>LIMA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 xml:space="preserve">¹; Estefany Ferreira de 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>LIMA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>¹;</w:t>
      </w:r>
      <w:r w:rsidRPr="00CC0D68">
        <w:rPr>
          <w:rFonts w:ascii="Tahoma" w:eastAsia="Tahoma" w:hAnsi="Tahoma" w:cs="Tahoma"/>
          <w:color w:val="326C99"/>
          <w:sz w:val="24"/>
          <w:szCs w:val="24"/>
          <w:highlight w:val="white"/>
        </w:rPr>
        <w:t xml:space="preserve"> 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 xml:space="preserve">Izadora de Souza 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>PIRES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>²;</w:t>
      </w:r>
      <w:r w:rsidRPr="00CC0D68">
        <w:rPr>
          <w:rFonts w:ascii="Tahoma" w:eastAsia="Tahoma" w:hAnsi="Tahoma" w:cs="Tahoma"/>
          <w:color w:val="326C99"/>
          <w:sz w:val="24"/>
          <w:szCs w:val="24"/>
          <w:highlight w:val="white"/>
        </w:rPr>
        <w:t xml:space="preserve"> 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>Fabrícia Geovânia Fernandes</w:t>
      </w:r>
      <w:r w:rsidRPr="00CC0D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FILGUEIRA</w:t>
      </w:r>
      <w:r w:rsidRPr="00CC0D68">
        <w:rPr>
          <w:rFonts w:ascii="Times New Roman" w:eastAsia="Times New Roman" w:hAnsi="Times New Roman" w:cs="Times New Roman"/>
          <w:sz w:val="24"/>
          <w:szCs w:val="24"/>
        </w:rPr>
        <w:t>³</w:t>
      </w:r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Graduanda em Medicina Veterinária pelo Instituto Federal da Paraíba. E-mail: </w:t>
      </w:r>
      <w:hyperlink r:id="rId6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emilly.martins@academico.ifpb.edu.br</w:t>
        </w:r>
      </w:hyperlink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Graduanda em Medicina Veter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inária pelo Instituto Federal da Paraíba. E-mail: </w:t>
      </w:r>
      <w:hyperlink r:id="rId7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kaellyda.marques@academico.ifpb.edu.br</w:t>
        </w:r>
      </w:hyperlink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CC0D68">
        <w:rPr>
          <w:rFonts w:ascii="Times New Roman" w:eastAsia="Times New Roman" w:hAnsi="Times New Roman" w:cs="Times New Roman"/>
          <w:sz w:val="20"/>
          <w:szCs w:val="20"/>
        </w:rPr>
        <w:t xml:space="preserve">¹ 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Especializada e </w:t>
      </w:r>
      <w:r w:rsidRPr="00CC0D68">
        <w:rPr>
          <w:rFonts w:ascii="Times New Roman" w:eastAsia="Times New Roman" w:hAnsi="Times New Roman" w:cs="Times New Roman"/>
          <w:sz w:val="20"/>
          <w:szCs w:val="20"/>
        </w:rPr>
        <w:t>residente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em Clínica Médica de Pequenos Animais pelo Instituto Federal da Paraíba. E-mail: </w:t>
      </w:r>
      <w:hyperlink r:id="rId8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monalisam774@gmail.com</w:t>
        </w:r>
      </w:hyperlink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C0D68">
        <w:rPr>
          <w:rFonts w:ascii="Times New Roman" w:eastAsia="Times New Roman" w:hAnsi="Times New Roman" w:cs="Times New Roman"/>
          <w:sz w:val="20"/>
          <w:szCs w:val="20"/>
        </w:rPr>
        <w:t xml:space="preserve">¹ 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>Especializado em Análises Clínicas pelo Instituto Federal da Paraíba. E-mail: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 </w:t>
      </w:r>
      <w:hyperlink r:id="rId9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jvlimamedvet@gmail.com</w:t>
        </w:r>
      </w:hyperlink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C0D68">
        <w:rPr>
          <w:rFonts w:ascii="Times New Roman" w:eastAsia="Times New Roman" w:hAnsi="Times New Roman" w:cs="Times New Roman"/>
          <w:sz w:val="20"/>
          <w:szCs w:val="20"/>
        </w:rPr>
        <w:t xml:space="preserve">¹ 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>Residente em Cirurgia de Pequenos Animais pelo Ins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tituto Federal da Paraíba. E-mail: </w:t>
      </w:r>
      <w:hyperlink r:id="rId10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ferreiraestefany626@gmail.com</w:t>
        </w:r>
      </w:hyperlink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CC0D6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Mestranda em Medicina Veterinária pela Universidade Federal de Campina Grande. E-mail: </w:t>
      </w:r>
      <w:hyperlink r:id="rId11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izadorasz11@outlook.c</w:t>
        </w:r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om</w:t>
        </w:r>
      </w:hyperlink>
    </w:p>
    <w:p w:rsidR="00D269A2" w:rsidRPr="00CC0D68" w:rsidRDefault="007F6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</w:rPr>
      </w:pPr>
      <w:r w:rsidRPr="00CC0D68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CC0D6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Doutora em Medicina Veterinária e Técnica Administrativa do Instituto Federal da Paraíba. E-mail: </w:t>
      </w:r>
      <w:hyperlink r:id="rId12">
        <w:r w:rsidRPr="00CC0D6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fabricia.filgueira@ifpb.edu.br</w:t>
        </w:r>
      </w:hyperlink>
    </w:p>
    <w:p w:rsidR="00D269A2" w:rsidRPr="00CC0D68" w:rsidRDefault="00D269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39hkiw3afgnq" w:colFirst="0" w:colLast="0"/>
      <w:bookmarkEnd w:id="0"/>
    </w:p>
    <w:p w:rsidR="00D269A2" w:rsidRDefault="00D269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</w:p>
    <w:p w:rsidR="00CC0D68" w:rsidRDefault="007F620A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Resumo: </w:t>
      </w:r>
    </w:p>
    <w:p w:rsidR="00CD0412" w:rsidRDefault="007F620A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Foi acompanhada uma cadela Pitbull, de 9 meses, que após ser submetida a um procedimento cirúrgico de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ovariohisterectomia, apresentou complicações clínicas crônicas resultando em </w:t>
      </w:r>
      <w:r w:rsidR="00CD0412">
        <w:rPr>
          <w:rFonts w:ascii="Times New Roman" w:eastAsia="Times New Roman" w:hAnsi="Times New Roman" w:cs="Times New Roman"/>
          <w:color w:val="00000A"/>
          <w:sz w:val="20"/>
          <w:szCs w:val="20"/>
        </w:rPr>
        <w:t>infecção piogranulomatosa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.</w:t>
      </w:r>
      <w:r w:rsidR="00CC0D68"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Além disso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, a cadela apresentou coinfecção por </w:t>
      </w:r>
      <w:r>
        <w:rPr>
          <w:rFonts w:ascii="Times New Roman" w:eastAsia="Times New Roman" w:hAnsi="Times New Roman" w:cs="Times New Roman"/>
          <w:i/>
          <w:iCs/>
          <w:color w:val="00000A"/>
          <w:sz w:val="20"/>
          <w:szCs w:val="20"/>
        </w:rPr>
        <w:t xml:space="preserve">Ehrlichia canis 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00000A"/>
          <w:sz w:val="20"/>
          <w:szCs w:val="20"/>
        </w:rPr>
        <w:t xml:space="preserve"> Anaplasma platys,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 transmitidos pelo carrapato </w:t>
      </w:r>
      <w:r>
        <w:rPr>
          <w:rFonts w:ascii="Times New Roman" w:eastAsia="Times New Roman" w:hAnsi="Times New Roman" w:cs="Times New Roman"/>
          <w:i/>
          <w:iCs/>
          <w:color w:val="00000A"/>
          <w:sz w:val="20"/>
          <w:szCs w:val="20"/>
        </w:rPr>
        <w:t>Rhipicephalus sanguineus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, que pode resul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tar em sinais graves e óbito. A instituição de um protocolo terapêutico multimodal, associando suporte sistêmico e antibioticoterapia combinada, resultou em recuperação hematológica e</w:t>
      </w:r>
      <w:r w:rsidR="00F26AA3">
        <w:rPr>
          <w:rFonts w:ascii="Times New Roman" w:eastAsia="Times New Roman" w:hAnsi="Times New Roman" w:cs="Times New Roman"/>
          <w:color w:val="00000A"/>
          <w:sz w:val="20"/>
          <w:szCs w:val="20"/>
        </w:rPr>
        <w:t>xpressiva e regressão do granuloma infeccioso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O obj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0"/>
          <w:szCs w:val="20"/>
        </w:rPr>
        <w:t xml:space="preserve">etivo deste trabalho é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relatar um caso de granuloma infeccioso e coinfecção por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Ehrlichia canis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Anaplasma platys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em cadela. </w:t>
      </w:r>
    </w:p>
    <w:p w:rsidR="00CD0412" w:rsidRPr="00CD0412" w:rsidRDefault="00CD0412" w:rsidP="00CD0412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D0412" w:rsidRDefault="007F620A" w:rsidP="00CC0D68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A"/>
        </w:rPr>
        <w:t>Palavras-chave:</w:t>
      </w:r>
      <w:r>
        <w:rPr>
          <w:rFonts w:ascii="Times New Roman" w:eastAsia="Times New Roman" w:hAnsi="Times New Roman" w:cs="Times New Roman"/>
          <w:color w:val="00000A"/>
        </w:rPr>
        <w:t xml:space="preserve"> hemoparasitoses; ovariohisterectomia; </w:t>
      </w:r>
      <w:r>
        <w:rPr>
          <w:rFonts w:ascii="Times New Roman" w:eastAsia="Times New Roman" w:hAnsi="Times New Roman" w:cs="Times New Roman"/>
          <w:i/>
          <w:iCs/>
          <w:color w:val="00000A"/>
          <w:sz w:val="20"/>
          <w:szCs w:val="20"/>
        </w:rPr>
        <w:t>Rhipicephalus sanguineus</w:t>
      </w:r>
    </w:p>
    <w:p w:rsidR="00CD0412" w:rsidRPr="00CD0412" w:rsidRDefault="00CD0412" w:rsidP="00CD0412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A"/>
          <w:sz w:val="20"/>
          <w:szCs w:val="20"/>
        </w:rPr>
      </w:pPr>
    </w:p>
    <w:p w:rsidR="00D269A2" w:rsidRDefault="007F620A" w:rsidP="00CC0D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dermatopatias piogranulomatosas em pequenos animais caracterizam-se por uma reação inflamatória profunda, frequentemente associada à inoculação traumática de agentes oportunistas na derme e no tecido subcutâneo (Leal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2016). </w:t>
      </w:r>
      <w:r w:rsidR="00CD0412">
        <w:rPr>
          <w:rFonts w:ascii="Times New Roman" w:eastAsia="Times New Roman" w:hAnsi="Times New Roman" w:cs="Times New Roman"/>
          <w:sz w:val="24"/>
          <w:szCs w:val="24"/>
        </w:rPr>
        <w:t>As formações de granulomas infecciosos podem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ser favorecidas por estados de imunodeficiência ou comorbidades sistêmicas que comprometem a resposta do hospedeiro (Leal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2016). Paralelamente, a erliquiose e a anaplasmose canina são enfermidade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transmitidas por carrapatos, sendo a coinfecção uma ocorrência frequente na clínica veterinária (Semeão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2025). O objetivo deste trabalho é relatar um caso de granuloma infeccioso e coinfecção por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Ehrlichia canis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Anaplasma platys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cadela. </w:t>
      </w:r>
    </w:p>
    <w:p w:rsidR="00D269A2" w:rsidRDefault="00D269A2" w:rsidP="00CC0D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69A2" w:rsidRDefault="007F620A" w:rsidP="00CC0D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lato de caso: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paciente Cristal, </w:t>
      </w:r>
      <w:r>
        <w:rPr>
          <w:rFonts w:ascii="Times New Roman" w:eastAsia="Times New Roman" w:hAnsi="Times New Roman" w:cs="Times New Roman"/>
          <w:sz w:val="24"/>
          <w:szCs w:val="24"/>
        </w:rPr>
        <w:t>canina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Pitbull, 9 meses, 21,4 kg, foi atendida no Hospital Veterinário Adílio Santos de Azevedo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(HV-ASA) em Sousa, na Paraíba. Durante a anamnese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foi relatado que o animal se encontrava na fase de estro, convivia com outr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animais e teve cobertura por outro canino, em seguida foi submetido à administração de inibidor da fase de estro (progestágeno). Além disso, apresentou todos os linfonodos palpáveis aumentados e sem alterações na ausculta cardiorrespiratória. Com isso, </w:t>
      </w:r>
      <w:r>
        <w:rPr>
          <w:rFonts w:ascii="Times New Roman" w:eastAsia="Times New Roman" w:hAnsi="Times New Roman" w:cs="Times New Roman"/>
          <w:sz w:val="24"/>
          <w:szCs w:val="24"/>
        </w:rPr>
        <w:t>sugeriu-se possível piometra e o animal foi submetido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à cirurgia eletiva de </w:t>
      </w:r>
      <w:r>
        <w:rPr>
          <w:rFonts w:ascii="Times New Roman" w:eastAsia="Times New Roman" w:hAnsi="Times New Roman" w:cs="Times New Roman"/>
          <w:sz w:val="24"/>
          <w:szCs w:val="24"/>
        </w:rPr>
        <w:t>ovariohisterectomia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(OH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No retorno, nove dias após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r>
        <w:rPr>
          <w:rFonts w:ascii="Times New Roman" w:eastAsia="Times New Roman" w:hAnsi="Times New Roman" w:cs="Times New Roman"/>
          <w:sz w:val="24"/>
          <w:szCs w:val="24"/>
        </w:rPr>
        <w:t>cirurgia, o animal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apresentou aumento de volume abdominal com suspeita inicial de hérnia incisional. Em 04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novembro de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 a paciente manifestou apatia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apresentava-se pouco responsiva ao ambiente, com presença de carrapato, foi observado ulceração e conteúdo purulento na região abdominal. O tratamento hospitalar emergencial incluiu Dipirona na dose de 1,5ml e Escopolamina </w:t>
      </w:r>
      <w:r>
        <w:rPr>
          <w:rFonts w:ascii="Times New Roman" w:eastAsia="Times New Roman" w:hAnsi="Times New Roman" w:cs="Times New Roman"/>
          <w:sz w:val="24"/>
          <w:szCs w:val="24"/>
        </w:rPr>
        <w:t>intravenoso, a fluidoterapia foi executada com Suprevit Soro, Cetoprofeno na dose de 0,44ml e Ceftriaxona na dose de 2,75ml, ambos de forma intravenosa. Após o exame físico, efetuou-se à coleta de sangue para a realização de hemograma e avaliação de esfreg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aço sanguíneo. O hemograma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revelou pancitopenia </w:t>
      </w:r>
      <w:r>
        <w:rPr>
          <w:rFonts w:ascii="Times New Roman" w:eastAsia="Times New Roman" w:hAnsi="Times New Roman" w:cs="Times New Roman"/>
          <w:sz w:val="24"/>
          <w:szCs w:val="24"/>
        </w:rPr>
        <w:t>através de observação do volume globular de 28% (anemia), no plaquetograma observou-se o valor de 112.000 plaquetas/mm³ (trombocitopenia), e no leucograma foi encontrado 2.560 leucócitos/mm³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(leucopenia), além 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diagnóstico </w:t>
      </w:r>
      <w:r>
        <w:rPr>
          <w:rFonts w:ascii="Times New Roman" w:eastAsia="Times New Roman" w:hAnsi="Times New Roman" w:cs="Times New Roman"/>
          <w:sz w:val="24"/>
          <w:szCs w:val="24"/>
        </w:rPr>
        <w:t>de coinfecção por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E. canis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A. platys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por intermédio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étodo de pesquisa de hemoparasitas em esfregaço sanguíneo corado por panótico rápido, o qual foi possível observar mórulas intracitoplasmáticas sugestivas de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Ehrli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chia canis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monócitos e neutrófilos e inclusões plaquetárias sugestivas de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Anaplasma platys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 o manejo das hemoparasitoses, instituiu-se o Hemoli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 (0,1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ml/kg,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SID, 30 dias), Doxiciclina (20 mg/</w:t>
      </w:r>
      <w:r w:rsidR="00CC0D68">
        <w:rPr>
          <w:rFonts w:ascii="Times New Roman" w:eastAsia="Times New Roman" w:hAnsi="Times New Roman" w:cs="Times New Roman"/>
          <w:color w:val="000000"/>
          <w:sz w:val="24"/>
          <w:szCs w:val="24"/>
        </w:rPr>
        <w:t>kg, BID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28 dias), Buscopan (20mg, SID, 5 dias), Dipiron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(500mg, BID, 5 dias), vermifugação com Simparic, Omeprazol (0,5mg/kg, SID, 28 dias). </w:t>
      </w:r>
      <w:r>
        <w:rPr>
          <w:rFonts w:ascii="Times New Roman" w:eastAsia="Times New Roman" w:hAnsi="Times New Roman" w:cs="Times New Roman"/>
          <w:sz w:val="24"/>
          <w:szCs w:val="24"/>
        </w:rPr>
        <w:t>Adem</w:t>
      </w:r>
      <w:r w:rsidR="00CD0412">
        <w:rPr>
          <w:rFonts w:ascii="Times New Roman" w:eastAsia="Times New Roman" w:hAnsi="Times New Roman" w:cs="Times New Roman"/>
          <w:sz w:val="24"/>
          <w:szCs w:val="24"/>
        </w:rPr>
        <w:t>ais, foi realizada citologia da pústula abdominal</w:t>
      </w:r>
      <w:r>
        <w:rPr>
          <w:rFonts w:ascii="Times New Roman" w:eastAsia="Times New Roman" w:hAnsi="Times New Roman" w:cs="Times New Roman"/>
          <w:sz w:val="24"/>
          <w:szCs w:val="24"/>
        </w:rPr>
        <w:t>, a qual sugeriu infecção</w:t>
      </w:r>
      <w:r w:rsidR="00CD0412">
        <w:rPr>
          <w:rFonts w:ascii="Times New Roman" w:eastAsia="Times New Roman" w:hAnsi="Times New Roman" w:cs="Times New Roman"/>
          <w:sz w:val="24"/>
          <w:szCs w:val="24"/>
        </w:rPr>
        <w:t xml:space="preserve"> piogranulomatosa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compatível com actinomicetos, sem confirmação definitiva da espécie bacteriana. Frente </w:t>
      </w:r>
      <w:r>
        <w:rPr>
          <w:rFonts w:ascii="Times New Roman" w:eastAsia="Times New Roman" w:hAnsi="Times New Roman" w:cs="Times New Roman"/>
          <w:sz w:val="24"/>
          <w:szCs w:val="24"/>
        </w:rPr>
        <w:t>às alterações cutâneas observadas, instituiu-se tratamento</w:t>
      </w:r>
      <w:r w:rsidR="00CD04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 Sulfadiazina + Trimetoprim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200mg/5ml na dose de 8,25mL, BID, por 30 dias)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Amoxicilina + Clavulanato (500mg administrando um comprimido, BID, </w:t>
      </w:r>
      <w:r>
        <w:rPr>
          <w:rFonts w:ascii="Times New Roman" w:eastAsia="Times New Roman" w:hAnsi="Times New Roman" w:cs="Times New Roman"/>
          <w:sz w:val="24"/>
          <w:szCs w:val="24"/>
        </w:rPr>
        <w:t>por 30 dias)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No retorno,</w:t>
      </w:r>
      <w:r w:rsidR="00CD0412">
        <w:rPr>
          <w:rFonts w:ascii="Times New Roman" w:eastAsia="Times New Roman" w:hAnsi="Times New Roman" w:cs="Times New Roman"/>
          <w:sz w:val="24"/>
          <w:szCs w:val="24"/>
        </w:rPr>
        <w:t xml:space="preserve"> em 30 de janeiro de 2026,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realizou-se à coleta 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sangue para efetuação de hemograma e avaliação de esfregaço sanguíneo. Por conseguinte, observou-se no hemograma o restabelecimento da competência imunitária, revelando volume globular de 46% (e demais valores dentro dos padrões), plaquetograma 600.000 pl</w:t>
      </w:r>
      <w:r>
        <w:rPr>
          <w:rFonts w:ascii="Times New Roman" w:eastAsia="Times New Roman" w:hAnsi="Times New Roman" w:cs="Times New Roman"/>
          <w:sz w:val="24"/>
          <w:szCs w:val="24"/>
        </w:rPr>
        <w:t>aquetas/mm³, 21.700 leucócitos/mm³.</w:t>
      </w:r>
    </w:p>
    <w:p w:rsidR="00D269A2" w:rsidRDefault="00D269A2" w:rsidP="00CC0D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69A2" w:rsidRDefault="007F620A" w:rsidP="00CC0D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o restabelecimento da competência imunológica, alcançou-se a resolução definitiva das pústulas abdominais através de antibioticoterapia combinada e prolongada com Sulfadiazina-Trimetoprim e Amoxicilina-Clavulanato (Hoerning, T. 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2022). A coinf</w:t>
      </w:r>
      <w:r>
        <w:rPr>
          <w:rFonts w:ascii="Times New Roman" w:eastAsia="Times New Roman" w:hAnsi="Times New Roman" w:cs="Times New Roman"/>
          <w:sz w:val="24"/>
          <w:szCs w:val="24"/>
        </w:rPr>
        <w:t>ecção por Ehrlichia canis e Anaplasma platys pode resultar em quadros clínicos severos, caracterizados por sinais inespecíficos, como febre, inapetência e perda de peso, além de alterações hematológicas, incluindo anemia, leucopenia e trombocitopenia (Hola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2019). </w:t>
      </w:r>
    </w:p>
    <w:p w:rsidR="00D269A2" w:rsidRDefault="007F620A" w:rsidP="00CC0D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Dessa forma, a pancitopenia constitui importante achado laboratorial associado à gravidade da enfermidade (Soares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2025). Ademais, o ambiente rural e o contato com outros animais favorecem a exposição contínua ao vetor Rhipicepha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lus sanguineus (Ferrolho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2025). A melhora hematológica observada após o tratamento reforça a eficácia da doxiciclina no controle das hemoparasitoses (Bernardes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2022). </w:t>
      </w:r>
    </w:p>
    <w:p w:rsidR="00D269A2" w:rsidRDefault="00D269A2" w:rsidP="00CC0D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69A2" w:rsidRDefault="007F620A" w:rsidP="00CC0D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>O presente relato evidencia a importância da condução terapê</w:t>
      </w:r>
      <w:r>
        <w:rPr>
          <w:rFonts w:ascii="Times New Roman" w:eastAsia="Times New Roman" w:hAnsi="Times New Roman" w:cs="Times New Roman"/>
          <w:sz w:val="24"/>
          <w:szCs w:val="24"/>
        </w:rPr>
        <w:t>utica adequada em lesões cutâneas infecciosas. A erliquiose canina e a anaplasmose atuam de forma sinérgica, configurando uma ameaça multissistêmica que exige diagnóstico preciso para evitar o óbito.  Além disso, o protocolo terapêutico instituído mostrou-</w:t>
      </w:r>
      <w:r>
        <w:rPr>
          <w:rFonts w:ascii="Times New Roman" w:eastAsia="Times New Roman" w:hAnsi="Times New Roman" w:cs="Times New Roman"/>
          <w:sz w:val="24"/>
          <w:szCs w:val="24"/>
        </w:rPr>
        <w:t>se eficaz, proporcionando regressão das lesões e evolução clínica satisfatória da paciente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</w:p>
    <w:p w:rsidR="00D269A2" w:rsidRDefault="00D269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69A2" w:rsidRDefault="007F62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:rsidR="00D269A2" w:rsidRDefault="00D269A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69A2" w:rsidRDefault="007F620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FERROLHO, J.; et al. The Complexities of Canine Monocytic Ehrlichiosis: Insights into Ehrlichia canis and Its Vector Rhipicephalus sanguineus.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Microbiol. 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v. 16, n. 85, 2025.</w:t>
      </w:r>
    </w:p>
    <w:p w:rsidR="00D269A2" w:rsidRDefault="00D269A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69A2" w:rsidRDefault="007F620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dd5zqe1gcfg4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SOARES, M. B. L.; SEMEÃO, L. V. Erliquiose canina: uma ameaça multissistêmi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 em clínica de pequenos animais.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BJHBS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v. 2, n. 1, 2025.</w:t>
      </w:r>
    </w:p>
    <w:p w:rsidR="00D269A2" w:rsidRDefault="00D269A2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69A2" w:rsidRDefault="007F62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BERNARDES, L. R. Coinfecção por Anaplasma platys e Ehrlichia canis em cão diagnosticado através da Sorologia: relato de caso.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Revista Brasileira de Higiene e Sanidade Animal</w:t>
      </w:r>
      <w:r>
        <w:rPr>
          <w:rFonts w:ascii="Times New Roman" w:eastAsia="Times New Roman" w:hAnsi="Times New Roman" w:cs="Times New Roman"/>
          <w:sz w:val="24"/>
          <w:szCs w:val="24"/>
        </w:rPr>
        <w:t>, v. 16, n. 2, p. 1-11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2022. </w:t>
      </w:r>
    </w:p>
    <w:p w:rsidR="00D269A2" w:rsidRDefault="00D269A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69A2" w:rsidRDefault="007F62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HOERNING, T. C. Tratamento de ferida em cão: relato de caso.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Revista Brasileira de Higiene e Sanidade Animal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16, n. 2, p. 1-10, 2022. </w:t>
      </w:r>
    </w:p>
    <w:p w:rsidR="00D269A2" w:rsidRDefault="00D269A2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69A2" w:rsidRDefault="007F620A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LEAL, P. D. S.; PAES DE ALMEIDA, E. C.; LOPES, C. W. G. Diagnóstico de dermatopatia piogranulomatosa por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ocardia spp. numa cadela Labrador Retriever com hipotireoidismo, Rio de Janeiro, Brasil - Relato de caso.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Revista Brasileira de Medicina Veterinária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38, n. 2, p. 203-209, 2016. </w:t>
      </w:r>
    </w:p>
    <w:sectPr w:rsidR="00D269A2">
      <w:headerReference w:type="default" r:id="rId13"/>
      <w:footerReference w:type="default" r:id="rId14"/>
      <w:pgSz w:w="11906" w:h="16838"/>
      <w:pgMar w:top="1418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20A" w:rsidRDefault="007F620A">
      <w:pPr>
        <w:spacing w:after="0" w:line="240" w:lineRule="auto"/>
      </w:pPr>
      <w:r>
        <w:separator/>
      </w:r>
    </w:p>
  </w:endnote>
  <w:endnote w:type="continuationSeparator" w:id="0">
    <w:p w:rsidR="007F620A" w:rsidRDefault="007F6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E981D9-271B-4B62-9760-631AB8E735CA}"/>
    <w:embedBold r:id="rId2" w:fontKey="{81F65B7C-4CAE-49B1-83B1-4CAB9E3031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2BF69E6-83E8-49EA-90C9-012C2883F7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67E767-546D-4487-B16B-D40EB4575B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EC8476-3BF8-406D-B527-A1036F91EB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9A2" w:rsidRDefault="007F62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CC0D68">
      <w:rPr>
        <w:color w:val="000000"/>
      </w:rPr>
      <w:fldChar w:fldCharType="separate"/>
    </w:r>
    <w:r w:rsidR="00E170E1">
      <w:rPr>
        <w:noProof/>
        <w:color w:val="000000"/>
      </w:rPr>
      <w:t>1</w:t>
    </w:r>
    <w:r>
      <w:rPr>
        <w:color w:val="000000"/>
      </w:rPr>
      <w:fldChar w:fldCharType="end"/>
    </w:r>
  </w:p>
  <w:p w:rsidR="00D269A2" w:rsidRDefault="00D269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20A" w:rsidRDefault="007F620A">
      <w:pPr>
        <w:spacing w:after="0" w:line="240" w:lineRule="auto"/>
      </w:pPr>
      <w:r>
        <w:separator/>
      </w:r>
    </w:p>
  </w:footnote>
  <w:footnote w:type="continuationSeparator" w:id="0">
    <w:p w:rsidR="007F620A" w:rsidRDefault="007F6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9A2" w:rsidRDefault="007F62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-316229</wp:posOffset>
          </wp:positionH>
          <wp:positionV relativeFrom="paragraph">
            <wp:posOffset>-411479</wp:posOffset>
          </wp:positionV>
          <wp:extent cx="6426200" cy="8509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269A2" w:rsidRDefault="00D269A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A2"/>
    <w:rsid w:val="007F620A"/>
    <w:rsid w:val="00CC0D68"/>
    <w:rsid w:val="00CD0412"/>
    <w:rsid w:val="00D269A2"/>
    <w:rsid w:val="00E170E1"/>
    <w:rsid w:val="00E74479"/>
    <w:rsid w:val="00F2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57BC9-93F8-4E79-9C31-7C6A8308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alisam774@gmail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emilly.martins@academico.ifpb.edu.br" TargetMode="External"/><Relationship Id="rId11" Type="http://schemas.openxmlformats.org/officeDocument/2006/relationships/hyperlink" Target="mailto:izadorasz11@outlook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footnotes" Target="footnote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1286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2</cp:revision>
  <dcterms:created xsi:type="dcterms:W3CDTF">2026-05-13T02:55:00Z</dcterms:created>
  <dcterms:modified xsi:type="dcterms:W3CDTF">2026-05-13T02:55:00Z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