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8C283" w14:textId="5FCEB820" w:rsidR="006156EB" w:rsidRDefault="6AC57671" w:rsidP="322623E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 PRINCIPAIS CAUSAS DE CONDENAÇÃO </w:t>
      </w:r>
      <w:r w:rsidR="25EC73D6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>TOTAL DE</w:t>
      </w:r>
      <w:r w:rsidR="3F8B95B9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55591A83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>CARCAÇA</w:t>
      </w:r>
      <w:r w:rsidR="703829CD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55591A83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BOVINA</w:t>
      </w:r>
      <w:r w:rsidR="6E8A084B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</w:t>
      </w:r>
      <w:r w:rsidR="772ED3DF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ABATEDOURO </w:t>
      </w:r>
      <w:r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BOI DOURADO LTDA </w:t>
      </w:r>
      <w:r w:rsidR="7F0D0EEB" w:rsidRPr="19BBCBF9">
        <w:rPr>
          <w:rFonts w:ascii="Times New Roman" w:eastAsia="Times New Roman" w:hAnsi="Times New Roman" w:cs="Times New Roman"/>
          <w:b/>
          <w:bCs/>
          <w:sz w:val="24"/>
          <w:szCs w:val="24"/>
        </w:rPr>
        <w:t>NO ANO DE 2025</w:t>
      </w:r>
    </w:p>
    <w:p w14:paraId="069E63FF" w14:textId="08D06187" w:rsidR="006156EB" w:rsidRDefault="7F0D0EEB" w:rsidP="19BBCBF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19BBCBF9">
        <w:rPr>
          <w:rFonts w:ascii="Times New Roman" w:eastAsia="Times New Roman" w:hAnsi="Times New Roman" w:cs="Times New Roman"/>
          <w:sz w:val="24"/>
          <w:szCs w:val="24"/>
        </w:rPr>
        <w:t xml:space="preserve">Ynara Heloisa da Silva </w:t>
      </w:r>
      <w:r w:rsidR="20E3FF46" w:rsidRPr="7AABFA9D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90FABAD" w:rsidRPr="7AABFA9D">
        <w:rPr>
          <w:rFonts w:ascii="Times New Roman" w:eastAsia="Times New Roman" w:hAnsi="Times New Roman" w:cs="Times New Roman"/>
          <w:b/>
          <w:bCs/>
          <w:sz w:val="24"/>
          <w:szCs w:val="24"/>
        </w:rPr>
        <w:t>OSA</w:t>
      </w:r>
      <w:r w:rsidR="11D5B298" w:rsidRPr="7AABFA9D">
        <w:rPr>
          <w:rFonts w:ascii="Times New Roman" w:eastAsia="Times New Roman" w:hAnsi="Times New Roman" w:cs="Times New Roman"/>
          <w:sz w:val="24"/>
          <w:szCs w:val="24"/>
        </w:rPr>
        <w:t>¹</w:t>
      </w:r>
      <w:r w:rsidR="566AD4A0" w:rsidRPr="7AABFA9D">
        <w:rPr>
          <w:rFonts w:ascii="Times New Roman" w:eastAsia="Times New Roman" w:hAnsi="Times New Roman" w:cs="Times New Roman"/>
          <w:sz w:val="24"/>
          <w:szCs w:val="24"/>
        </w:rPr>
        <w:t>*</w:t>
      </w:r>
      <w:r w:rsidR="1E611B71" w:rsidRPr="7AABFA9D">
        <w:rPr>
          <w:rFonts w:ascii="Times New Roman" w:eastAsia="Times New Roman" w:hAnsi="Times New Roman" w:cs="Times New Roman"/>
          <w:sz w:val="24"/>
          <w:szCs w:val="24"/>
        </w:rPr>
        <w:t>;</w:t>
      </w:r>
      <w:r w:rsidR="00184934" w:rsidRPr="19BBC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C5FA021" w:rsidRPr="19BBCBF9">
        <w:rPr>
          <w:rFonts w:ascii="Times New Roman" w:eastAsia="Times New Roman" w:hAnsi="Times New Roman" w:cs="Times New Roman"/>
          <w:sz w:val="24"/>
          <w:szCs w:val="24"/>
        </w:rPr>
        <w:t xml:space="preserve">Pedro Victor Vieira </w:t>
      </w:r>
      <w:r w:rsidR="3C4B84FA" w:rsidRPr="7AABFA9D">
        <w:rPr>
          <w:rFonts w:ascii="Times New Roman" w:eastAsia="Times New Roman" w:hAnsi="Times New Roman" w:cs="Times New Roman"/>
          <w:b/>
          <w:bCs/>
          <w:sz w:val="24"/>
          <w:szCs w:val="24"/>
        </w:rPr>
        <w:t>INÁCIO</w:t>
      </w:r>
      <w:r w:rsidR="3C1A62D3" w:rsidRPr="19BBCBF9">
        <w:rPr>
          <w:rFonts w:ascii="Times New Roman" w:eastAsia="Times New Roman" w:hAnsi="Times New Roman" w:cs="Times New Roman"/>
          <w:sz w:val="24"/>
          <w:szCs w:val="24"/>
        </w:rPr>
        <w:t>¹</w:t>
      </w:r>
      <w:r w:rsidR="00184934" w:rsidRPr="19BBCBF9">
        <w:rPr>
          <w:rFonts w:ascii="Times New Roman" w:eastAsia="Times New Roman" w:hAnsi="Times New Roman" w:cs="Times New Roman"/>
          <w:sz w:val="24"/>
          <w:szCs w:val="24"/>
        </w:rPr>
        <w:t>;</w:t>
      </w:r>
      <w:r w:rsidR="2EC75DBB" w:rsidRPr="19BBC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DA88DAA" w:rsidRPr="19BBCBF9">
        <w:rPr>
          <w:rFonts w:ascii="Times New Roman" w:eastAsia="Times New Roman" w:hAnsi="Times New Roman" w:cs="Times New Roman"/>
          <w:sz w:val="24"/>
          <w:szCs w:val="24"/>
        </w:rPr>
        <w:t xml:space="preserve">Thais Ferreira </w:t>
      </w:r>
      <w:r w:rsidR="24CD7828" w:rsidRPr="7AABFA9D">
        <w:rPr>
          <w:rFonts w:ascii="Times New Roman" w:eastAsia="Times New Roman" w:hAnsi="Times New Roman" w:cs="Times New Roman"/>
          <w:b/>
          <w:bCs/>
          <w:sz w:val="24"/>
          <w:szCs w:val="24"/>
        </w:rPr>
        <w:t>FEITOSA</w:t>
      </w:r>
      <w:r w:rsidR="2AB1CF26" w:rsidRPr="7AABFA9D">
        <w:rPr>
          <w:rFonts w:ascii="Times New Roman" w:eastAsia="Times New Roman" w:hAnsi="Times New Roman" w:cs="Times New Roman"/>
          <w:sz w:val="24"/>
          <w:szCs w:val="24"/>
        </w:rPr>
        <w:t>²</w:t>
      </w:r>
    </w:p>
    <w:p w14:paraId="11F2E966" w14:textId="1E2D3E01" w:rsidR="006156EB" w:rsidRDefault="00184934" w:rsidP="6B22B1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6EDB7655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Discente do Curso de </w:t>
      </w:r>
      <w:r w:rsidR="6917266F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Medicina Veterinária </w:t>
      </w:r>
      <w:r w:rsidR="76B8A01F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do </w:t>
      </w:r>
      <w:r w:rsidR="6917266F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Instituto Federal de </w:t>
      </w:r>
      <w:r w:rsidR="0DAF6FE4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Ciências</w:t>
      </w:r>
      <w:r w:rsidR="6917266F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Educação e </w:t>
      </w:r>
      <w:r w:rsidR="55A549F1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Tecnologias</w:t>
      </w:r>
      <w:r w:rsidR="6917266F" w:rsidRPr="6B22B1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da </w:t>
      </w:r>
      <w:r w:rsidR="007A4D3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Paraíba (IFPB).</w:t>
      </w:r>
    </w:p>
    <w:p w14:paraId="047009CA" w14:textId="37AC7195" w:rsidR="006156EB" w:rsidRDefault="00184934" w:rsidP="19BBC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19BBCBF9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19BBCBF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3F6289DC" w:rsidRPr="19BBCBF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Docente do Curso de Medicina Veterinária do Instituto Federal de Ciências, Educação e Tecnologias da Paraíba (IFPB)</w:t>
      </w:r>
      <w:r w:rsidRPr="19BBCBF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1E611B71" w:rsidRPr="7AABFA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7EC24F5C" w14:textId="0A294F57" w:rsidR="7AABFA9D" w:rsidRDefault="7AABFA9D" w:rsidP="7AABF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94A1394" w14:textId="589E99F8" w:rsidR="00184934" w:rsidRDefault="00184934" w:rsidP="7AABFA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6E61FC8E" w14:textId="301EC6D0" w:rsidR="00184934" w:rsidRDefault="2E9D33DE" w:rsidP="7AABF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sz w:val="24"/>
          <w:szCs w:val="24"/>
        </w:rPr>
        <w:t>A produção de alimentos de origem animal desempenha papel essencial na nutrição humana, sendo fonte relevante de proteínas, vitaminas e minerais. No Brasil, o crescimento das exportações de carne bovina e a consolidação do país como um dos principais produtores mundiais reforçam a necessidade de sistemas de inspeção sanitária eficientes. Nesse contexto, o Serviço de Inspeção Federal (SIF) é fundamental para garantir a qualidade dos produtos e a proteção da saúde pública, especialmente diante dos riscos associados à ocorrência de doenças e alterações sistêmicas nos animais abatidos. O presente estudo objetivou analisar as principais causas de condenação total de carcaças bovinas em um abatedouro frigorífico sob SIF</w:t>
      </w:r>
      <w:r w:rsidR="6A8597A5" w:rsidRPr="7AABFA9D">
        <w:rPr>
          <w:rFonts w:ascii="Times New Roman" w:eastAsia="Times New Roman" w:hAnsi="Times New Roman" w:cs="Times New Roman"/>
          <w:sz w:val="24"/>
          <w:szCs w:val="24"/>
        </w:rPr>
        <w:t xml:space="preserve"> (figura 1)</w:t>
      </w:r>
      <w:r w:rsidR="5268B0D2" w:rsidRPr="7AABFA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6B22B1B3">
        <w:rPr>
          <w:rFonts w:ascii="Times New Roman" w:eastAsia="Times New Roman" w:hAnsi="Times New Roman" w:cs="Times New Roman"/>
          <w:sz w:val="24"/>
          <w:szCs w:val="24"/>
        </w:rPr>
        <w:t xml:space="preserve"> localizado no município de Simões Filho (BA), no ano de 2025. Foi realizado um estudo descritivo, retrospectivo, com abordagem quantitativa, a partir de dados secundários obtidos junto ao Ministério da Agricultura e Pecuária (MAPA). Os dados foram analisados por meio de frequência absoluta e relativa. Foram registradas 48 condenações totais de carcaças. As principais causas identificadas foram septicemia (n = 17), alterações linfáticas inespecíficas (n = 9) e lesões tuberculosas (n = 6), seguidas por abscessos e aderências pleurais com exsudato purulento. Os resultados evidenciam a importância de alterações sistêmicas como determinantes para a condenação total de carcaças, destacando o papel da inspeção sanitária na identificação dessas condições. Conclui-se que o monitoramento contínuo contribui para o aprimoramento das práticas sanitárias e para a garantia da qualidade dos produtos de origem animal destinados ao consumo humano.</w:t>
      </w:r>
    </w:p>
    <w:p w14:paraId="250D592C" w14:textId="4F097FA7" w:rsidR="006156EB" w:rsidRDefault="00184934" w:rsidP="7AABFA9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 w:rsidRPr="7AABFA9D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:</w:t>
      </w:r>
      <w:r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478A797D"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>alimentos</w:t>
      </w:r>
      <w:r w:rsidR="0AA5CE51"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; </w:t>
      </w:r>
      <w:r w:rsidR="23BDF8C2"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>inspeção;</w:t>
      </w:r>
      <w:r w:rsidR="713B2AEA"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saúde pública</w:t>
      </w:r>
      <w:r w:rsidR="6272C794" w:rsidRPr="7AABFA9D"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672A6659" w14:textId="77777777" w:rsidR="006156EB" w:rsidRDefault="006156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11A9F675" w14:textId="076EFB51" w:rsidR="00184934" w:rsidRDefault="00184934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</w:p>
    <w:p w14:paraId="30D30046" w14:textId="12B0B5AF" w:rsidR="27AB849D" w:rsidRDefault="27AB849D" w:rsidP="7AABFA9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sz w:val="24"/>
          <w:szCs w:val="24"/>
        </w:rPr>
        <w:t>Os produtos de origem animal desempenham um papel fundamental na nutrição humana, sendo importantes fontes de proteínas, vitaminas e minerais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3E2B0C10" w:rsidRPr="7AABFA9D">
        <w:rPr>
          <w:rFonts w:ascii="Times New Roman" w:eastAsia="Times New Roman" w:hAnsi="Times New Roman" w:cs="Times New Roman"/>
          <w:sz w:val="24"/>
          <w:szCs w:val="24"/>
        </w:rPr>
        <w:t>S</w:t>
      </w:r>
      <w:r w:rsidR="54D550ED" w:rsidRPr="7AABFA9D">
        <w:rPr>
          <w:rFonts w:ascii="Times New Roman" w:eastAsia="Times New Roman" w:hAnsi="Times New Roman" w:cs="Times New Roman"/>
          <w:sz w:val="24"/>
          <w:szCs w:val="24"/>
        </w:rPr>
        <w:t>antos</w:t>
      </w:r>
      <w:r w:rsidR="3E5682E3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D1FB652" w:rsidRPr="7AABFA9D"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>, 2026). O Brasil obteve recorde nas exportações de carne bovina em 2025</w:t>
      </w:r>
      <w:r w:rsidR="0B781827" w:rsidRPr="6B22B1B3">
        <w:rPr>
          <w:rFonts w:ascii="Times New Roman" w:eastAsia="Times New Roman" w:hAnsi="Times New Roman" w:cs="Times New Roman"/>
          <w:sz w:val="24"/>
          <w:szCs w:val="24"/>
        </w:rPr>
        <w:t>;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 xml:space="preserve"> o país também </w:t>
      </w:r>
      <w:hyperlink r:id="rId6">
        <w:r w:rsidR="2D1FB652" w:rsidRPr="6B22B1B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se tornou o maior produtor mundial da proteína</w:t>
        </w:r>
      </w:hyperlink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 xml:space="preserve"> (G1,</w:t>
      </w:r>
      <w:r w:rsidR="2BCC6AF7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 xml:space="preserve">2026). Esse crescimento da produção e exportação de 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lastRenderedPageBreak/>
        <w:t>alimentos de origem animal exige um sistema de fiscalização eficiente, que assegure a qualidade sanitária dos produtos e proteja a saúde pública (</w:t>
      </w:r>
      <w:r w:rsidR="3E2B0C10" w:rsidRPr="7AABFA9D">
        <w:rPr>
          <w:rFonts w:ascii="Times New Roman" w:eastAsia="Times New Roman" w:hAnsi="Times New Roman" w:cs="Times New Roman"/>
          <w:sz w:val="24"/>
          <w:szCs w:val="24"/>
        </w:rPr>
        <w:t>F</w:t>
      </w:r>
      <w:r w:rsidR="417B96E8" w:rsidRPr="7AABFA9D">
        <w:rPr>
          <w:rFonts w:ascii="Times New Roman" w:eastAsia="Times New Roman" w:hAnsi="Times New Roman" w:cs="Times New Roman"/>
          <w:sz w:val="24"/>
          <w:szCs w:val="24"/>
        </w:rPr>
        <w:t>ilho</w:t>
      </w:r>
      <w:r w:rsidR="2D1FB652" w:rsidRPr="7AABFA9D">
        <w:rPr>
          <w:rFonts w:ascii="Times New Roman" w:eastAsia="Times New Roman" w:hAnsi="Times New Roman" w:cs="Times New Roman"/>
          <w:i/>
          <w:sz w:val="24"/>
          <w:szCs w:val="24"/>
        </w:rPr>
        <w:t xml:space="preserve"> et al.</w:t>
      </w:r>
      <w:r w:rsidR="2D1FB652" w:rsidRPr="6B22B1B3">
        <w:rPr>
          <w:rFonts w:ascii="Times New Roman" w:eastAsia="Times New Roman" w:hAnsi="Times New Roman" w:cs="Times New Roman"/>
          <w:sz w:val="24"/>
          <w:szCs w:val="24"/>
        </w:rPr>
        <w:t>, 2025).</w:t>
      </w:r>
      <w:r w:rsidR="00184934"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58F40C7" w14:textId="42BFFEFF" w:rsidR="28065C86" w:rsidRDefault="625DA86A" w:rsidP="7AABFA9D">
      <w:pPr>
        <w:widowControl w:val="0"/>
        <w:spacing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sz w:val="24"/>
          <w:szCs w:val="24"/>
        </w:rPr>
        <w:t>O Manual de Padronização de Técnicas e Inspeção de Carnes Bovinas (</w:t>
      </w:r>
      <w:r w:rsidR="72FACA63" w:rsidRPr="7AABFA9D">
        <w:rPr>
          <w:rFonts w:ascii="Times New Roman" w:eastAsia="Times New Roman" w:hAnsi="Times New Roman" w:cs="Times New Roman"/>
          <w:sz w:val="24"/>
          <w:szCs w:val="24"/>
        </w:rPr>
        <w:t>B</w:t>
      </w:r>
      <w:r w:rsidR="0EAEF956" w:rsidRPr="7AABFA9D">
        <w:rPr>
          <w:rFonts w:ascii="Times New Roman" w:eastAsia="Times New Roman" w:hAnsi="Times New Roman" w:cs="Times New Roman"/>
          <w:sz w:val="24"/>
          <w:szCs w:val="24"/>
        </w:rPr>
        <w:t>rasil</w:t>
      </w:r>
      <w:r w:rsidRPr="6B22B1B3">
        <w:rPr>
          <w:rFonts w:ascii="Times New Roman" w:eastAsia="Times New Roman" w:hAnsi="Times New Roman" w:cs="Times New Roman"/>
          <w:sz w:val="24"/>
          <w:szCs w:val="24"/>
        </w:rPr>
        <w:t xml:space="preserve">, 2007), </w:t>
      </w:r>
      <w:r w:rsidR="08BD597F" w:rsidRPr="6B22B1B3">
        <w:rPr>
          <w:rFonts w:ascii="Times New Roman" w:eastAsia="Times New Roman" w:hAnsi="Times New Roman" w:cs="Times New Roman"/>
          <w:sz w:val="24"/>
          <w:szCs w:val="24"/>
        </w:rPr>
        <w:t>estabelece</w:t>
      </w:r>
      <w:r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A28956D" w:rsidRPr="6B22B1B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6B22B1B3">
        <w:rPr>
          <w:rFonts w:ascii="Times New Roman" w:eastAsia="Times New Roman" w:hAnsi="Times New Roman" w:cs="Times New Roman"/>
          <w:sz w:val="24"/>
          <w:szCs w:val="24"/>
        </w:rPr>
        <w:t>condenação total de carcaças e órgãos quando apresentam lesões generalizadas, diagnóstico de parasitoses zoonóticas, processos inflamatórios generalizados ou qualquer anormalidade de caráter sistêmico.</w:t>
      </w:r>
      <w:r w:rsidR="5D7A3D12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8C65C2B" w:rsidRPr="7AABFA9D">
        <w:rPr>
          <w:rFonts w:ascii="Times New Roman" w:eastAsia="Times New Roman" w:hAnsi="Times New Roman" w:cs="Times New Roman"/>
          <w:sz w:val="24"/>
          <w:szCs w:val="24"/>
        </w:rPr>
        <w:t>O</w:t>
      </w:r>
      <w:r w:rsidR="3C282228" w:rsidRPr="6B22B1B3">
        <w:rPr>
          <w:rFonts w:ascii="Times New Roman" w:eastAsia="Times New Roman" w:hAnsi="Times New Roman" w:cs="Times New Roman"/>
          <w:sz w:val="24"/>
          <w:szCs w:val="24"/>
        </w:rPr>
        <w:t xml:space="preserve"> elevado número de</w:t>
      </w:r>
      <w:r w:rsidR="6B66A7E1" w:rsidRPr="6B22B1B3">
        <w:rPr>
          <w:rFonts w:ascii="Times New Roman" w:eastAsia="Times New Roman" w:hAnsi="Times New Roman" w:cs="Times New Roman"/>
          <w:sz w:val="24"/>
          <w:szCs w:val="24"/>
        </w:rPr>
        <w:t xml:space="preserve"> aba</w:t>
      </w:r>
      <w:r w:rsidR="45205A98" w:rsidRPr="6B22B1B3">
        <w:rPr>
          <w:rFonts w:ascii="Times New Roman" w:eastAsia="Times New Roman" w:hAnsi="Times New Roman" w:cs="Times New Roman"/>
          <w:sz w:val="24"/>
          <w:szCs w:val="24"/>
        </w:rPr>
        <w:t xml:space="preserve">tedouros </w:t>
      </w:r>
      <w:r w:rsidR="6F458732" w:rsidRPr="7AABFA9D">
        <w:rPr>
          <w:rFonts w:ascii="Times New Roman" w:eastAsia="Times New Roman" w:hAnsi="Times New Roman" w:cs="Times New Roman"/>
          <w:sz w:val="24"/>
          <w:szCs w:val="24"/>
        </w:rPr>
        <w:t>clandestino</w:t>
      </w:r>
      <w:r w:rsidR="774D74FB" w:rsidRPr="7AABFA9D">
        <w:rPr>
          <w:rFonts w:ascii="Times New Roman" w:eastAsia="Times New Roman" w:hAnsi="Times New Roman" w:cs="Times New Roman"/>
          <w:sz w:val="24"/>
          <w:szCs w:val="24"/>
        </w:rPr>
        <w:t>s</w:t>
      </w:r>
      <w:r w:rsidR="73A14FCA" w:rsidRPr="7AABF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AF53080" w:rsidRPr="7AABFA9D">
        <w:rPr>
          <w:rFonts w:ascii="Times New Roman" w:eastAsia="Times New Roman" w:hAnsi="Times New Roman" w:cs="Times New Roman"/>
          <w:sz w:val="24"/>
          <w:szCs w:val="24"/>
        </w:rPr>
        <w:t>em</w:t>
      </w:r>
      <w:r w:rsidR="4E2C00E3" w:rsidRPr="7AABF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DC3A850" w:rsidRPr="6B22B1B3">
        <w:rPr>
          <w:rFonts w:ascii="Times New Roman" w:eastAsia="Times New Roman" w:hAnsi="Times New Roman" w:cs="Times New Roman"/>
          <w:sz w:val="24"/>
          <w:szCs w:val="24"/>
        </w:rPr>
        <w:t>funcionamento</w:t>
      </w:r>
      <w:r w:rsidR="55AD0CE2" w:rsidRPr="7AABFA9D">
        <w:rPr>
          <w:rFonts w:ascii="Times New Roman" w:eastAsia="Times New Roman" w:hAnsi="Times New Roman" w:cs="Times New Roman"/>
          <w:sz w:val="24"/>
          <w:szCs w:val="24"/>
        </w:rPr>
        <w:t xml:space="preserve"> no país é preocupante</w:t>
      </w:r>
      <w:r w:rsidR="4AF53080" w:rsidRPr="7AABFA9D">
        <w:rPr>
          <w:rFonts w:ascii="Times New Roman" w:eastAsia="Times New Roman" w:hAnsi="Times New Roman" w:cs="Times New Roman"/>
          <w:sz w:val="24"/>
          <w:szCs w:val="24"/>
        </w:rPr>
        <w:t>,</w:t>
      </w:r>
      <w:r w:rsidR="194CA629" w:rsidRPr="7AABFA9D">
        <w:rPr>
          <w:rFonts w:ascii="Times New Roman" w:eastAsia="Times New Roman" w:hAnsi="Times New Roman" w:cs="Times New Roman"/>
          <w:sz w:val="24"/>
          <w:szCs w:val="24"/>
        </w:rPr>
        <w:t xml:space="preserve"> haja vista que</w:t>
      </w:r>
      <w:r w:rsidR="19360005" w:rsidRPr="6B22B1B3">
        <w:rPr>
          <w:rFonts w:ascii="Times New Roman" w:eastAsia="Times New Roman" w:hAnsi="Times New Roman" w:cs="Times New Roman"/>
          <w:sz w:val="24"/>
          <w:szCs w:val="24"/>
        </w:rPr>
        <w:t xml:space="preserve"> a contaminação da carne pode ocorrer durante as diversas etapas no processamento, </w:t>
      </w:r>
      <w:r w:rsidR="28054947" w:rsidRPr="6B22B1B3">
        <w:rPr>
          <w:rFonts w:ascii="Times New Roman" w:eastAsia="Times New Roman" w:hAnsi="Times New Roman" w:cs="Times New Roman"/>
          <w:sz w:val="24"/>
          <w:szCs w:val="24"/>
        </w:rPr>
        <w:t xml:space="preserve">apresentando </w:t>
      </w:r>
      <w:r w:rsidR="2DC3A850" w:rsidRPr="6B22B1B3">
        <w:rPr>
          <w:rFonts w:ascii="Times New Roman" w:eastAsia="Times New Roman" w:hAnsi="Times New Roman" w:cs="Times New Roman"/>
          <w:sz w:val="24"/>
          <w:szCs w:val="24"/>
        </w:rPr>
        <w:t>riscos</w:t>
      </w:r>
      <w:r w:rsidR="697A58AA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F82B0AA" w:rsidRPr="6B22B1B3">
        <w:rPr>
          <w:rFonts w:ascii="Times New Roman" w:eastAsia="Times New Roman" w:hAnsi="Times New Roman" w:cs="Times New Roman"/>
          <w:sz w:val="24"/>
          <w:szCs w:val="24"/>
        </w:rPr>
        <w:t>à</w:t>
      </w:r>
      <w:r w:rsidR="697A58AA" w:rsidRPr="6B22B1B3">
        <w:rPr>
          <w:rFonts w:ascii="Times New Roman" w:eastAsia="Times New Roman" w:hAnsi="Times New Roman" w:cs="Times New Roman"/>
          <w:sz w:val="24"/>
          <w:szCs w:val="24"/>
        </w:rPr>
        <w:t xml:space="preserve"> saúde dos consumidores</w:t>
      </w:r>
      <w:r w:rsidR="2B423FD6" w:rsidRPr="6B22B1B3">
        <w:rPr>
          <w:rFonts w:ascii="Times New Roman" w:eastAsia="Times New Roman" w:hAnsi="Times New Roman" w:cs="Times New Roman"/>
          <w:sz w:val="24"/>
          <w:szCs w:val="24"/>
        </w:rPr>
        <w:t>.</w:t>
      </w:r>
      <w:r w:rsidR="697A58AA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8065C86" w:rsidRPr="6B22B1B3">
        <w:rPr>
          <w:rFonts w:ascii="Times New Roman" w:eastAsia="Times New Roman" w:hAnsi="Times New Roman" w:cs="Times New Roman"/>
          <w:sz w:val="24"/>
          <w:szCs w:val="24"/>
        </w:rPr>
        <w:t xml:space="preserve">Diante disso, o presente estudo </w:t>
      </w:r>
      <w:r w:rsidR="638D5694" w:rsidRPr="6B22B1B3">
        <w:rPr>
          <w:rFonts w:ascii="Times New Roman" w:eastAsia="Times New Roman" w:hAnsi="Times New Roman" w:cs="Times New Roman"/>
          <w:sz w:val="24"/>
          <w:szCs w:val="24"/>
        </w:rPr>
        <w:t>objetivou</w:t>
      </w:r>
      <w:r w:rsidR="28065C86" w:rsidRPr="6B22B1B3">
        <w:rPr>
          <w:rFonts w:ascii="Times New Roman" w:eastAsia="Times New Roman" w:hAnsi="Times New Roman" w:cs="Times New Roman"/>
          <w:sz w:val="24"/>
          <w:szCs w:val="24"/>
        </w:rPr>
        <w:t xml:space="preserve"> analisar as principais causas de condenação total de carcaças bovinas no abatedouro </w:t>
      </w:r>
      <w:r w:rsidR="3A86DC50" w:rsidRPr="6B22B1B3">
        <w:rPr>
          <w:rFonts w:ascii="Times New Roman" w:eastAsia="Times New Roman" w:hAnsi="Times New Roman" w:cs="Times New Roman"/>
          <w:sz w:val="24"/>
          <w:szCs w:val="24"/>
        </w:rPr>
        <w:t>frigorífico</w:t>
      </w:r>
      <w:r w:rsidR="2520E5DC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43BFAFA" w:rsidRPr="6B22B1B3">
        <w:rPr>
          <w:rFonts w:ascii="Times New Roman" w:eastAsia="Times New Roman" w:hAnsi="Times New Roman" w:cs="Times New Roman"/>
          <w:sz w:val="24"/>
          <w:szCs w:val="24"/>
        </w:rPr>
        <w:t xml:space="preserve">sob </w:t>
      </w:r>
      <w:r w:rsidR="51F601AD" w:rsidRPr="7AABFA9D">
        <w:rPr>
          <w:rFonts w:ascii="Times New Roman" w:eastAsia="Times New Roman" w:hAnsi="Times New Roman" w:cs="Times New Roman"/>
          <w:sz w:val="24"/>
          <w:szCs w:val="24"/>
        </w:rPr>
        <w:t>SIF,</w:t>
      </w:r>
      <w:r w:rsidR="28065C86" w:rsidRPr="6B22B1B3">
        <w:rPr>
          <w:rFonts w:ascii="Times New Roman" w:eastAsia="Times New Roman" w:hAnsi="Times New Roman" w:cs="Times New Roman"/>
          <w:sz w:val="24"/>
          <w:szCs w:val="24"/>
        </w:rPr>
        <w:t xml:space="preserve"> Boi Dourado LTDA</w:t>
      </w:r>
      <w:r w:rsidR="377091AB" w:rsidRPr="6B22B1B3">
        <w:rPr>
          <w:rFonts w:ascii="Times New Roman" w:eastAsia="Times New Roman" w:hAnsi="Times New Roman" w:cs="Times New Roman"/>
          <w:sz w:val="24"/>
          <w:szCs w:val="24"/>
        </w:rPr>
        <w:t xml:space="preserve"> no ano de 2025.</w:t>
      </w:r>
    </w:p>
    <w:p w14:paraId="6AFCBD52" w14:textId="382F292E" w:rsidR="6AB8F1B4" w:rsidRDefault="6AB8F1B4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</w:t>
      </w:r>
      <w:r w:rsidR="00184934"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84934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4D3D" w:rsidRPr="6B22B1B3">
        <w:rPr>
          <w:rFonts w:ascii="Times New Roman" w:eastAsia="Times New Roman" w:hAnsi="Times New Roman" w:cs="Times New Roman"/>
          <w:sz w:val="24"/>
          <w:szCs w:val="24"/>
        </w:rPr>
        <w:t>Trata-se de um estudo descritivo,</w:t>
      </w:r>
      <w:r w:rsidR="5CAA7BEF" w:rsidRPr="6B22B1B3">
        <w:rPr>
          <w:rFonts w:ascii="Times New Roman" w:eastAsia="Times New Roman" w:hAnsi="Times New Roman" w:cs="Times New Roman"/>
          <w:sz w:val="24"/>
          <w:szCs w:val="24"/>
        </w:rPr>
        <w:t xml:space="preserve"> retrospectivo, </w:t>
      </w:r>
      <w:r w:rsidR="00584D3D" w:rsidRPr="6B22B1B3">
        <w:rPr>
          <w:rFonts w:ascii="Times New Roman" w:eastAsia="Times New Roman" w:hAnsi="Times New Roman" w:cs="Times New Roman"/>
          <w:sz w:val="24"/>
          <w:szCs w:val="24"/>
        </w:rPr>
        <w:t>com abordagem quantitativa, realizado a partir de dados secundários obtidos</w:t>
      </w:r>
      <w:r w:rsidR="3002C56F" w:rsidRPr="6B22B1B3">
        <w:rPr>
          <w:rFonts w:ascii="Times New Roman" w:eastAsia="Times New Roman" w:hAnsi="Times New Roman" w:cs="Times New Roman"/>
          <w:sz w:val="24"/>
          <w:szCs w:val="24"/>
        </w:rPr>
        <w:t xml:space="preserve"> em base de dados</w:t>
      </w:r>
      <w:r w:rsidR="00584D3D" w:rsidRPr="6B22B1B3">
        <w:rPr>
          <w:rFonts w:ascii="Times New Roman" w:eastAsia="Times New Roman" w:hAnsi="Times New Roman" w:cs="Times New Roman"/>
          <w:sz w:val="24"/>
          <w:szCs w:val="24"/>
        </w:rPr>
        <w:t xml:space="preserve"> do Ministério da Agricultura e Pecuária (MAPA). Foram analisados registros referentes às condenações totais de carcaças bovinas </w:t>
      </w:r>
      <w:r w:rsidR="395C9232" w:rsidRPr="6B22B1B3">
        <w:rPr>
          <w:rFonts w:ascii="Times New Roman" w:eastAsia="Times New Roman" w:hAnsi="Times New Roman" w:cs="Times New Roman"/>
          <w:sz w:val="24"/>
          <w:szCs w:val="24"/>
        </w:rPr>
        <w:t>no</w:t>
      </w:r>
      <w:r w:rsidR="00584D3D" w:rsidRPr="6B22B1B3">
        <w:rPr>
          <w:rFonts w:ascii="Times New Roman" w:eastAsia="Times New Roman" w:hAnsi="Times New Roman" w:cs="Times New Roman"/>
          <w:sz w:val="24"/>
          <w:szCs w:val="24"/>
        </w:rPr>
        <w:t xml:space="preserve"> abatedouro frigorífico</w:t>
      </w:r>
      <w:r w:rsidR="2A913CAF" w:rsidRPr="6B22B1B3">
        <w:rPr>
          <w:rFonts w:ascii="Times New Roman" w:eastAsia="Times New Roman" w:hAnsi="Times New Roman" w:cs="Times New Roman"/>
          <w:sz w:val="24"/>
          <w:szCs w:val="24"/>
        </w:rPr>
        <w:t xml:space="preserve"> Boi Dourado LTDA,</w:t>
      </w:r>
      <w:r w:rsidR="00584D3D" w:rsidRPr="6B22B1B3">
        <w:rPr>
          <w:rFonts w:ascii="Times New Roman" w:eastAsia="Times New Roman" w:hAnsi="Times New Roman" w:cs="Times New Roman"/>
          <w:sz w:val="24"/>
          <w:szCs w:val="24"/>
        </w:rPr>
        <w:t xml:space="preserve"> localizado no município de Simões Filho (BA), sob Serviço de Inspeção Federal (SIF), no período de 2025. Os dados foram analisados por meio de frequência absoluta e relativa.</w:t>
      </w:r>
    </w:p>
    <w:p w14:paraId="2BE01A06" w14:textId="689AFF62" w:rsidR="6B22B1B3" w:rsidRDefault="6B22B1B3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42133A" w14:textId="39A5E583" w:rsidR="00184934" w:rsidRDefault="00184934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4E956CC5" w14:textId="12C7E0BE" w:rsidR="0C794010" w:rsidRDefault="0C794010" w:rsidP="7AABFA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7AABFA9D">
        <w:rPr>
          <w:rFonts w:ascii="Times New Roman" w:eastAsia="Times New Roman" w:hAnsi="Times New Roman" w:cs="Times New Roman"/>
          <w:sz w:val="20"/>
          <w:szCs w:val="20"/>
        </w:rPr>
        <w:t>Figura 1 -</w:t>
      </w:r>
      <w:r w:rsidR="3F8F9037" w:rsidRPr="7AABFA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4475A336" w:rsidRPr="7AABFA9D">
        <w:rPr>
          <w:rFonts w:ascii="Times New Roman" w:eastAsia="Times New Roman" w:hAnsi="Times New Roman" w:cs="Times New Roman"/>
          <w:sz w:val="20"/>
          <w:szCs w:val="20"/>
        </w:rPr>
        <w:t xml:space="preserve">Distribuição das principais causas de condenação total de carcaças bovinas no abatedouro frigorifico </w:t>
      </w:r>
      <w:r w:rsidR="53D5284F" w:rsidRPr="7AABFA9D">
        <w:rPr>
          <w:rFonts w:ascii="Times New Roman" w:eastAsia="Times New Roman" w:hAnsi="Times New Roman" w:cs="Times New Roman"/>
          <w:sz w:val="20"/>
          <w:szCs w:val="20"/>
        </w:rPr>
        <w:t xml:space="preserve">Boi Dourado </w:t>
      </w:r>
      <w:r w:rsidR="1DE2628F" w:rsidRPr="7AABFA9D">
        <w:rPr>
          <w:rFonts w:ascii="Times New Roman" w:eastAsia="Times New Roman" w:hAnsi="Times New Roman" w:cs="Times New Roman"/>
          <w:sz w:val="20"/>
          <w:szCs w:val="20"/>
        </w:rPr>
        <w:t>n</w:t>
      </w:r>
      <w:r w:rsidR="53D5284F" w:rsidRPr="7AABFA9D">
        <w:rPr>
          <w:rFonts w:ascii="Times New Roman" w:eastAsia="Times New Roman" w:hAnsi="Times New Roman" w:cs="Times New Roman"/>
          <w:sz w:val="20"/>
          <w:szCs w:val="20"/>
        </w:rPr>
        <w:t>o ano de 2025</w:t>
      </w:r>
    </w:p>
    <w:p w14:paraId="26D4ABCB" w14:textId="15C52FCF" w:rsidR="00CA545E" w:rsidRDefault="00851423" w:rsidP="7AABFA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CB5E70" wp14:editId="2D4A0CA0">
            <wp:simplePos x="0" y="0"/>
            <wp:positionH relativeFrom="column">
              <wp:posOffset>64770</wp:posOffset>
            </wp:positionH>
            <wp:positionV relativeFrom="paragraph">
              <wp:posOffset>171450</wp:posOffset>
            </wp:positionV>
            <wp:extent cx="5791835" cy="2108200"/>
            <wp:effectExtent l="0" t="0" r="0" b="6350"/>
            <wp:wrapTopAndBottom/>
            <wp:docPr id="1765744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4405" name="Imagem 1765744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7037C" w14:textId="74AA9458" w:rsidR="6817AEF8" w:rsidRDefault="6817AEF8" w:rsidP="008514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031797D" w14:textId="27B6CD32" w:rsidR="1741DFFE" w:rsidRDefault="1741DFFE" w:rsidP="7AABFA9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sz w:val="24"/>
          <w:szCs w:val="24"/>
        </w:rPr>
        <w:t xml:space="preserve">O presente gráfico representa as causas de condenação total de </w:t>
      </w:r>
      <w:r w:rsidR="4992FE0D" w:rsidRPr="6B22B1B3">
        <w:rPr>
          <w:rFonts w:ascii="Times New Roman" w:eastAsia="Times New Roman" w:hAnsi="Times New Roman" w:cs="Times New Roman"/>
          <w:sz w:val="24"/>
          <w:szCs w:val="24"/>
        </w:rPr>
        <w:t>carcaças</w:t>
      </w:r>
      <w:r w:rsidR="7D0D3874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23C2858" w:rsidRPr="7AABFA9D">
        <w:rPr>
          <w:rFonts w:ascii="Times New Roman" w:eastAsia="Times New Roman" w:hAnsi="Times New Roman" w:cs="Times New Roman"/>
          <w:sz w:val="24"/>
          <w:szCs w:val="24"/>
        </w:rPr>
        <w:t>p</w:t>
      </w:r>
      <w:r w:rsidR="7E426611" w:rsidRPr="7AABFA9D">
        <w:rPr>
          <w:rFonts w:ascii="Times New Roman" w:eastAsia="Times New Roman" w:hAnsi="Times New Roman" w:cs="Times New Roman"/>
          <w:sz w:val="24"/>
          <w:szCs w:val="24"/>
        </w:rPr>
        <w:t>ost</w:t>
      </w:r>
      <w:r w:rsidR="5762117E" w:rsidRPr="7AABF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922CB86" w:rsidRPr="7AABFA9D">
        <w:rPr>
          <w:rFonts w:ascii="Times New Roman" w:eastAsia="Times New Roman" w:hAnsi="Times New Roman" w:cs="Times New Roman"/>
          <w:sz w:val="24"/>
          <w:szCs w:val="24"/>
        </w:rPr>
        <w:t>m</w:t>
      </w:r>
      <w:r w:rsidR="0007ED1B" w:rsidRPr="7AABFA9D">
        <w:rPr>
          <w:rFonts w:ascii="Times New Roman" w:eastAsia="Times New Roman" w:hAnsi="Times New Roman" w:cs="Times New Roman"/>
          <w:sz w:val="24"/>
          <w:szCs w:val="24"/>
        </w:rPr>
        <w:t>orten</w:t>
      </w:r>
      <w:r w:rsidR="7D0D3874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6B22B1B3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="6296D5B9" w:rsidRPr="6B22B1B3">
        <w:rPr>
          <w:rFonts w:ascii="Times New Roman" w:eastAsia="Times New Roman" w:hAnsi="Times New Roman" w:cs="Times New Roman"/>
          <w:sz w:val="24"/>
          <w:szCs w:val="24"/>
        </w:rPr>
        <w:t xml:space="preserve">abatedouro </w:t>
      </w:r>
      <w:r w:rsidR="48A5411F" w:rsidRPr="7AABFA9D">
        <w:rPr>
          <w:rFonts w:ascii="Times New Roman" w:eastAsia="Times New Roman" w:hAnsi="Times New Roman" w:cs="Times New Roman"/>
          <w:sz w:val="24"/>
          <w:szCs w:val="24"/>
        </w:rPr>
        <w:t>frigor</w:t>
      </w:r>
      <w:r w:rsidR="2CE8F4E6" w:rsidRPr="7AABFA9D">
        <w:rPr>
          <w:rFonts w:ascii="Times New Roman" w:eastAsia="Times New Roman" w:hAnsi="Times New Roman" w:cs="Times New Roman"/>
          <w:sz w:val="24"/>
          <w:szCs w:val="24"/>
        </w:rPr>
        <w:t>í</w:t>
      </w:r>
      <w:r w:rsidR="48A5411F" w:rsidRPr="7AABFA9D">
        <w:rPr>
          <w:rFonts w:ascii="Times New Roman" w:eastAsia="Times New Roman" w:hAnsi="Times New Roman" w:cs="Times New Roman"/>
          <w:sz w:val="24"/>
          <w:szCs w:val="24"/>
        </w:rPr>
        <w:t>f</w:t>
      </w:r>
      <w:r w:rsidR="738BC578" w:rsidRPr="7AABFA9D">
        <w:rPr>
          <w:rFonts w:ascii="Times New Roman" w:eastAsia="Times New Roman" w:hAnsi="Times New Roman" w:cs="Times New Roman"/>
          <w:sz w:val="24"/>
          <w:szCs w:val="24"/>
        </w:rPr>
        <w:t>i</w:t>
      </w:r>
      <w:r w:rsidR="48A5411F" w:rsidRPr="7AABFA9D">
        <w:rPr>
          <w:rFonts w:ascii="Times New Roman" w:eastAsia="Times New Roman" w:hAnsi="Times New Roman" w:cs="Times New Roman"/>
          <w:sz w:val="24"/>
          <w:szCs w:val="24"/>
        </w:rPr>
        <w:t>co</w:t>
      </w:r>
      <w:r w:rsidR="6296D5B9" w:rsidRPr="6B22B1B3">
        <w:rPr>
          <w:rFonts w:ascii="Times New Roman" w:eastAsia="Times New Roman" w:hAnsi="Times New Roman" w:cs="Times New Roman"/>
          <w:sz w:val="24"/>
          <w:szCs w:val="24"/>
        </w:rPr>
        <w:t xml:space="preserve"> Boi Dourado LTDA</w:t>
      </w:r>
      <w:r w:rsidR="395BAA78" w:rsidRPr="6B22B1B3">
        <w:rPr>
          <w:rFonts w:ascii="Times New Roman" w:eastAsia="Times New Roman" w:hAnsi="Times New Roman" w:cs="Times New Roman"/>
          <w:sz w:val="24"/>
          <w:szCs w:val="24"/>
        </w:rPr>
        <w:t xml:space="preserve"> no ano de 2025,</w:t>
      </w:r>
      <w:r w:rsidR="0BB3B6DD" w:rsidRPr="6B22B1B3">
        <w:rPr>
          <w:rFonts w:ascii="Times New Roman" w:eastAsia="Times New Roman" w:hAnsi="Times New Roman" w:cs="Times New Roman"/>
          <w:sz w:val="24"/>
          <w:szCs w:val="24"/>
        </w:rPr>
        <w:t xml:space="preserve"> apresentadas em porcentagem (</w:t>
      </w:r>
      <w:r w:rsidR="561AACD1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</w:t>
      </w:r>
      <w:r w:rsidR="0BB3B6DD" w:rsidRPr="6B22B1B3">
        <w:rPr>
          <w:rFonts w:ascii="Times New Roman" w:eastAsia="Times New Roman" w:hAnsi="Times New Roman" w:cs="Times New Roman"/>
          <w:sz w:val="24"/>
          <w:szCs w:val="24"/>
        </w:rPr>
        <w:t xml:space="preserve">), com os </w:t>
      </w:r>
      <w:r w:rsidR="75CEEAF4" w:rsidRPr="6B22B1B3">
        <w:rPr>
          <w:rFonts w:ascii="Times New Roman" w:eastAsia="Times New Roman" w:hAnsi="Times New Roman" w:cs="Times New Roman"/>
          <w:sz w:val="24"/>
          <w:szCs w:val="24"/>
        </w:rPr>
        <w:t>respectivos</w:t>
      </w:r>
      <w:r w:rsidR="0BB3B6DD" w:rsidRPr="6B22B1B3">
        <w:rPr>
          <w:rFonts w:ascii="Times New Roman" w:eastAsia="Times New Roman" w:hAnsi="Times New Roman" w:cs="Times New Roman"/>
          <w:sz w:val="24"/>
          <w:szCs w:val="24"/>
        </w:rPr>
        <w:t xml:space="preserve"> valores </w:t>
      </w:r>
      <w:r w:rsidR="2FBD23D7" w:rsidRPr="6B22B1B3">
        <w:rPr>
          <w:rFonts w:ascii="Times New Roman" w:eastAsia="Times New Roman" w:hAnsi="Times New Roman" w:cs="Times New Roman"/>
          <w:sz w:val="24"/>
          <w:szCs w:val="24"/>
        </w:rPr>
        <w:t>absolutos</w:t>
      </w:r>
      <w:r w:rsidR="0BB3B6DD" w:rsidRPr="6B22B1B3">
        <w:rPr>
          <w:rFonts w:ascii="Times New Roman" w:eastAsia="Times New Roman" w:hAnsi="Times New Roman" w:cs="Times New Roman"/>
          <w:sz w:val="24"/>
          <w:szCs w:val="24"/>
        </w:rPr>
        <w:t xml:space="preserve"> (n)</w:t>
      </w:r>
      <w:r w:rsidR="738A803A" w:rsidRPr="6B22B1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Septicemia (n = 17), alterações linfáticas 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inespecíficas (n = 9), lesões tuberculósicas (</w:t>
      </w:r>
      <w:r w:rsidR="19299FF5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6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 abscessos causados por mamíferos (</w:t>
      </w:r>
      <w:r w:rsidR="6D1F57C1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5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aderência de pleura com secreção purulenta (</w:t>
      </w:r>
      <w:r w:rsidR="475A6A58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5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Tuberculose notificad</w:t>
      </w:r>
      <w:r w:rsidR="18AE93C4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5868AAB2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1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Alteração restrita (</w:t>
      </w:r>
      <w:r w:rsidR="7D8E9A32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1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Lesão inflamatória (</w:t>
      </w:r>
      <w:r w:rsidR="0164BD1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1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Lesão traumática (</w:t>
      </w:r>
      <w:r w:rsidR="2B377444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1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aspecto </w:t>
      </w:r>
      <w:r w:rsidR="0B0ACCD4" w:rsidRPr="7AABFA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repugnante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2BA2132B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= 1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3B2E772E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coloração anormal pós-Morten (n =</w:t>
      </w:r>
      <w:r w:rsidR="7C2BD7AF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B2E772E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30736063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Total de condenações: n = 48.</w:t>
      </w:r>
      <w:r w:rsidR="738A803A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60EFE1" w14:textId="171A3A9D" w:rsidR="54B4CFEC" w:rsidRDefault="54B4CFEC" w:rsidP="002132D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Destacaram-se, portanto, a septicemia e as alterações linfáticas inespecíficas como as causas de maior recorrência.</w:t>
      </w:r>
      <w:r w:rsidR="182B2C67" w:rsidRPr="6B22B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82B2C67" w:rsidRPr="6B22B1B3">
        <w:rPr>
          <w:rFonts w:ascii="Times New Roman" w:eastAsia="Times New Roman" w:hAnsi="Times New Roman" w:cs="Times New Roman"/>
          <w:sz w:val="24"/>
          <w:szCs w:val="24"/>
        </w:rPr>
        <w:t>As doenças transmitidas por alimentos</w:t>
      </w:r>
      <w:r w:rsidR="1A1C863E" w:rsidRPr="6B22B1B3">
        <w:rPr>
          <w:rFonts w:ascii="Times New Roman" w:eastAsia="Times New Roman" w:hAnsi="Times New Roman" w:cs="Times New Roman"/>
          <w:sz w:val="24"/>
          <w:szCs w:val="24"/>
        </w:rPr>
        <w:t xml:space="preserve"> (DTAs) podem ser causadas por três principais fontes biológicas: vírus, parasitas e bactérias, e suas substâncias tóxicas</w:t>
      </w:r>
      <w:r w:rsidR="7C2F5C07" w:rsidRPr="6B22B1B3">
        <w:rPr>
          <w:rFonts w:ascii="Times New Roman" w:eastAsia="Times New Roman" w:hAnsi="Times New Roman" w:cs="Times New Roman"/>
          <w:sz w:val="24"/>
          <w:szCs w:val="24"/>
        </w:rPr>
        <w:t xml:space="preserve"> (Nunes, 2025)</w:t>
      </w:r>
      <w:r w:rsidR="327AB062" w:rsidRPr="6B22B1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0B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3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7EEA">
        <w:rPr>
          <w:rFonts w:ascii="Times New Roman" w:eastAsia="Times New Roman" w:hAnsi="Times New Roman" w:cs="Times New Roman"/>
          <w:sz w:val="24"/>
          <w:szCs w:val="24"/>
        </w:rPr>
        <w:t>No</w:t>
      </w:r>
      <w:r w:rsidR="00273B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15ECF16" w:rsidRPr="6B22B1B3">
        <w:rPr>
          <w:rFonts w:ascii="Times New Roman" w:eastAsia="Times New Roman" w:hAnsi="Times New Roman" w:cs="Times New Roman"/>
          <w:sz w:val="24"/>
          <w:szCs w:val="24"/>
        </w:rPr>
        <w:t>Art. 129 do RIISPOA (2017)</w:t>
      </w:r>
      <w:r w:rsidR="4AC1EE77" w:rsidRPr="6B22B1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1D9DAED" w:rsidRPr="6B22B1B3">
        <w:rPr>
          <w:rFonts w:ascii="Times New Roman" w:eastAsia="Times New Roman" w:hAnsi="Times New Roman" w:cs="Times New Roman"/>
          <w:sz w:val="24"/>
          <w:szCs w:val="24"/>
        </w:rPr>
        <w:t>estabelece que</w:t>
      </w:r>
      <w:r w:rsidR="63C61B62" w:rsidRPr="6B22B1B3">
        <w:rPr>
          <w:rFonts w:ascii="Times New Roman" w:eastAsia="Times New Roman" w:hAnsi="Times New Roman" w:cs="Times New Roman"/>
          <w:sz w:val="24"/>
          <w:szCs w:val="24"/>
        </w:rPr>
        <w:t xml:space="preserve"> as carcaças e órgãos que passaram pelas linhas de inspeção, mas obtiveram interpretação duvidosa</w:t>
      </w:r>
      <w:r w:rsidR="61D9DAED" w:rsidRPr="6B22B1B3">
        <w:rPr>
          <w:rFonts w:ascii="Times New Roman" w:eastAsia="Times New Roman" w:hAnsi="Times New Roman" w:cs="Times New Roman"/>
          <w:sz w:val="24"/>
          <w:szCs w:val="24"/>
        </w:rPr>
        <w:t xml:space="preserve"> sejam examinados, julgados</w:t>
      </w:r>
      <w:r w:rsidR="000A5675">
        <w:rPr>
          <w:rFonts w:ascii="Times New Roman" w:eastAsia="Times New Roman" w:hAnsi="Times New Roman" w:cs="Times New Roman"/>
          <w:sz w:val="24"/>
          <w:szCs w:val="24"/>
        </w:rPr>
        <w:t xml:space="preserve"> (por médico veterinário</w:t>
      </w:r>
      <w:r w:rsidR="00651F1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61D9DAED" w:rsidRPr="6B22B1B3">
        <w:rPr>
          <w:rFonts w:ascii="Times New Roman" w:eastAsia="Times New Roman" w:hAnsi="Times New Roman" w:cs="Times New Roman"/>
          <w:sz w:val="24"/>
          <w:szCs w:val="24"/>
        </w:rPr>
        <w:t>e tenham a correta destinação</w:t>
      </w:r>
      <w:r w:rsidR="000A56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C85EF2" w14:textId="2F2353F0" w:rsidR="6B22B1B3" w:rsidRDefault="6B22B1B3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A95BC1" w14:textId="2C01F2D5" w:rsidR="447AFD7D" w:rsidRDefault="00184934" w:rsidP="7AABFA9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9BBCBF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Conclusão</w:t>
      </w:r>
      <w:r w:rsidRPr="7AABFA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DB2AFA7" w:rsidRPr="19BBCBF9">
        <w:rPr>
          <w:rFonts w:ascii="Times New Roman" w:eastAsia="Times New Roman" w:hAnsi="Times New Roman" w:cs="Times New Roman"/>
          <w:sz w:val="24"/>
          <w:szCs w:val="24"/>
        </w:rPr>
        <w:t>Os resultados evidenciaram que a septicemia e as alterações linfáticas inespecíficas foram as principais causas de condenação total de carcaças bovinas no período analisado, demonstrando a relevância dessas alterações como indicadores de comprometimento sistêmico dos animais abatidos.</w:t>
      </w:r>
      <w:r w:rsidR="447AFD7D" w:rsidRPr="19BBCBF9">
        <w:rPr>
          <w:rFonts w:ascii="Times New Roman" w:eastAsia="Times New Roman" w:hAnsi="Times New Roman" w:cs="Times New Roman"/>
          <w:sz w:val="24"/>
          <w:szCs w:val="24"/>
        </w:rPr>
        <w:t xml:space="preserve"> Além disso, o monitoramento contínuo das causas de condenação contribui para o aprimoramento das práticas sanitárias, do manejo animal e das ações de vigilância epidemiológica na cadeia produtiva. Dessa forma, destaca-se a necessidade de medidas preventivas mais eficazes, visando reduzir a ocorrência dessas alterações e garantir a qualidade dos produtos de origem animal destinados ao consumo humano.</w:t>
      </w:r>
    </w:p>
    <w:p w14:paraId="21C7C6DD" w14:textId="67413269" w:rsidR="6B22B1B3" w:rsidRDefault="6B22B1B3" w:rsidP="7AABFA9D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47432" w14:textId="4DD2F10E" w:rsidR="006156EB" w:rsidRDefault="00184934" w:rsidP="6B22B1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B22B1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Referências Bibliográficas: </w:t>
      </w:r>
    </w:p>
    <w:p w14:paraId="3CD78C9F" w14:textId="12CAB47E" w:rsidR="006156EB" w:rsidRDefault="1332F098" w:rsidP="030453B8">
      <w:pPr>
        <w:shd w:val="clear" w:color="auto" w:fill="FFFFFF" w:themeFill="background1"/>
        <w:spacing w:after="0" w:line="240" w:lineRule="auto"/>
        <w:jc w:val="both"/>
      </w:pPr>
      <w:r w:rsidRPr="03045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FILHO, Alonso Roberto Passador </w:t>
      </w:r>
      <w:r w:rsidRPr="030453B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Pr="030453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A medicina veterinária legal na fiscalização de produtos de origem animal – a importância do veterinário na inspeção sanitária, segurança alimentar e combate à fraude em produtos de origem animal: revisão de literatura. Brazilian Journal of Animal and Environmental Research, 2025. </w:t>
      </w:r>
    </w:p>
    <w:p w14:paraId="6D25903D" w14:textId="18EB71F7" w:rsidR="006156EB" w:rsidRDefault="006156EB" w:rsidP="030453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DA45B9" w14:textId="770FA2C9" w:rsidR="006156EB" w:rsidRDefault="033D2A78" w:rsidP="19BBC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9BBCB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G1. Brasil bate recorde nas exportações de carne bovina em 2025 mesmo com tarifaço dos EUA. 7 jan. 2026. </w:t>
      </w:r>
      <w:r w:rsidRPr="7AABFA9D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8">
        <w:r w:rsidRPr="7AABFA9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https://g1.globo.com/</w:t>
        </w:r>
      </w:hyperlink>
      <w:r w:rsidRPr="7AABFA9D">
        <w:rPr>
          <w:rFonts w:ascii="Times New Roman" w:eastAsia="Times New Roman" w:hAnsi="Times New Roman" w:cs="Times New Roman"/>
          <w:sz w:val="24"/>
          <w:szCs w:val="24"/>
        </w:rPr>
        <w:t>. Acesso em: 26 mar. 2026.</w:t>
      </w:r>
    </w:p>
    <w:p w14:paraId="3DDD17BB" w14:textId="26EB040B" w:rsidR="006156EB" w:rsidRDefault="006156EB" w:rsidP="19BBCB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C7D52E" w14:textId="77777777" w:rsidR="0036718E" w:rsidRDefault="60EF1116" w:rsidP="003671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30453B8">
        <w:rPr>
          <w:rFonts w:ascii="Times New Roman" w:eastAsia="Times New Roman" w:hAnsi="Times New Roman" w:cs="Times New Roman"/>
          <w:sz w:val="24"/>
          <w:szCs w:val="24"/>
        </w:rPr>
        <w:t xml:space="preserve">NUNES, Natália Pazzini </w:t>
      </w:r>
      <w:r w:rsidRPr="030453B8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30453B8">
        <w:rPr>
          <w:rFonts w:ascii="Times New Roman" w:eastAsia="Times New Roman" w:hAnsi="Times New Roman" w:cs="Times New Roman"/>
          <w:sz w:val="24"/>
          <w:szCs w:val="24"/>
        </w:rPr>
        <w:t xml:space="preserve">. A importância do médico veterinário na inspeção e controle de qualidade de produtos de origem animal: revisão de literatura. In: </w:t>
      </w:r>
      <w:hyperlink r:id="rId9">
        <w:r w:rsidRPr="030453B8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Ciências agrárias: inovações, sustentabilidade e desafios para o século XXI.</w:t>
        </w:r>
      </w:hyperlink>
      <w:r w:rsidRPr="030453B8">
        <w:rPr>
          <w:rFonts w:ascii="Times New Roman" w:eastAsia="Times New Roman" w:hAnsi="Times New Roman" w:cs="Times New Roman"/>
          <w:sz w:val="24"/>
          <w:szCs w:val="24"/>
        </w:rPr>
        <w:t xml:space="preserve"> Publicado em: 30 abr. 2025. p. 8–16. DOI: 10.37885/250419102</w:t>
      </w:r>
      <w:r w:rsidR="0036718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46DB82" w14:textId="53F6EB9F" w:rsidR="006156EB" w:rsidRPr="00155313" w:rsidRDefault="033D2A78" w:rsidP="030453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9BBCB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SANTOS, José Mykael da Silva</w:t>
      </w:r>
      <w:r w:rsidRPr="030453B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et al.</w:t>
      </w:r>
      <w:r w:rsidRPr="19BBCB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Segurança alimentar em animais-produtos derivados: o papel das boas práticas de produção e controle de contaminação em saúde pública proteção. In: 2nd Seven Global Congress of Multidisciplinary Studies, 2026</w:t>
      </w:r>
      <w:r w:rsidR="001553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sectPr w:rsidR="006156EB" w:rsidRPr="00155313">
      <w:headerReference w:type="default" r:id="rId10"/>
      <w:footerReference w:type="default" r:id="rId11"/>
      <w:pgSz w:w="11907" w:h="16839"/>
      <w:pgMar w:top="255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4C8F2" w14:textId="77777777" w:rsidR="0046217C" w:rsidRDefault="0046217C">
      <w:pPr>
        <w:spacing w:after="0" w:line="240" w:lineRule="auto"/>
      </w:pPr>
      <w:r>
        <w:separator/>
      </w:r>
    </w:p>
  </w:endnote>
  <w:endnote w:type="continuationSeparator" w:id="0">
    <w:p w14:paraId="33105B64" w14:textId="77777777" w:rsidR="0046217C" w:rsidRDefault="0046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9608612-D5E7-4164-957C-134B8B16824B}"/>
    <w:embedBold r:id="rId2" w:fontKey="{2701F688-E805-41EB-BF94-CC980D46C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03B46CDA" w:rsidR="006156EB" w:rsidRDefault="001849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30FAB">
      <w:rPr>
        <w:noProof/>
        <w:color w:val="000000"/>
      </w:rPr>
      <w:t>1</w:t>
    </w:r>
    <w:r>
      <w:rPr>
        <w:color w:val="000000"/>
      </w:rPr>
      <w:fldChar w:fldCharType="end"/>
    </w:r>
  </w:p>
  <w:p w14:paraId="5997CC1D" w14:textId="77777777" w:rsidR="006156EB" w:rsidRDefault="00615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99C02" w14:textId="77777777" w:rsidR="0046217C" w:rsidRDefault="0046217C">
      <w:pPr>
        <w:spacing w:after="0" w:line="240" w:lineRule="auto"/>
      </w:pPr>
      <w:r>
        <w:separator/>
      </w:r>
    </w:p>
  </w:footnote>
  <w:footnote w:type="continuationSeparator" w:id="0">
    <w:p w14:paraId="1DED90EB" w14:textId="77777777" w:rsidR="0046217C" w:rsidRDefault="00462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80F8A" w14:textId="77777777" w:rsidR="006156EB" w:rsidRDefault="001849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B06F5A" wp14:editId="07777777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0FFD37" w14:textId="77777777" w:rsidR="006156EB" w:rsidRDefault="00615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6EB"/>
    <w:rsid w:val="00054833"/>
    <w:rsid w:val="00072C9A"/>
    <w:rsid w:val="0007ED1B"/>
    <w:rsid w:val="00081D4D"/>
    <w:rsid w:val="000904DD"/>
    <w:rsid w:val="000A5675"/>
    <w:rsid w:val="000C088F"/>
    <w:rsid w:val="001061DD"/>
    <w:rsid w:val="00155313"/>
    <w:rsid w:val="00157A56"/>
    <w:rsid w:val="00184934"/>
    <w:rsid w:val="002132DB"/>
    <w:rsid w:val="002207C5"/>
    <w:rsid w:val="00273B6F"/>
    <w:rsid w:val="002C2BE1"/>
    <w:rsid w:val="002D3C7D"/>
    <w:rsid w:val="002E515D"/>
    <w:rsid w:val="002E7777"/>
    <w:rsid w:val="00323011"/>
    <w:rsid w:val="0036718E"/>
    <w:rsid w:val="00371EB5"/>
    <w:rsid w:val="003950C1"/>
    <w:rsid w:val="003B44F3"/>
    <w:rsid w:val="003E1C17"/>
    <w:rsid w:val="0044FD9E"/>
    <w:rsid w:val="0046217C"/>
    <w:rsid w:val="0046256B"/>
    <w:rsid w:val="004719F6"/>
    <w:rsid w:val="004A723E"/>
    <w:rsid w:val="004D52F3"/>
    <w:rsid w:val="005759D9"/>
    <w:rsid w:val="00584D3D"/>
    <w:rsid w:val="005D1DE1"/>
    <w:rsid w:val="006156EB"/>
    <w:rsid w:val="00633E62"/>
    <w:rsid w:val="00651F12"/>
    <w:rsid w:val="006724AA"/>
    <w:rsid w:val="006907A1"/>
    <w:rsid w:val="006C2752"/>
    <w:rsid w:val="00730FAB"/>
    <w:rsid w:val="00765215"/>
    <w:rsid w:val="007713EC"/>
    <w:rsid w:val="00790177"/>
    <w:rsid w:val="007A4D31"/>
    <w:rsid w:val="00851423"/>
    <w:rsid w:val="008B5F9A"/>
    <w:rsid w:val="008C3257"/>
    <w:rsid w:val="0098425A"/>
    <w:rsid w:val="009854C9"/>
    <w:rsid w:val="009A0B63"/>
    <w:rsid w:val="009B252E"/>
    <w:rsid w:val="009D5B70"/>
    <w:rsid w:val="00A440D9"/>
    <w:rsid w:val="00A97EEA"/>
    <w:rsid w:val="00B63B1A"/>
    <w:rsid w:val="00B779D4"/>
    <w:rsid w:val="00B82012"/>
    <w:rsid w:val="00B97BE3"/>
    <w:rsid w:val="00C06997"/>
    <w:rsid w:val="00C51684"/>
    <w:rsid w:val="00C576A5"/>
    <w:rsid w:val="00C80C6B"/>
    <w:rsid w:val="00CA545E"/>
    <w:rsid w:val="00CB3726"/>
    <w:rsid w:val="00CF6844"/>
    <w:rsid w:val="00D04164"/>
    <w:rsid w:val="00D31CFB"/>
    <w:rsid w:val="00D4433A"/>
    <w:rsid w:val="00D53D86"/>
    <w:rsid w:val="00D73B82"/>
    <w:rsid w:val="00E258C0"/>
    <w:rsid w:val="00E777C1"/>
    <w:rsid w:val="00E9250B"/>
    <w:rsid w:val="00EC08A9"/>
    <w:rsid w:val="00F206E7"/>
    <w:rsid w:val="00F502C1"/>
    <w:rsid w:val="0164BD1A"/>
    <w:rsid w:val="01EC8FB4"/>
    <w:rsid w:val="0229C1FA"/>
    <w:rsid w:val="0261F6E3"/>
    <w:rsid w:val="027C4B88"/>
    <w:rsid w:val="030453B8"/>
    <w:rsid w:val="0326B44C"/>
    <w:rsid w:val="033D2A78"/>
    <w:rsid w:val="03548A76"/>
    <w:rsid w:val="03CA97C9"/>
    <w:rsid w:val="04476094"/>
    <w:rsid w:val="0467747B"/>
    <w:rsid w:val="04F5DF4D"/>
    <w:rsid w:val="0711478D"/>
    <w:rsid w:val="073FE307"/>
    <w:rsid w:val="075AC066"/>
    <w:rsid w:val="082379FC"/>
    <w:rsid w:val="08329301"/>
    <w:rsid w:val="08BD597F"/>
    <w:rsid w:val="08D11A49"/>
    <w:rsid w:val="090FABAD"/>
    <w:rsid w:val="092399D7"/>
    <w:rsid w:val="098A80E6"/>
    <w:rsid w:val="0A1F5334"/>
    <w:rsid w:val="0A33CE0E"/>
    <w:rsid w:val="0A381B63"/>
    <w:rsid w:val="0A829A66"/>
    <w:rsid w:val="0A96B082"/>
    <w:rsid w:val="0AA5CE51"/>
    <w:rsid w:val="0B0ACCD4"/>
    <w:rsid w:val="0B3D7D12"/>
    <w:rsid w:val="0B70BC88"/>
    <w:rsid w:val="0B781827"/>
    <w:rsid w:val="0B7D6ABC"/>
    <w:rsid w:val="0BB3B6DD"/>
    <w:rsid w:val="0BC0B327"/>
    <w:rsid w:val="0BCEE3E9"/>
    <w:rsid w:val="0C4F4207"/>
    <w:rsid w:val="0C695FBF"/>
    <w:rsid w:val="0C794010"/>
    <w:rsid w:val="0C84521F"/>
    <w:rsid w:val="0CC0A589"/>
    <w:rsid w:val="0CD34A80"/>
    <w:rsid w:val="0CF643AE"/>
    <w:rsid w:val="0D025EE1"/>
    <w:rsid w:val="0D2B9C53"/>
    <w:rsid w:val="0D323324"/>
    <w:rsid w:val="0D51202B"/>
    <w:rsid w:val="0DAF6FE4"/>
    <w:rsid w:val="0DB2AFA7"/>
    <w:rsid w:val="0E98862F"/>
    <w:rsid w:val="0EAEF956"/>
    <w:rsid w:val="0EE34F3F"/>
    <w:rsid w:val="0F1D4F60"/>
    <w:rsid w:val="0FDDE550"/>
    <w:rsid w:val="103056A9"/>
    <w:rsid w:val="1049A72B"/>
    <w:rsid w:val="10D00AD2"/>
    <w:rsid w:val="10D1E014"/>
    <w:rsid w:val="10EBD4D3"/>
    <w:rsid w:val="11736FFD"/>
    <w:rsid w:val="11D5B298"/>
    <w:rsid w:val="11E4BB9B"/>
    <w:rsid w:val="11F8DAEF"/>
    <w:rsid w:val="1332F098"/>
    <w:rsid w:val="13AB4F67"/>
    <w:rsid w:val="13D2ACB4"/>
    <w:rsid w:val="142303DA"/>
    <w:rsid w:val="148DA214"/>
    <w:rsid w:val="148DF3A9"/>
    <w:rsid w:val="14CF2489"/>
    <w:rsid w:val="14F51064"/>
    <w:rsid w:val="14FB0077"/>
    <w:rsid w:val="150BD1D0"/>
    <w:rsid w:val="158E8A20"/>
    <w:rsid w:val="15B4AD96"/>
    <w:rsid w:val="15CF9661"/>
    <w:rsid w:val="15D35970"/>
    <w:rsid w:val="15D632AC"/>
    <w:rsid w:val="163C3DF8"/>
    <w:rsid w:val="169644A7"/>
    <w:rsid w:val="16D6E57E"/>
    <w:rsid w:val="16EEFD3B"/>
    <w:rsid w:val="1732D1AF"/>
    <w:rsid w:val="1741DFFE"/>
    <w:rsid w:val="17BC6D24"/>
    <w:rsid w:val="182B2C67"/>
    <w:rsid w:val="18AE93C4"/>
    <w:rsid w:val="19299FF5"/>
    <w:rsid w:val="19360005"/>
    <w:rsid w:val="194CA629"/>
    <w:rsid w:val="1978529C"/>
    <w:rsid w:val="19AD1DF2"/>
    <w:rsid w:val="19BBCBF9"/>
    <w:rsid w:val="19DAD04E"/>
    <w:rsid w:val="19FEBC7D"/>
    <w:rsid w:val="1A010A14"/>
    <w:rsid w:val="1A1C863E"/>
    <w:rsid w:val="1B0BD0A5"/>
    <w:rsid w:val="1B29CB2E"/>
    <w:rsid w:val="1B41945B"/>
    <w:rsid w:val="1B5A2FA7"/>
    <w:rsid w:val="1B84592A"/>
    <w:rsid w:val="1BC8FE9E"/>
    <w:rsid w:val="1C2498A0"/>
    <w:rsid w:val="1C50ABBB"/>
    <w:rsid w:val="1C74C94B"/>
    <w:rsid w:val="1D4DFD73"/>
    <w:rsid w:val="1D9F5E31"/>
    <w:rsid w:val="1DE2628F"/>
    <w:rsid w:val="1E1CFAA8"/>
    <w:rsid w:val="1E527615"/>
    <w:rsid w:val="1E611B71"/>
    <w:rsid w:val="1EA8D5AA"/>
    <w:rsid w:val="1EB4218F"/>
    <w:rsid w:val="1ECA5D29"/>
    <w:rsid w:val="1ED5858D"/>
    <w:rsid w:val="1F018891"/>
    <w:rsid w:val="1F10B212"/>
    <w:rsid w:val="1F29AEA5"/>
    <w:rsid w:val="1F53C54D"/>
    <w:rsid w:val="1F89762A"/>
    <w:rsid w:val="2008C295"/>
    <w:rsid w:val="20E3FF46"/>
    <w:rsid w:val="20FE9129"/>
    <w:rsid w:val="21431805"/>
    <w:rsid w:val="219444F3"/>
    <w:rsid w:val="21E117AB"/>
    <w:rsid w:val="21FB1CE9"/>
    <w:rsid w:val="21FF0B93"/>
    <w:rsid w:val="2240069A"/>
    <w:rsid w:val="22B230DE"/>
    <w:rsid w:val="22B81DA0"/>
    <w:rsid w:val="23739AD8"/>
    <w:rsid w:val="2381542F"/>
    <w:rsid w:val="23A12DD0"/>
    <w:rsid w:val="23BDF8C2"/>
    <w:rsid w:val="23EDCDDD"/>
    <w:rsid w:val="240A2662"/>
    <w:rsid w:val="24CD7828"/>
    <w:rsid w:val="250D9541"/>
    <w:rsid w:val="2520E5DC"/>
    <w:rsid w:val="256F1D94"/>
    <w:rsid w:val="25AF25F2"/>
    <w:rsid w:val="25DEC5E0"/>
    <w:rsid w:val="25E0018C"/>
    <w:rsid w:val="25EC73D6"/>
    <w:rsid w:val="26477830"/>
    <w:rsid w:val="267778EC"/>
    <w:rsid w:val="267DA230"/>
    <w:rsid w:val="26B78274"/>
    <w:rsid w:val="26B7E4F3"/>
    <w:rsid w:val="26C1C28F"/>
    <w:rsid w:val="26D9CBD9"/>
    <w:rsid w:val="274386DA"/>
    <w:rsid w:val="274595DB"/>
    <w:rsid w:val="27635138"/>
    <w:rsid w:val="276EFF5B"/>
    <w:rsid w:val="27AB849D"/>
    <w:rsid w:val="27F1BDCA"/>
    <w:rsid w:val="28054947"/>
    <w:rsid w:val="28065C86"/>
    <w:rsid w:val="281104F4"/>
    <w:rsid w:val="281A5593"/>
    <w:rsid w:val="2851A9B6"/>
    <w:rsid w:val="287D5C1E"/>
    <w:rsid w:val="29B31F7D"/>
    <w:rsid w:val="29E858BC"/>
    <w:rsid w:val="2A0F80F4"/>
    <w:rsid w:val="2A28956D"/>
    <w:rsid w:val="2A913CAF"/>
    <w:rsid w:val="2AB1CF26"/>
    <w:rsid w:val="2ABD0A2D"/>
    <w:rsid w:val="2ACE8076"/>
    <w:rsid w:val="2B377444"/>
    <w:rsid w:val="2B423FD6"/>
    <w:rsid w:val="2BA2132B"/>
    <w:rsid w:val="2BA52DF2"/>
    <w:rsid w:val="2BCC6AF7"/>
    <w:rsid w:val="2C08EFA9"/>
    <w:rsid w:val="2C28F174"/>
    <w:rsid w:val="2C46AE8A"/>
    <w:rsid w:val="2C507657"/>
    <w:rsid w:val="2C61E0EC"/>
    <w:rsid w:val="2CE8F4E6"/>
    <w:rsid w:val="2D1FB652"/>
    <w:rsid w:val="2D44E177"/>
    <w:rsid w:val="2D95F988"/>
    <w:rsid w:val="2DA72A50"/>
    <w:rsid w:val="2DA88DAA"/>
    <w:rsid w:val="2DBB481C"/>
    <w:rsid w:val="2DC3A850"/>
    <w:rsid w:val="2E189CC5"/>
    <w:rsid w:val="2E9D33DE"/>
    <w:rsid w:val="2EBB92DD"/>
    <w:rsid w:val="2EC75DBB"/>
    <w:rsid w:val="2F215119"/>
    <w:rsid w:val="2FBD23D7"/>
    <w:rsid w:val="3002C56F"/>
    <w:rsid w:val="3069D7DF"/>
    <w:rsid w:val="30736063"/>
    <w:rsid w:val="3114A4D2"/>
    <w:rsid w:val="3115B4ED"/>
    <w:rsid w:val="312F30E0"/>
    <w:rsid w:val="31F3E891"/>
    <w:rsid w:val="322623E5"/>
    <w:rsid w:val="326F55CA"/>
    <w:rsid w:val="327AB062"/>
    <w:rsid w:val="33BD303E"/>
    <w:rsid w:val="33F0CBAE"/>
    <w:rsid w:val="34A2119C"/>
    <w:rsid w:val="3514179F"/>
    <w:rsid w:val="351E7118"/>
    <w:rsid w:val="352F7CBE"/>
    <w:rsid w:val="35E1FE00"/>
    <w:rsid w:val="35F30930"/>
    <w:rsid w:val="35FBFCAE"/>
    <w:rsid w:val="3628C114"/>
    <w:rsid w:val="363C689F"/>
    <w:rsid w:val="364F0FAB"/>
    <w:rsid w:val="369ADB6A"/>
    <w:rsid w:val="36C8C99B"/>
    <w:rsid w:val="36C90031"/>
    <w:rsid w:val="373FF496"/>
    <w:rsid w:val="3751F125"/>
    <w:rsid w:val="377091AB"/>
    <w:rsid w:val="3786971E"/>
    <w:rsid w:val="37967999"/>
    <w:rsid w:val="38C65C2B"/>
    <w:rsid w:val="3907E6AF"/>
    <w:rsid w:val="3922CB86"/>
    <w:rsid w:val="395BAA78"/>
    <w:rsid w:val="395C9232"/>
    <w:rsid w:val="3A5EB5DF"/>
    <w:rsid w:val="3A86DC50"/>
    <w:rsid w:val="3B0E300F"/>
    <w:rsid w:val="3B2E772E"/>
    <w:rsid w:val="3C1A62D3"/>
    <w:rsid w:val="3C282228"/>
    <w:rsid w:val="3C4B84FA"/>
    <w:rsid w:val="3CA0A13C"/>
    <w:rsid w:val="3CAE2F7E"/>
    <w:rsid w:val="3CBF4F58"/>
    <w:rsid w:val="3CF8AB6E"/>
    <w:rsid w:val="3D5B2C7D"/>
    <w:rsid w:val="3DA338B8"/>
    <w:rsid w:val="3DFA8408"/>
    <w:rsid w:val="3E2B0C10"/>
    <w:rsid w:val="3E5682E3"/>
    <w:rsid w:val="3EF23D53"/>
    <w:rsid w:val="3F42AD52"/>
    <w:rsid w:val="3F6289DC"/>
    <w:rsid w:val="3F63BDFA"/>
    <w:rsid w:val="3F8B95B9"/>
    <w:rsid w:val="3F8F9037"/>
    <w:rsid w:val="3FADCC5C"/>
    <w:rsid w:val="40268C65"/>
    <w:rsid w:val="40BA6B1B"/>
    <w:rsid w:val="40EF25AC"/>
    <w:rsid w:val="417B96E8"/>
    <w:rsid w:val="41E75934"/>
    <w:rsid w:val="4214A1AA"/>
    <w:rsid w:val="4218714D"/>
    <w:rsid w:val="4245AE00"/>
    <w:rsid w:val="4298CED4"/>
    <w:rsid w:val="42A3418C"/>
    <w:rsid w:val="42A97265"/>
    <w:rsid w:val="433AAB9B"/>
    <w:rsid w:val="433ADBC5"/>
    <w:rsid w:val="4378E226"/>
    <w:rsid w:val="443BFAFA"/>
    <w:rsid w:val="44568543"/>
    <w:rsid w:val="4475A336"/>
    <w:rsid w:val="447AFD7D"/>
    <w:rsid w:val="44883B63"/>
    <w:rsid w:val="45205A98"/>
    <w:rsid w:val="458BEFA5"/>
    <w:rsid w:val="459617A2"/>
    <w:rsid w:val="4612B63F"/>
    <w:rsid w:val="463872AD"/>
    <w:rsid w:val="4666449A"/>
    <w:rsid w:val="46B504AC"/>
    <w:rsid w:val="46FA14C6"/>
    <w:rsid w:val="471297E4"/>
    <w:rsid w:val="472B37EF"/>
    <w:rsid w:val="474CB135"/>
    <w:rsid w:val="475A6A58"/>
    <w:rsid w:val="478A797D"/>
    <w:rsid w:val="479DF713"/>
    <w:rsid w:val="47A2D192"/>
    <w:rsid w:val="47AEF626"/>
    <w:rsid w:val="47CC3427"/>
    <w:rsid w:val="48275F29"/>
    <w:rsid w:val="488BFC5F"/>
    <w:rsid w:val="48A5411F"/>
    <w:rsid w:val="48E4B187"/>
    <w:rsid w:val="4992FE0D"/>
    <w:rsid w:val="49C0DE9E"/>
    <w:rsid w:val="4A0BA9B8"/>
    <w:rsid w:val="4A452CC4"/>
    <w:rsid w:val="4AAD52A5"/>
    <w:rsid w:val="4AC1EE77"/>
    <w:rsid w:val="4ACB2D16"/>
    <w:rsid w:val="4AF53080"/>
    <w:rsid w:val="4AFA5F48"/>
    <w:rsid w:val="4B1982DE"/>
    <w:rsid w:val="4BB7558D"/>
    <w:rsid w:val="4BF3B639"/>
    <w:rsid w:val="4C1ADCA9"/>
    <w:rsid w:val="4C5FA021"/>
    <w:rsid w:val="4CC35651"/>
    <w:rsid w:val="4D19D364"/>
    <w:rsid w:val="4D3A7638"/>
    <w:rsid w:val="4D578C53"/>
    <w:rsid w:val="4DACCD37"/>
    <w:rsid w:val="4DB8AB68"/>
    <w:rsid w:val="4DDE51FA"/>
    <w:rsid w:val="4E2C00E3"/>
    <w:rsid w:val="4E8C7244"/>
    <w:rsid w:val="4EB86FD7"/>
    <w:rsid w:val="4ED62AF0"/>
    <w:rsid w:val="4FB18198"/>
    <w:rsid w:val="4FED9431"/>
    <w:rsid w:val="50465D52"/>
    <w:rsid w:val="50918248"/>
    <w:rsid w:val="509F8C29"/>
    <w:rsid w:val="50C20DD1"/>
    <w:rsid w:val="50E71818"/>
    <w:rsid w:val="5146AE86"/>
    <w:rsid w:val="515ECF16"/>
    <w:rsid w:val="51F28D55"/>
    <w:rsid w:val="51F601AD"/>
    <w:rsid w:val="5268B0D2"/>
    <w:rsid w:val="527282DC"/>
    <w:rsid w:val="5278545E"/>
    <w:rsid w:val="5287AF4B"/>
    <w:rsid w:val="5325064D"/>
    <w:rsid w:val="5368C401"/>
    <w:rsid w:val="5395F202"/>
    <w:rsid w:val="53D5284F"/>
    <w:rsid w:val="53F18BE5"/>
    <w:rsid w:val="541DA9AA"/>
    <w:rsid w:val="545B715A"/>
    <w:rsid w:val="545D8BF0"/>
    <w:rsid w:val="54B4CFEC"/>
    <w:rsid w:val="54D550ED"/>
    <w:rsid w:val="54F6B2F7"/>
    <w:rsid w:val="54FE62AA"/>
    <w:rsid w:val="55591A83"/>
    <w:rsid w:val="555E202B"/>
    <w:rsid w:val="556149BE"/>
    <w:rsid w:val="55765F78"/>
    <w:rsid w:val="55A549F1"/>
    <w:rsid w:val="55AD0CE2"/>
    <w:rsid w:val="561AACD1"/>
    <w:rsid w:val="563F862C"/>
    <w:rsid w:val="5648A172"/>
    <w:rsid w:val="566AD4A0"/>
    <w:rsid w:val="5749AEF6"/>
    <w:rsid w:val="5762117E"/>
    <w:rsid w:val="57C8696E"/>
    <w:rsid w:val="5868AAB2"/>
    <w:rsid w:val="58949D8C"/>
    <w:rsid w:val="5908E0F5"/>
    <w:rsid w:val="5A3EE8B7"/>
    <w:rsid w:val="5A8CA042"/>
    <w:rsid w:val="5AB358EB"/>
    <w:rsid w:val="5AC8A7F5"/>
    <w:rsid w:val="5AF10460"/>
    <w:rsid w:val="5B78CEF0"/>
    <w:rsid w:val="5C1C5DBA"/>
    <w:rsid w:val="5C34AAD2"/>
    <w:rsid w:val="5C3B27C1"/>
    <w:rsid w:val="5C43BE59"/>
    <w:rsid w:val="5C823117"/>
    <w:rsid w:val="5CAA7BEF"/>
    <w:rsid w:val="5CCD0964"/>
    <w:rsid w:val="5CEBE311"/>
    <w:rsid w:val="5CF13D78"/>
    <w:rsid w:val="5D7A3D12"/>
    <w:rsid w:val="5D919A7E"/>
    <w:rsid w:val="5DD7A637"/>
    <w:rsid w:val="5DEC3BCA"/>
    <w:rsid w:val="5E00FAC0"/>
    <w:rsid w:val="5E12EE2C"/>
    <w:rsid w:val="5EED4886"/>
    <w:rsid w:val="5FC21F6A"/>
    <w:rsid w:val="5FED3C7A"/>
    <w:rsid w:val="601CC192"/>
    <w:rsid w:val="607D6800"/>
    <w:rsid w:val="608FF853"/>
    <w:rsid w:val="60B00E94"/>
    <w:rsid w:val="60C41E14"/>
    <w:rsid w:val="60E14EC5"/>
    <w:rsid w:val="60EF1116"/>
    <w:rsid w:val="60F67D80"/>
    <w:rsid w:val="60FE9EB6"/>
    <w:rsid w:val="61D9DAED"/>
    <w:rsid w:val="625DA86A"/>
    <w:rsid w:val="6272C794"/>
    <w:rsid w:val="6296D5B9"/>
    <w:rsid w:val="62F85E32"/>
    <w:rsid w:val="63292CE1"/>
    <w:rsid w:val="633C7F7D"/>
    <w:rsid w:val="638D5694"/>
    <w:rsid w:val="63C61B62"/>
    <w:rsid w:val="64517336"/>
    <w:rsid w:val="64791008"/>
    <w:rsid w:val="657942C6"/>
    <w:rsid w:val="65D7FD5C"/>
    <w:rsid w:val="6711D0D0"/>
    <w:rsid w:val="67C7D618"/>
    <w:rsid w:val="67E87E57"/>
    <w:rsid w:val="6817AEF8"/>
    <w:rsid w:val="68D37F3A"/>
    <w:rsid w:val="6908DD51"/>
    <w:rsid w:val="6917266F"/>
    <w:rsid w:val="697A58AA"/>
    <w:rsid w:val="6988E4A6"/>
    <w:rsid w:val="69B11CDA"/>
    <w:rsid w:val="69C30B0D"/>
    <w:rsid w:val="69E17784"/>
    <w:rsid w:val="6A2A469F"/>
    <w:rsid w:val="6A8597A5"/>
    <w:rsid w:val="6AB8F1B4"/>
    <w:rsid w:val="6ABF409E"/>
    <w:rsid w:val="6AC57671"/>
    <w:rsid w:val="6B22B1B3"/>
    <w:rsid w:val="6B66A7E1"/>
    <w:rsid w:val="6B67EE58"/>
    <w:rsid w:val="6B824D38"/>
    <w:rsid w:val="6BCB52E1"/>
    <w:rsid w:val="6C3D6F2C"/>
    <w:rsid w:val="6D1F57C1"/>
    <w:rsid w:val="6D3355E7"/>
    <w:rsid w:val="6D8CAA34"/>
    <w:rsid w:val="6E8A084B"/>
    <w:rsid w:val="6EB51489"/>
    <w:rsid w:val="6EDB7655"/>
    <w:rsid w:val="6EE3A746"/>
    <w:rsid w:val="6F20807E"/>
    <w:rsid w:val="6F2EAF85"/>
    <w:rsid w:val="6F458732"/>
    <w:rsid w:val="6F5885CE"/>
    <w:rsid w:val="6F82B0AA"/>
    <w:rsid w:val="7005E72B"/>
    <w:rsid w:val="703829CD"/>
    <w:rsid w:val="709F85AD"/>
    <w:rsid w:val="70F6D985"/>
    <w:rsid w:val="713B2AEA"/>
    <w:rsid w:val="71998FD4"/>
    <w:rsid w:val="71EEED01"/>
    <w:rsid w:val="71F59F75"/>
    <w:rsid w:val="72082CA6"/>
    <w:rsid w:val="722B9CDA"/>
    <w:rsid w:val="723C2858"/>
    <w:rsid w:val="724AA73E"/>
    <w:rsid w:val="72AB873C"/>
    <w:rsid w:val="72C5BCE9"/>
    <w:rsid w:val="72FACA63"/>
    <w:rsid w:val="738A803A"/>
    <w:rsid w:val="738BC578"/>
    <w:rsid w:val="73A14FCA"/>
    <w:rsid w:val="73A40919"/>
    <w:rsid w:val="74637357"/>
    <w:rsid w:val="747D9722"/>
    <w:rsid w:val="74D7B3B8"/>
    <w:rsid w:val="75100EDC"/>
    <w:rsid w:val="75945716"/>
    <w:rsid w:val="75A9FE46"/>
    <w:rsid w:val="75AC6374"/>
    <w:rsid w:val="75CEEAF4"/>
    <w:rsid w:val="766E7FD1"/>
    <w:rsid w:val="767064A9"/>
    <w:rsid w:val="76836656"/>
    <w:rsid w:val="76B8A01F"/>
    <w:rsid w:val="76CE3B85"/>
    <w:rsid w:val="76D17239"/>
    <w:rsid w:val="76F810F0"/>
    <w:rsid w:val="772ED3DF"/>
    <w:rsid w:val="774D74FB"/>
    <w:rsid w:val="774E388B"/>
    <w:rsid w:val="77E59479"/>
    <w:rsid w:val="780A8530"/>
    <w:rsid w:val="78DA2C90"/>
    <w:rsid w:val="78E16384"/>
    <w:rsid w:val="78F114E4"/>
    <w:rsid w:val="78FC0C4C"/>
    <w:rsid w:val="7908593E"/>
    <w:rsid w:val="79709C71"/>
    <w:rsid w:val="7A59A56D"/>
    <w:rsid w:val="7A6EC738"/>
    <w:rsid w:val="7AABFA9D"/>
    <w:rsid w:val="7ACDA397"/>
    <w:rsid w:val="7B98BD34"/>
    <w:rsid w:val="7BCE415B"/>
    <w:rsid w:val="7BED18B5"/>
    <w:rsid w:val="7C1A5AC5"/>
    <w:rsid w:val="7C1FDF37"/>
    <w:rsid w:val="7C2BD7AF"/>
    <w:rsid w:val="7C2F5C07"/>
    <w:rsid w:val="7D0D3874"/>
    <w:rsid w:val="7D210A03"/>
    <w:rsid w:val="7D7D19D5"/>
    <w:rsid w:val="7D8E9A32"/>
    <w:rsid w:val="7DE13A6A"/>
    <w:rsid w:val="7E426611"/>
    <w:rsid w:val="7E86930E"/>
    <w:rsid w:val="7EC776A2"/>
    <w:rsid w:val="7EE552A7"/>
    <w:rsid w:val="7F0D0EEB"/>
    <w:rsid w:val="7F1358F0"/>
    <w:rsid w:val="7F33129D"/>
    <w:rsid w:val="7F955114"/>
    <w:rsid w:val="7FAFAF1F"/>
    <w:rsid w:val="7FF3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FC7E06"/>
  <w15:docId w15:val="{BE66CAD9-8B99-4A4F-9573-E41E2391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uiPriority w:val="99"/>
    <w:unhideWhenUsed/>
    <w:rsid w:val="6B22B1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9D5B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30FAB"/>
  </w:style>
  <w:style w:type="paragraph" w:styleId="Rodap">
    <w:name w:val="footer"/>
    <w:basedOn w:val="Normal"/>
    <w:link w:val="RodapChar"/>
    <w:uiPriority w:val="99"/>
    <w:semiHidden/>
    <w:unhideWhenUsed/>
    <w:rsid w:val="009D5B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30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1.globo.com/" TargetMode="Externa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g1.globo.com/economia/agronegocios/noticia/2025/12/16/brasil-supera-eua-e-se-torna-maior-produtor-de-carne-bovina-do-mundo.ghtml" TargetMode="External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hyperlink" Target="https://www.editoracientifica.com.br/books/ciencias-agrarias-inovacoes-sustentabilidade-e-desafios-para-o-seculo-xxi" TargetMode="External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1143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Ynara Heloisa</cp:lastModifiedBy>
  <cp:revision>2</cp:revision>
  <dcterms:created xsi:type="dcterms:W3CDTF">2026-05-09T01:47:00Z</dcterms:created>
  <dcterms:modified xsi:type="dcterms:W3CDTF">2026-05-09T01:47:00Z</dcterms:modified>
</cp:coreProperties>
</file>