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96" w:line="259" w:lineRule="auto"/>
        <w:ind w:left="0" w:right="12" w:firstLine="0"/>
        <w:jc w:val="center"/>
        <w:rPr/>
      </w:pPr>
      <w:r w:rsidDel="00000000" w:rsidR="00000000" w:rsidRPr="00000000">
        <w:rPr>
          <w:rtl w:val="0"/>
        </w:rPr>
        <w:t xml:space="preserve">PRINCIPAIS CAUSAS DE CONDENAÇÃO TOTAL DE CARCAÇAS BOVINAS NA BAHIA EM 2025</w:t>
      </w:r>
    </w:p>
    <w:p w:rsidR="00000000" w:rsidDel="00000000" w:rsidP="00000000" w:rsidRDefault="00000000" w:rsidRPr="00000000" w14:paraId="00000002">
      <w:pPr>
        <w:spacing w:before="159" w:line="268" w:lineRule="auto"/>
        <w:ind w:left="0" w:right="12" w:firstLine="0"/>
        <w:jc w:val="center"/>
        <w:rPr>
          <w:sz w:val="24"/>
          <w:szCs w:val="24"/>
        </w:rPr>
      </w:pPr>
      <w:r w:rsidDel="00000000" w:rsidR="00000000" w:rsidRPr="00000000">
        <w:rPr>
          <w:sz w:val="24"/>
          <w:szCs w:val="24"/>
          <w:rtl w:val="0"/>
        </w:rPr>
        <w:t xml:space="preserve">Kaéllyda Marques </w:t>
      </w:r>
      <w:r w:rsidDel="00000000" w:rsidR="00000000" w:rsidRPr="00000000">
        <w:rPr>
          <w:b w:val="1"/>
          <w:bCs w:val="1"/>
          <w:sz w:val="24"/>
          <w:szCs w:val="24"/>
          <w:rtl w:val="0"/>
        </w:rPr>
        <w:t xml:space="preserve">LOPES ¹</w:t>
      </w:r>
      <w:r w:rsidDel="00000000" w:rsidR="00000000" w:rsidRPr="00000000">
        <w:rPr>
          <w:sz w:val="24"/>
          <w:szCs w:val="24"/>
          <w:rtl w:val="0"/>
        </w:rPr>
        <w:t xml:space="preserve">; Bhyanca Batista </w:t>
      </w:r>
      <w:r w:rsidDel="00000000" w:rsidR="00000000" w:rsidRPr="00000000">
        <w:rPr>
          <w:b w:val="1"/>
          <w:bCs w:val="1"/>
          <w:sz w:val="24"/>
          <w:szCs w:val="24"/>
          <w:rtl w:val="0"/>
        </w:rPr>
        <w:t xml:space="preserve">TRIGUEIRO ¹; </w:t>
      </w:r>
      <w:r w:rsidDel="00000000" w:rsidR="00000000" w:rsidRPr="00000000">
        <w:rPr>
          <w:sz w:val="24"/>
          <w:szCs w:val="24"/>
          <w:rtl w:val="0"/>
        </w:rPr>
        <w:t xml:space="preserve">Maria Aparecida Sousa de</w:t>
      </w:r>
    </w:p>
    <w:p w:rsidR="00000000" w:rsidDel="00000000" w:rsidP="00000000" w:rsidRDefault="00000000" w:rsidRPr="00000000" w14:paraId="00000003">
      <w:pPr>
        <w:spacing w:before="16" w:line="216" w:lineRule="auto"/>
        <w:ind w:left="0" w:right="13" w:firstLine="0"/>
        <w:jc w:val="center"/>
        <w:rPr>
          <w:rFonts w:ascii="SimSun-ExtB" w:cs="SimSun-ExtB" w:eastAsia="SimSun-ExtB" w:hAnsi="SimSun-ExtB"/>
          <w:sz w:val="24"/>
          <w:szCs w:val="24"/>
        </w:rPr>
      </w:pPr>
      <w:r w:rsidDel="00000000" w:rsidR="00000000" w:rsidRPr="00000000">
        <w:rPr>
          <w:b w:val="1"/>
          <w:bCs w:val="1"/>
          <w:sz w:val="24"/>
          <w:szCs w:val="24"/>
          <w:rtl w:val="0"/>
        </w:rPr>
        <w:t xml:space="preserve">OLIVEIRA ¹</w:t>
      </w:r>
      <w:r w:rsidDel="00000000" w:rsidR="00000000" w:rsidRPr="00000000">
        <w:rPr>
          <w:sz w:val="24"/>
          <w:szCs w:val="24"/>
          <w:rtl w:val="0"/>
        </w:rPr>
        <w:t xml:space="preserve">; Maurício dos Anjos </w:t>
      </w:r>
      <w:r w:rsidDel="00000000" w:rsidR="00000000" w:rsidRPr="00000000">
        <w:rPr>
          <w:b w:val="1"/>
          <w:bCs w:val="1"/>
          <w:sz w:val="24"/>
          <w:szCs w:val="24"/>
          <w:rtl w:val="0"/>
        </w:rPr>
        <w:t xml:space="preserve">ALVES </w:t>
      </w:r>
      <w:r w:rsidDel="00000000" w:rsidR="00000000" w:rsidRPr="00000000">
        <w:rPr>
          <w:sz w:val="24"/>
          <w:szCs w:val="24"/>
          <w:rtl w:val="0"/>
        </w:rPr>
        <w:t xml:space="preserve">³; Thayanne Marques de </w:t>
      </w:r>
      <w:r w:rsidDel="00000000" w:rsidR="00000000" w:rsidRPr="00000000">
        <w:rPr>
          <w:b w:val="1"/>
          <w:bCs w:val="1"/>
          <w:sz w:val="24"/>
          <w:szCs w:val="24"/>
          <w:rtl w:val="0"/>
        </w:rPr>
        <w:t xml:space="preserve">ARAÚJO</w:t>
      </w:r>
      <w:r w:rsidDel="00000000" w:rsidR="00000000" w:rsidRPr="00000000">
        <w:rPr>
          <w:rFonts w:ascii="SimSun-ExtB" w:cs="SimSun-ExtB" w:eastAsia="SimSun-ExtB" w:hAnsi="SimSun-ExtB"/>
          <w:sz w:val="24"/>
          <w:szCs w:val="24"/>
          <w:rtl w:val="0"/>
        </w:rPr>
        <w:t xml:space="preserve">⁴ </w:t>
      </w:r>
      <w:r w:rsidDel="00000000" w:rsidR="00000000" w:rsidRPr="00000000">
        <w:rPr>
          <w:sz w:val="24"/>
          <w:szCs w:val="24"/>
          <w:rtl w:val="0"/>
        </w:rPr>
        <w:t xml:space="preserve">; Thais Ferreira </w:t>
      </w:r>
      <w:r w:rsidDel="00000000" w:rsidR="00000000" w:rsidRPr="00000000">
        <w:rPr>
          <w:b w:val="1"/>
          <w:bCs w:val="1"/>
          <w:sz w:val="24"/>
          <w:szCs w:val="24"/>
          <w:rtl w:val="0"/>
        </w:rPr>
        <w:t xml:space="preserve">FEITOSA</w:t>
      </w:r>
      <w:r w:rsidDel="00000000" w:rsidR="00000000" w:rsidRPr="00000000">
        <w:rPr>
          <w:rFonts w:ascii="SimSun-ExtB" w:cs="SimSun-ExtB" w:eastAsia="SimSun-ExtB" w:hAnsi="SimSun-ExtB"/>
          <w:sz w:val="24"/>
          <w:szCs w:val="24"/>
          <w:rtl w:val="0"/>
        </w:rPr>
        <w:t xml:space="preserve">⁵</w:t>
      </w:r>
    </w:p>
    <w:p w:rsidR="00000000" w:rsidDel="00000000" w:rsidP="00000000" w:rsidRDefault="00000000" w:rsidRPr="00000000" w14:paraId="00000004">
      <w:pPr>
        <w:spacing w:before="151" w:lineRule="auto"/>
        <w:ind w:left="1" w:right="0" w:firstLine="0"/>
        <w:jc w:val="left"/>
        <w:rPr>
          <w:sz w:val="20"/>
          <w:szCs w:val="20"/>
        </w:rPr>
      </w:pPr>
      <w:r w:rsidDel="00000000" w:rsidR="00000000" w:rsidRPr="00000000">
        <w:rPr>
          <w:sz w:val="20"/>
          <w:szCs w:val="20"/>
          <w:vertAlign w:val="superscript"/>
          <w:rtl w:val="0"/>
        </w:rPr>
        <w:t xml:space="preserve">1</w:t>
      </w:r>
      <w:r w:rsidDel="00000000" w:rsidR="00000000" w:rsidRPr="00000000">
        <w:rPr>
          <w:sz w:val="20"/>
          <w:szCs w:val="20"/>
          <w:vertAlign w:val="baseline"/>
          <w:rtl w:val="0"/>
        </w:rPr>
        <w:t xml:space="preserve"> Graduanda em medicina veterinária pelo Instituto Federal da Paraíba E-mail: </w:t>
      </w:r>
      <w:hyperlink r:id="rId6">
        <w:r w:rsidDel="00000000" w:rsidR="00000000" w:rsidRPr="00000000">
          <w:rPr>
            <w:color w:val="1154cc"/>
            <w:sz w:val="20"/>
            <w:szCs w:val="20"/>
            <w:u w:val="single"/>
            <w:vertAlign w:val="baseline"/>
            <w:rtl w:val="0"/>
          </w:rPr>
          <w:t xml:space="preserve">kaellyda.marques@academico.ifpb.edu.br</w:t>
        </w:r>
      </w:hyperlink>
      <w:r w:rsidDel="00000000" w:rsidR="00000000" w:rsidRPr="00000000">
        <w:rPr>
          <w:rtl w:val="0"/>
        </w:rPr>
      </w:r>
    </w:p>
    <w:p w:rsidR="00000000" w:rsidDel="00000000" w:rsidP="00000000" w:rsidRDefault="00000000" w:rsidRPr="00000000" w14:paraId="00000005">
      <w:pPr>
        <w:spacing w:before="0" w:lineRule="auto"/>
        <w:ind w:left="1" w:right="0" w:firstLine="0"/>
        <w:jc w:val="left"/>
        <w:rPr>
          <w:sz w:val="20"/>
          <w:szCs w:val="20"/>
        </w:rPr>
      </w:pPr>
      <w:r w:rsidDel="00000000" w:rsidR="00000000" w:rsidRPr="00000000">
        <w:rPr>
          <w:sz w:val="20"/>
          <w:szCs w:val="20"/>
          <w:vertAlign w:val="superscript"/>
          <w:rtl w:val="0"/>
        </w:rPr>
        <w:t xml:space="preserve">2</w:t>
      </w:r>
      <w:r w:rsidDel="00000000" w:rsidR="00000000" w:rsidRPr="00000000">
        <w:rPr>
          <w:sz w:val="20"/>
          <w:szCs w:val="20"/>
          <w:vertAlign w:val="baseline"/>
          <w:rtl w:val="0"/>
        </w:rPr>
        <w:t xml:space="preserve"> Médica veterinária pela Universidade Federal de Campina Grande</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 w:line="259" w:lineRule="auto"/>
        <w:ind w:left="1" w:right="13"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Resumo: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Este estudo teve como objetivo identificar as principais causas de condenação total de carcaças bovinas na Bahia em 2025, utilizando dados do SIGSIF (Sistema de Informações Gerenciais do Serviço de Inspeção Federal). Trata-se de uma pesquisa quantitativa e descritiva com dados de bovinos abatidos no período de janeiro a dezembro de 2025. Foram registradas 148 carcaças condenadas na JBS S/A, com 11 causas distintas. Destacaram-se as lesões tuberculosas (76 casos), seguidas por septicemia (25) e lesões traumáticas (13). As doenças infecciosas representaram cerca de 68,2% das condenações, com maior ocorrência de lesões tuberculosas entre julho e outubro. Fatores relacionados ao manejo, como estresse e lesões traumáticas, também contribuíram para as condenações. A presença de cisticercose, ainda que discreta, reforça a persistência desta zoonose. Conclui-se que as condenações são majoritariamente de origem infecciosa, associadas também a falhas no manejo, evidenciando a necessidade de melhorias sanitárias e produtivas.</w:t>
      </w:r>
    </w:p>
    <w:p w:rsidR="00000000" w:rsidDel="00000000" w:rsidP="00000000" w:rsidRDefault="00000000" w:rsidRPr="00000000" w14:paraId="00000007">
      <w:pPr>
        <w:spacing w:before="157" w:lineRule="auto"/>
        <w:ind w:left="1" w:right="0" w:firstLine="0"/>
        <w:jc w:val="left"/>
        <w:rPr>
          <w:b w:val="1"/>
          <w:bCs w:val="1"/>
          <w:sz w:val="22"/>
          <w:szCs w:val="22"/>
        </w:rPr>
      </w:pPr>
      <w:r w:rsidDel="00000000" w:rsidR="00000000" w:rsidRPr="00000000">
        <w:rPr>
          <w:b w:val="1"/>
          <w:bCs w:val="1"/>
          <w:color w:val="000009"/>
          <w:sz w:val="24"/>
          <w:szCs w:val="24"/>
          <w:rtl w:val="0"/>
        </w:rPr>
        <w:t xml:space="preserve">Palavras-chave</w:t>
      </w:r>
      <w:r w:rsidDel="00000000" w:rsidR="00000000" w:rsidRPr="00000000">
        <w:rPr>
          <w:b w:val="1"/>
          <w:bCs w:val="1"/>
          <w:color w:val="000009"/>
          <w:sz w:val="22"/>
          <w:szCs w:val="22"/>
          <w:rtl w:val="0"/>
        </w:rPr>
        <w:t xml:space="preserve">:</w:t>
      </w:r>
      <w:r w:rsidDel="00000000" w:rsidR="00000000" w:rsidRPr="00000000">
        <w:rPr>
          <w:rtl w:val="0"/>
        </w:rPr>
      </w:r>
    </w:p>
    <w:p w:rsidR="00000000" w:rsidDel="00000000" w:rsidP="00000000" w:rsidRDefault="00000000" w:rsidRPr="00000000" w14:paraId="00000008">
      <w:pPr>
        <w:spacing w:before="182" w:lineRule="auto"/>
        <w:ind w:left="1" w:right="0" w:firstLine="0"/>
        <w:jc w:val="left"/>
        <w:rPr>
          <w:sz w:val="22"/>
          <w:szCs w:val="22"/>
        </w:rPr>
      </w:pPr>
      <w:r w:rsidDel="00000000" w:rsidR="00000000" w:rsidRPr="00000000">
        <w:rPr>
          <w:rtl w:val="0"/>
        </w:rPr>
        <w:t xml:space="preserve">Bovinos; </w:t>
      </w:r>
      <w:r w:rsidDel="00000000" w:rsidR="00000000" w:rsidRPr="00000000">
        <w:rPr>
          <w:sz w:val="22"/>
          <w:szCs w:val="22"/>
          <w:rtl w:val="0"/>
        </w:rPr>
        <w:t xml:space="preserve">Condenação de carcaças; Inspeção sanitária; Tuberculose bovina; Saúde pública</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 w:right="16"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headerReference r:id="rId7" w:type="default"/>
          <w:footerReference r:id="rId8" w:type="default"/>
          <w:pgSz w:h="16840" w:w="11920" w:orient="portrait"/>
          <w:pgMar w:bottom="1180" w:top="2580" w:left="1417" w:right="1417" w:header="63" w:footer="992"/>
          <w:pgNumType w:start="1"/>
        </w:sect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INTRODUÇÃO: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inspeção sanitária de produtos de origem animal, como carcaças e órgãos bovinos, desempenha um papel crucial na garantia da saúde pública. Essa prática tem raízes históricas, desenvolvidas para prevenir a transmissão de doenças zoonóticas, como a tuberculose bovina e a brucelose, para os seres humanos (ABREU et al., 2020). No cenário nacional, a Bahia destaca-se como um dos principais estados da região Nordeste em relação à produção pecuária, possuindo um expressivo rebanho bovino. Em 2025, o estado registrou um elevado número de abates, reforçando sua importância na cadeia produtiva de carne bovina no</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Brasil (IBGE, 2026; BRASIL, 2026). A condenação de carcaças e órgãos de bovinos é um tema de relevância crescente, dado o impacto direto sobre a saúde pública e os prejuízos econômicos associados. Estudos recentes evidenciam que as causas de condenações variam de acordo com fatores regionais, condições de manejo, padrões sanitários e prevalência de doenças em diferentes contextos. A tuberculose bovina, causada por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Mycobacterium bovis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é frequentemente citada como uma das principais causas de condenação de carcaças, (OLIVEIRA et al., 2018</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Esse agente patogênico tem impacto direto na saúde pública, especialmente pela possibilidade de transmissão zoonótica. Este trabalho tem como objetivo relatar as principais causas de condenação total de carcaças de bovinos abatidos no matadouro da JBS S/A, Bahia, no ano de 2025.</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1" w:right="1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MATERIAL E MÉTODOS: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Este é um estudo quantitativo transversal realizado com dados secundários, oriundos do SIGSIF. Para seleção dos dados, foram escolhidas as seguintes variáveis epidemiológicas: espécie: bovina; Unidade Federativa da Bahia; ano de 2025; parte animal: carcaça. A análise dos dados foi realizada por meio do cálculo de frequência/proporção, obtidas pela razão entre o número de casos da doença e a população total, multiplicada por uma base populacional. Como população de referência, utilizou-se o total de bovinos abatidos no ano de 2025, conforme dados do SIGSIF. Após a determinação das taxas epidemiológicas, procedeu-se à análise descritiva simples, com o objetivo de identificar os frigoríficos e as enfermidades que apresentaram maior frequência de ocorrência no período avaliado.</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 w:right="13" w:hanging="7"/>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RESULTADOS E DISCUSSÃO: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Encontrou-se, para a JBS S/A, um total de 148 carcaças bovinas condenadas no ano de 2025, no estado da Bahia, distribuídas ao longo de todos os meses do período. Foram identificadas 11 causas distintas de condenação total de carcaças bovinas. Em ordem decrescente de ocorrência, destacaram-se: lesões tuberculosas, com 76/148 casos (51,4%), septicemia, com 25/148 casos (16,9%), lesão traumática, com 13/148 casos (8,8%), estresse/fadiga, com 11/148 casos (7,4%), lesão inflamatória e cisticercose bovina, ambas com 6/148 casos (4,1%), neoplasia e aspecto repugnante, com 3/148 casos cada (2,0%), falha tecnológica e morte no pré-abate, com 2/148 casos cada (1,4%), e abscesso, com 1/148 caso (0,7%). As principais causas de condenação foram lesões tuberculosas, seguidas por septicemia e lesões traumáticas, evidenciando a predominância de doenças de caráter infectocontagioso. As lesões tuberculosas ocorreram de forma recorrente ao longo do ano, com maior concentração nos meses de julho, agosto e outubro. (FIGURA 1)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Figura 1 : Distribuição mensal das principais causas de condenação- JBS S/A (Bahia, 2025)</w:t>
      </w:r>
      <w:r w:rsidDel="00000000" w:rsidR="00000000" w:rsidRPr="00000000">
        <w:drawing>
          <wp:anchor allowOverlap="1" behindDoc="0" distB="0" distT="0" distL="0" distR="0" hidden="0" layoutInCell="1" locked="0" relativeHeight="0" simplePos="0">
            <wp:simplePos x="0" y="0"/>
            <wp:positionH relativeFrom="column">
              <wp:posOffset>1218091</wp:posOffset>
            </wp:positionH>
            <wp:positionV relativeFrom="paragraph">
              <wp:posOffset>2605627</wp:posOffset>
            </wp:positionV>
            <wp:extent cx="3341988" cy="2440305"/>
            <wp:effectExtent b="0" l="0" r="0" t="0"/>
            <wp:wrapTopAndBottom distB="0" distT="0"/>
            <wp:docPr id="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3341988" cy="2440305"/>
                    </a:xfrm>
                    <a:prstGeom prst="rect"/>
                    <a:ln/>
                  </pic:spPr>
                </pic:pic>
              </a:graphicData>
            </a:graphic>
          </wp:anchor>
        </w:drawing>
      </w:r>
    </w:p>
    <w:p w:rsidR="00000000" w:rsidDel="00000000" w:rsidP="00000000" w:rsidRDefault="00000000" w:rsidRPr="00000000" w14:paraId="0000000E">
      <w:pPr>
        <w:spacing w:before="180" w:lineRule="auto"/>
        <w:ind w:left="0" w:right="12" w:firstLine="0"/>
        <w:jc w:val="center"/>
        <w:rPr>
          <w:sz w:val="20"/>
          <w:szCs w:val="20"/>
        </w:rPr>
        <w:sectPr>
          <w:type w:val="nextPage"/>
          <w:pgSz w:h="16840" w:w="11920" w:orient="portrait"/>
          <w:pgMar w:bottom="1180" w:top="2580" w:left="1417" w:right="1417" w:header="63" w:footer="992"/>
        </w:sectPr>
      </w:pPr>
      <w:r w:rsidDel="00000000" w:rsidR="00000000" w:rsidRPr="00000000">
        <w:rPr>
          <w:sz w:val="20"/>
          <w:szCs w:val="20"/>
          <w:rtl w:val="0"/>
        </w:rPr>
        <w:t xml:space="preserve">Fonte : produção do autor 2026</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1" w:right="1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 doenças infecciosas (lesões tuberculosas e septicemia) corresponderam a aproximadamente 68,2% das condenações, resultado semelhante ao observado em outros estudos no Brasil, que apontam essas enfermidades como principais responsáveis pelas perdas em carcaças bovinas. Além disso, a ocorrência de lesões traumáticas e estresse/fadiga indica falhas no manejo e transporte dos animais, fatores também descritos na literatura como relevantes nas condenações. A presença de cisticercose bovina, ainda que em menor frequência, reforça a persistência de zoonoses associadas a condições sanitárias inadequadas, destacando a importância da inspeção sanitária para a proteção da saúde pública.</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80" w:lineRule="auto"/>
        <w:ind w:left="1" w:right="1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CONCLUSÃO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Conclui-se que as principais causas de condenação total de carcaças bovinas na JBS S/A, no estado da Bahia em 2025, foram de caráter infecto contagioso, com destaque para as lesões tuberculosas e a septicemia. Dessa forma, os resultados reforçam a necessidade de melhorias no controle sanitário dos rebanhos, bem como na qualidade do manejo animal, visando reduzir prejuízos econômicos e minimizar riscos à saúde pública.</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pStyle w:val="Heading1"/>
        <w:ind w:firstLine="1"/>
        <w:jc w:val="both"/>
        <w:rPr/>
      </w:pPr>
      <w:r w:rsidDel="00000000" w:rsidR="00000000" w:rsidRPr="00000000">
        <w:rPr>
          <w:rtl w:val="0"/>
        </w:rPr>
        <w:t xml:space="preserve">REFERÊNCIAS BIBLIOGRÁFICAS:</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360" w:lineRule="auto"/>
        <w:ind w:left="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ABREU, M. L. et al. Percepção dos consumidores de proteína animal sobre o bem-estar dos animais de produção no município de Parauapebas, Pará, Brasil.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Revista de Veterinária e Zootecnia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 28, p. 1–12, 2021. DOI: </w:t>
      </w:r>
      <w:hyperlink r:id="rId10">
        <w:r w:rsidDel="00000000" w:rsidR="00000000" w:rsidRPr="00000000">
          <w:rPr>
            <w:rFonts w:ascii="Times New Roman" w:cs="Times New Roman" w:eastAsia="Times New Roman" w:hAnsi="Times New Roman"/>
            <w:b w:val="0"/>
            <w:bCs w:val="0"/>
            <w:i w:val="0"/>
            <w:iCs w:val="0"/>
            <w:smallCaps w:val="0"/>
            <w:strike w:val="0"/>
            <w:color w:val="1154cc"/>
            <w:sz w:val="24"/>
            <w:szCs w:val="24"/>
            <w:u w:val="single"/>
            <w:shd w:fill="auto" w:val="clear"/>
            <w:vertAlign w:val="baseline"/>
            <w:rtl w:val="0"/>
          </w:rPr>
          <w:t xml:space="preserve">https://doi.org/10.35172/rvz.2021.v28.484</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OLIVEIRA MELO, W. et al. Impacto econômico da ocorrência de lesões em carcaças de</w:t>
      </w:r>
    </w:p>
    <w:p w:rsidR="00000000" w:rsidDel="00000000" w:rsidP="00000000" w:rsidRDefault="00000000" w:rsidRPr="00000000" w14:paraId="00000017">
      <w:pPr>
        <w:spacing w:before="138" w:lineRule="auto"/>
        <w:ind w:left="1" w:right="0" w:firstLine="0"/>
        <w:jc w:val="left"/>
        <w:rPr>
          <w:sz w:val="24"/>
          <w:szCs w:val="24"/>
        </w:rPr>
      </w:pPr>
      <w:r w:rsidDel="00000000" w:rsidR="00000000" w:rsidRPr="00000000">
        <w:rPr>
          <w:sz w:val="24"/>
          <w:szCs w:val="24"/>
          <w:rtl w:val="0"/>
        </w:rPr>
        <w:t xml:space="preserve">bovinos abatidos no sudeste do Pará. </w:t>
      </w:r>
      <w:r w:rsidDel="00000000" w:rsidR="00000000" w:rsidRPr="00000000">
        <w:rPr>
          <w:b w:val="1"/>
          <w:bCs w:val="1"/>
          <w:sz w:val="24"/>
          <w:szCs w:val="24"/>
          <w:rtl w:val="0"/>
        </w:rPr>
        <w:t xml:space="preserve">Acta Veterinaria Brasilica, </w:t>
      </w:r>
      <w:r w:rsidDel="00000000" w:rsidR="00000000" w:rsidRPr="00000000">
        <w:rPr>
          <w:sz w:val="24"/>
          <w:szCs w:val="24"/>
          <w:rtl w:val="0"/>
        </w:rPr>
        <w:t xml:space="preserve">v. 9, n. 3, p. 243–250, 2015.</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spacing w:before="1" w:lineRule="auto"/>
        <w:ind w:left="1" w:right="0" w:firstLine="0"/>
        <w:jc w:val="left"/>
        <w:rPr>
          <w:b w:val="1"/>
          <w:bCs w:val="1"/>
          <w:sz w:val="24"/>
          <w:szCs w:val="24"/>
        </w:rPr>
      </w:pPr>
      <w:r w:rsidDel="00000000" w:rsidR="00000000" w:rsidRPr="00000000">
        <w:rPr>
          <w:sz w:val="24"/>
          <w:szCs w:val="24"/>
          <w:rtl w:val="0"/>
        </w:rPr>
        <w:t xml:space="preserve">BRASIL. Ministério da Agricultura e Pecuária. SIGSIF – </w:t>
      </w:r>
      <w:r w:rsidDel="00000000" w:rsidR="00000000" w:rsidRPr="00000000">
        <w:rPr>
          <w:b w:val="1"/>
          <w:bCs w:val="1"/>
          <w:sz w:val="24"/>
          <w:szCs w:val="24"/>
          <w:rtl w:val="0"/>
        </w:rPr>
        <w:t xml:space="preserve">Sistema de Informações</w:t>
      </w:r>
    </w:p>
    <w:p w:rsidR="00000000" w:rsidDel="00000000" w:rsidP="00000000" w:rsidRDefault="00000000" w:rsidRPr="00000000" w14:paraId="0000001A">
      <w:pPr>
        <w:spacing w:before="138" w:line="360" w:lineRule="auto"/>
        <w:ind w:left="1" w:right="0" w:firstLine="0"/>
        <w:jc w:val="left"/>
        <w:rPr>
          <w:sz w:val="24"/>
          <w:szCs w:val="24"/>
        </w:rPr>
      </w:pPr>
      <w:r w:rsidDel="00000000" w:rsidR="00000000" w:rsidRPr="00000000">
        <w:rPr>
          <w:b w:val="1"/>
          <w:bCs w:val="1"/>
          <w:sz w:val="24"/>
          <w:szCs w:val="24"/>
          <w:rtl w:val="0"/>
        </w:rPr>
        <w:t xml:space="preserve">Gerenciais do Serviço de Inspeção Federal: relatório de abate por ano. </w:t>
      </w:r>
      <w:r w:rsidDel="00000000" w:rsidR="00000000" w:rsidRPr="00000000">
        <w:rPr>
          <w:sz w:val="24"/>
          <w:szCs w:val="24"/>
          <w:rtl w:val="0"/>
        </w:rPr>
        <w:t xml:space="preserve">Disponível em: </w:t>
      </w:r>
      <w:hyperlink r:id="rId11">
        <w:r w:rsidDel="00000000" w:rsidR="00000000" w:rsidRPr="00000000">
          <w:rPr>
            <w:color w:val="1154cc"/>
            <w:sz w:val="24"/>
            <w:szCs w:val="24"/>
            <w:u w:val="single"/>
            <w:rtl w:val="0"/>
          </w:rPr>
          <w:t xml:space="preserve">https://sistemas.agricultura.gov.br/sigsif/pages/view/sigsif/abateporano/indexAbatePorAno.xh</w:t>
        </w:r>
      </w:hyperlink>
      <w:r w:rsidDel="00000000" w:rsidR="00000000" w:rsidRPr="00000000">
        <w:rPr>
          <w:color w:val="1154cc"/>
          <w:sz w:val="24"/>
          <w:szCs w:val="24"/>
          <w:rtl w:val="0"/>
        </w:rPr>
        <w:t xml:space="preserve"> </w:t>
      </w:r>
      <w:hyperlink r:id="rId12">
        <w:r w:rsidDel="00000000" w:rsidR="00000000" w:rsidRPr="00000000">
          <w:rPr>
            <w:color w:val="1154cc"/>
            <w:sz w:val="24"/>
            <w:szCs w:val="24"/>
            <w:u w:val="single"/>
            <w:rtl w:val="0"/>
          </w:rPr>
          <w:t xml:space="preserve">tml</w:t>
        </w:r>
      </w:hyperlink>
      <w:r w:rsidDel="00000000" w:rsidR="00000000" w:rsidRPr="00000000">
        <w:rPr>
          <w:sz w:val="24"/>
          <w:szCs w:val="24"/>
          <w:rtl w:val="0"/>
        </w:rPr>
        <w:t xml:space="preserve">. Acesso em: 31 mar. 2026.</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1"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IBGE – INSTITUTO BRASILEIRO DE GEOGRAFIA E ESTATÍSTICA.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Produção</w:t>
      </w:r>
    </w:p>
    <w:p w:rsidR="00000000" w:rsidDel="00000000" w:rsidP="00000000" w:rsidRDefault="00000000" w:rsidRPr="00000000" w14:paraId="0000001C">
      <w:pPr>
        <w:spacing w:before="138" w:lineRule="auto"/>
        <w:ind w:left="1" w:right="0" w:firstLine="0"/>
        <w:jc w:val="left"/>
        <w:rPr>
          <w:sz w:val="24"/>
          <w:szCs w:val="24"/>
        </w:rPr>
      </w:pPr>
      <w:r w:rsidDel="00000000" w:rsidR="00000000" w:rsidRPr="00000000">
        <w:rPr>
          <w:b w:val="1"/>
          <w:bCs w:val="1"/>
          <w:sz w:val="24"/>
          <w:szCs w:val="24"/>
          <w:rtl w:val="0"/>
        </w:rPr>
        <w:t xml:space="preserve">agropecuária: bovinos (Bahia). </w:t>
      </w:r>
      <w:r w:rsidDel="00000000" w:rsidR="00000000" w:rsidRPr="00000000">
        <w:rPr>
          <w:sz w:val="24"/>
          <w:szCs w:val="24"/>
          <w:rtl w:val="0"/>
        </w:rPr>
        <w:t xml:space="preserve">Disponível em:</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360" w:lineRule="auto"/>
        <w:ind w:left="1" w:right="60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3">
        <w:r w:rsidDel="00000000" w:rsidR="00000000" w:rsidRPr="00000000">
          <w:rPr>
            <w:rFonts w:ascii="Times New Roman" w:cs="Times New Roman" w:eastAsia="Times New Roman" w:hAnsi="Times New Roman"/>
            <w:b w:val="0"/>
            <w:bCs w:val="0"/>
            <w:i w:val="0"/>
            <w:iCs w:val="0"/>
            <w:smallCaps w:val="0"/>
            <w:strike w:val="0"/>
            <w:color w:val="1154cc"/>
            <w:sz w:val="24"/>
            <w:szCs w:val="24"/>
            <w:u w:val="single"/>
            <w:shd w:fill="auto" w:val="clear"/>
            <w:vertAlign w:val="baseline"/>
            <w:rtl w:val="0"/>
          </w:rPr>
          <w:t xml:space="preserve">https://www.ibge.gov.br/explica/producao-agropecuaria/bovinos/ba</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Acesso em: 31 mar. 2026.</w:t>
      </w:r>
    </w:p>
    <w:sectPr>
      <w:type w:val="nextPage"/>
      <w:pgSz w:h="16840" w:w="11920" w:orient="portrait"/>
      <w:pgMar w:bottom="1180" w:top="2580" w:left="1417" w:right="1417" w:header="63" w:footer="99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SimSun-ExtB"/>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5650919</wp:posOffset>
              </wp:positionH>
              <wp:positionV relativeFrom="paragraph">
                <wp:posOffset>0</wp:posOffset>
              </wp:positionV>
              <wp:extent cx="160020" cy="165100"/>
              <wp:effectExtent b="0" l="0" r="0" t="0"/>
              <wp:wrapNone/>
              <wp:docPr id="1" name=""/>
              <a:graphic>
                <a:graphicData uri="http://schemas.microsoft.com/office/word/2010/wordprocessingShape">
                  <wps:wsp>
                    <wps:cNvSpPr txBox="1"/>
                    <wps:cNvPr id="2" name="Textbox 2"/>
                    <wps:spPr>
                      <a:xfrm>
                        <a:off x="0" y="0"/>
                        <a:ext cx="160020" cy="165100"/>
                      </a:xfrm>
                      <a:prstGeom prst="rect">
                        <a:avLst/>
                      </a:prstGeom>
                    </wps:spPr>
                    <wps:txbx>
                      <w:txbxContent>
                        <w:p w:rsidR="00000000" w:rsidDel="00000000" w:rsidP="00000000" w:rsidRDefault="00000000" w:rsidRPr="00000000">
                          <w:pPr>
                            <w:spacing w:before="0" w:line="244" w:lineRule="exact"/>
                            <w:ind w:left="60" w:right="0" w:firstLine="0"/>
                            <w:jc w:val="left"/>
                            <w:rPr>
                              <w:rFonts w:ascii="Calibri"/>
                              <w:sz w:val="22"/>
                            </w:rPr>
                          </w:pPr>
                          <w:r w:rsidDel="00000000" w:rsidR="00000000" w:rsidRPr="00000000">
                            <w:rPr>
                              <w:rFonts w:ascii="Calibri"/>
                              <w:spacing w:val="-10"/>
                              <w:sz w:val="22"/>
                            </w:rPr>
                            <w:fldChar w:fldCharType="begin"/>
                          </w:r>
                          <w:r w:rsidDel="00000000" w:rsidR="00000000" w:rsidRPr="00000000">
                            <w:rPr>
                              <w:rFonts w:ascii="Calibri"/>
                              <w:spacing w:val="-10"/>
                              <w:sz w:val="22"/>
                            </w:rPr>
                            <w:instrText> PAGE </w:instrText>
                          </w:r>
                          <w:r w:rsidDel="00000000" w:rsidR="00000000" w:rsidRPr="00000000">
                            <w:rPr>
                              <w:rFonts w:ascii="Calibri"/>
                              <w:spacing w:val="-10"/>
                              <w:sz w:val="22"/>
                            </w:rPr>
                            <w:fldChar w:fldCharType="separate"/>
                          </w:r>
                          <w:r w:rsidDel="00000000" w:rsidR="00000000" w:rsidRPr="00000000">
                            <w:rPr>
                              <w:rFonts w:ascii="Calibri"/>
                              <w:spacing w:val="-10"/>
                              <w:sz w:val="22"/>
                            </w:rPr>
                            <w:t>1</w:t>
                          </w:r>
                          <w:r w:rsidDel="00000000" w:rsidR="00000000" w:rsidRPr="00000000">
                            <w:rPr>
                              <w:rFonts w:ascii="Calibri"/>
                              <w:spacing w:val="-10"/>
                              <w:sz w:val="22"/>
                            </w:rPr>
                            <w:fldChar w:fldCharType="end"/>
                          </w:r>
                        </w:p>
                      </w:txbxContent>
                    </wps:txbx>
                    <wps:bodyPr bIns="0" rtlCol="0" lIns="0"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5650919</wp:posOffset>
              </wp:positionH>
              <wp:positionV relativeFrom="paragraph">
                <wp:posOffset>0</wp:posOffset>
              </wp:positionV>
              <wp:extent cx="160020" cy="165100"/>
              <wp:effectExtent b="0" l="0" r="0" t="0"/>
              <wp:wrapNone/>
              <wp:docPr id="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60020" cy="1651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586103</wp:posOffset>
          </wp:positionH>
          <wp:positionV relativeFrom="page">
            <wp:posOffset>40005</wp:posOffset>
          </wp:positionV>
          <wp:extent cx="6429375" cy="1609724"/>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429375" cy="1609724"/>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
    </w:pPr>
    <w:rPr>
      <w:rFonts w:ascii="Times New Roman" w:cs="Times New Roman" w:eastAsia="Times New Roman" w:hAnsi="Times New Roman"/>
      <w:b w:val="1"/>
      <w:bCs w:val="1"/>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sistemas.agricultura.gov.br/sigsif/pages/view/sigsif/abateporano/indexAbatePorAno.xhtml%E2%81%A0" TargetMode="External"/><Relationship Id="rId10" Type="http://schemas.openxmlformats.org/officeDocument/2006/relationships/hyperlink" Target="https://doi.org/10.35172/rvz.2021.v28.484%E2%81%A0" TargetMode="External"/><Relationship Id="rId13" Type="http://schemas.openxmlformats.org/officeDocument/2006/relationships/hyperlink" Target="https://www.ibge.gov.br/explica/producao-agropecuaria/bovinos/ba" TargetMode="External"/><Relationship Id="rId12" Type="http://schemas.openxmlformats.org/officeDocument/2006/relationships/hyperlink" Target="https://sistemas.agricultura.gov.br/sigsif/pages/view/sigsif/abateporano/indexAbatePorAno.xhtml%E2%81%A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hyperlink" Target="mailto:kaellyda.marques@academico.ifpb.edu.br"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