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ACIDOSE RUMINAL EM CAPRINO POR INGESTÃO ACIDENTAL DE PANIFICADO: RELATO DE CASO</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Maria Paula Gomes da </w:t>
      </w:r>
      <w:r w:rsidDel="00000000" w:rsidR="00000000" w:rsidRPr="00000000">
        <w:rPr>
          <w:rFonts w:ascii="Times New Roman" w:cs="Times New Roman" w:eastAsia="Times New Roman" w:hAnsi="Times New Roman"/>
          <w:b w:val="1"/>
          <w:bCs w:val="1"/>
          <w:sz w:val="24"/>
          <w:szCs w:val="24"/>
          <w:rtl w:val="0"/>
        </w:rPr>
        <w:t xml:space="preserve">SILVA¹</w:t>
      </w:r>
      <w:r w:rsidDel="00000000" w:rsidR="00000000" w:rsidRPr="00000000">
        <w:rPr>
          <w:rFonts w:ascii="Times New Roman" w:cs="Times New Roman" w:eastAsia="Times New Roman" w:hAnsi="Times New Roman"/>
          <w:sz w:val="24"/>
          <w:szCs w:val="24"/>
          <w:rtl w:val="0"/>
        </w:rPr>
        <w:t xml:space="preserve">; Ana Clara Adelino </w:t>
      </w:r>
      <w:r w:rsidDel="00000000" w:rsidR="00000000" w:rsidRPr="00000000">
        <w:rPr>
          <w:rFonts w:ascii="Times New Roman" w:cs="Times New Roman" w:eastAsia="Times New Roman" w:hAnsi="Times New Roman"/>
          <w:b w:val="1"/>
          <w:bCs w:val="1"/>
          <w:sz w:val="24"/>
          <w:szCs w:val="24"/>
          <w:rtl w:val="0"/>
        </w:rPr>
        <w:t xml:space="preserve">DANIEL²; </w:t>
      </w:r>
      <w:r w:rsidDel="00000000" w:rsidR="00000000" w:rsidRPr="00000000">
        <w:rPr>
          <w:rFonts w:ascii="Times New Roman" w:cs="Times New Roman" w:eastAsia="Times New Roman" w:hAnsi="Times New Roman"/>
          <w:sz w:val="24"/>
          <w:szCs w:val="24"/>
          <w:rtl w:val="0"/>
        </w:rPr>
        <w:t xml:space="preserve">Maria Janikelly Pinheiro </w:t>
      </w:r>
      <w:r w:rsidDel="00000000" w:rsidR="00000000" w:rsidRPr="00000000">
        <w:rPr>
          <w:rFonts w:ascii="Times New Roman" w:cs="Times New Roman" w:eastAsia="Times New Roman" w:hAnsi="Times New Roman"/>
          <w:b w:val="1"/>
          <w:bCs w:val="1"/>
          <w:sz w:val="24"/>
          <w:szCs w:val="24"/>
          <w:rtl w:val="0"/>
        </w:rPr>
        <w:t xml:space="preserve">NOGUEIRA³</w:t>
      </w:r>
      <w:r w:rsidDel="00000000" w:rsidR="00000000" w:rsidRPr="00000000">
        <w:rPr>
          <w:rFonts w:ascii="Times New Roman" w:cs="Times New Roman" w:eastAsia="Times New Roman" w:hAnsi="Times New Roman"/>
          <w:sz w:val="24"/>
          <w:szCs w:val="24"/>
          <w:rtl w:val="0"/>
        </w:rPr>
        <w:t xml:space="preserve">; Mayara Almeida da </w:t>
      </w:r>
      <w:r w:rsidDel="00000000" w:rsidR="00000000" w:rsidRPr="00000000">
        <w:rPr>
          <w:rFonts w:ascii="Times New Roman" w:cs="Times New Roman" w:eastAsia="Times New Roman" w:hAnsi="Times New Roman"/>
          <w:b w:val="1"/>
          <w:bCs w:val="1"/>
          <w:sz w:val="24"/>
          <w:szCs w:val="24"/>
          <w:rtl w:val="0"/>
        </w:rPr>
        <w:t xml:space="preserve">SILVA</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Daniel de Medeiros de </w:t>
      </w:r>
      <w:r w:rsidDel="00000000" w:rsidR="00000000" w:rsidRPr="00000000">
        <w:rPr>
          <w:rFonts w:ascii="Times New Roman" w:cs="Times New Roman" w:eastAsia="Times New Roman" w:hAnsi="Times New Roman"/>
          <w:b w:val="1"/>
          <w:bCs w:val="1"/>
          <w:sz w:val="24"/>
          <w:szCs w:val="24"/>
          <w:rtl w:val="0"/>
        </w:rPr>
        <w:t xml:space="preserve">ASSIS</w:t>
      </w:r>
      <w:r w:rsidDel="00000000" w:rsidR="00000000" w:rsidRPr="00000000">
        <w:rPr>
          <w:rFonts w:ascii="Times New Roman" w:cs="Times New Roman" w:eastAsia="Times New Roman" w:hAnsi="Times New Roman"/>
          <w:b w:val="1"/>
          <w:bCs w:val="1"/>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Márcio Eduardo de Melo </w:t>
      </w:r>
      <w:r w:rsidDel="00000000" w:rsidR="00000000" w:rsidRPr="00000000">
        <w:rPr>
          <w:rFonts w:ascii="Times New Roman" w:cs="Times New Roman" w:eastAsia="Times New Roman" w:hAnsi="Times New Roman"/>
          <w:b w:val="1"/>
          <w:bCs w:val="1"/>
          <w:sz w:val="24"/>
          <w:szCs w:val="24"/>
          <w:rtl w:val="0"/>
        </w:rPr>
        <w:t xml:space="preserve">BENVENUTTI</w:t>
      </w:r>
      <w:r w:rsidDel="00000000" w:rsidR="00000000" w:rsidRPr="00000000">
        <w:rPr>
          <w:rFonts w:ascii="Times New Roman" w:cs="Times New Roman" w:eastAsia="Times New Roman" w:hAnsi="Times New Roman"/>
          <w:b w:val="1"/>
          <w:bCs w:val="1"/>
          <w:sz w:val="24"/>
          <w:szCs w:val="24"/>
          <w:vertAlign w:val="superscript"/>
          <w:rtl w:val="0"/>
        </w:rPr>
        <w:t xml:space="preserve">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Discente da Universidade Federal de Campina Grande – Unidade Acadêmica de Medicina Veterinária. E-mail:mgpaula1m@gmail.com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Discente da Universidade Federal de Campina Grande – Unidade Acadêmica de Medicina Veterinária. E-mail:annaaadelino@gmail.com.br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Mestranda do Programa de Ciência e Saúde Animal-Universidade Federal de Campina Grande. E-mail: janikellynogueira@gmail.com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Residente de Patologia Clínica do Hospital Veterinário Universitário Dr. Ivon Macêdo Tabosa-UFCG. E-mail:mv.as.mayara@gmail.com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Médico Veterinário do Setor de Clínica e Cirurgia de Grandes Animais-Hospital Veterinário Universitário Dr. Ivon Macêdo Tabosa. E-mail: danielvetpb@gmail.com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Médico Veterinário do Setor de Patologia Clínica Veterinária-Hospital Veterinário Universitário Dr. Ivon Macêdo Tabosa. E-mail:dudubenvenutti@hotmail.com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rtl w:val="0"/>
        </w:rPr>
        <w:t xml:space="preserve">A acidose ruminal é uma afecção metabólica comum em ruminantes, geralmente associada à ingestão excessiva de carboidratos rapidamente fermentáveis, resultando em queda do pH ruminal e alterações na microbiota. Objetivou-se relatar um caso de acidose ruminal em caprino atendido no Hospital Veterinário Universitário da Universidade Federal de Campina Grande (UFCG), campus Patos-PB. O animal, uma fêmea caprina sem raça definida, com aproximadamente três anos de idade, foi encaminhado ao hospital apresentando distensão abdominal bilateral após ingestão de um pacote de pão integral. No exame físico observou-se temperatura corporal de 40,3 °C, frequência cardíaca de 124 bpm, frequência respiratória de 84 mpm, mucosas hiperêmicas e diminuição da motilidade ruminal. Foi realizada análise do líquido ruminal, evidenciando coloração verde-acastanhada, odor ácido, pH 5,0, o tempo de redução do azul de metileno foi superior a 15 minutos e ausência de protozoários viáveis. Com base nos achados clínicos e laboratoriais, estabeleceu-se o diagnóstico de acidose ruminal. O caso reforça a importância do manejo alimentar adequado em pequenos ruminantes e como meios diagnósticos laboratoriais auxiliam o clínico na condução e resolução dos casos.</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w:t>
      </w:r>
      <w:r w:rsidDel="00000000" w:rsidR="00000000" w:rsidRPr="00000000">
        <w:rPr>
          <w:rFonts w:ascii="Times New Roman" w:cs="Times New Roman" w:eastAsia="Times New Roman" w:hAnsi="Times New Roman"/>
          <w:rtl w:val="0"/>
        </w:rPr>
        <w:t xml:space="preserve">caprinos; distúrbio metabólico; rúmen; fermentação ruminal.</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acidose ruminal é um distúrbio metabólico comum em ruminantes, associado à ingestão excessiva de carboidratos rapidamente fermentáveis, resultando na redução do pH ruminal e alterações da microbiota do rúmen (Brito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A acidificação ruminal compromete a digestão da fibra e favorece a morte de protozoários e bactérias benéficas, causando distensão abdominal, anorexia e alterações sistêmicas (Radostits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2007; Smith, 2014). O diagnóstico é realizado pela associação entre histórico alimentar, sinais clínicos e análise do líquido ruminal, sendo o pH e a atividade microbiana importantes parâmetros diagnósticos (Dirksen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1993). Diante disso, este trabalho objetiva relatar um caso de acidose ruminal em caprino atendido no Hospital Veterinário Universitário da UFCG, destacando a importância da avaliação clínico-laboratorial no diagnóstico da enfermidade.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Foi atendido no Hospital Veterinário Universitário da Universidade Federal de Campina Grande (UFCG), Campus Patos–PB, um caprino, fêmea, sem raça definida, com aproximadamente três anos de idade. O proprietário relatou possuir o animal há cerca de três meses e que a alimentação consistia principalmente em milho e pastejo na rua. Segundo o relato do proprietário, o animal ingeriu um pacote de pão integral e, posteriormente, apresentou distensão abdominal evidente, além de diminuição do apetite e alteração do comportamento. No exame clínico geral, o animal estava levemente apático e escore corporal de 3. Foram observados temperatura corporal de 40,3 °C, frequência cardíaca de 124bpm e frequência respiratória de 84mpm. As mucosas apresentavam-se hiperêmicas e movimentos ruminais diminuídos. Durante a avaliação clínica foi constatada distensão abdominal bilateral, característica de distúrbios fermentativos ruminais. Diante da suspeita clínica, foi realizada coleta de líquido ruminal para análise laboratorial. Na avaliação física do líquido ruminal observou-se coloração verde-acastanhada, consistência levemente viscosa e odor ácido. Na avaliação química, o pH encontrado foi de 5,0 e o tempo de redução do azul de metileno foi superior a 15 minutos. Na avaliação microscópica de infusórios verificou-se ausência de protozoários viáveis (0% vivos) e 100% de protozoários mortos, além de ausência de motilidade. Com base nos achados clínicos e laboratoriais, estabeleceu-se o diagnóstico de acidose ruminal. Como tratamento, foi instituída terapia de suporte com administração de purgante por via oral na dose de 100g em dose única, associado à aplicação de cálcio por via subcutânea na dose de 40 mL em dose única.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sinais clínicos observados, como distensão abdominal, hipertermia, mucosas hiperêmicas e diminuição da motilidade ruminal, são compatíveis com quadros de acidose ruminal (Radostits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2007; Smith, 2014). A ingestão de pão relatada constitui importante fator predisponente, pois alimentos ricos em carboidratos rapidamente fermentáveis aumentam a produção de ácido lático e reduzem o pH ruminal (Dirksen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1993; Brito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A análise do líquido ruminal foi essencial para o diagnóstico. O pH de 5,0 indica ambiente ácido, sendo compatível com acidose, já que valores abaixo de 5,5 comprometem a microbiota ruminal (Radostits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2007; Brito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O odor ácido e a coloração alterada também corroboram o processo fermentativo anormal (Dirksen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1993). A acidificação do rúmen promove morte de protozoários e bactérias responsáveis pela digestão da fibra, como evidenciado pela ausência de microrganismos viáveis, comprometendo a fermentação normal (Smith, 2014; Brito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A hipertermia pode estar associada à resposta inflamatória sistêmica, enquanto taquicardia e taquipneia refletem mecanismos compensatórios ao desequilíbrio metabólico (Radostits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2007; Smith, 2014). O tratamento precoce é fundamental para evitar complicações como acidose metabólica sistêmica, laminite e morte (Dirksen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1993). Assim, o caso reforça a importância da avaliação clínico-laboratorial no diagnóstico da acidose ruminal em pequenos ruminantes.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ingestão acidental de alimento rico em carboidratos rapidamente fermentáveis foi determinante para o desenvolvimento da acidose ruminal no caprino atendido. A associação entre histórico alimentar, sinais clínicos e análise do líquido ruminal foi fundamental para a confirmação diagnóstica, evidenciando a importância da avaliação laboratorial na rotina clínica de ruminantes.</w:t>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BRITO, M. S.; et al. Acidose e cetose ruminal: uma análise clínica, laboratorial e terapêutica. </w:t>
      </w:r>
      <w:r w:rsidDel="00000000" w:rsidR="00000000" w:rsidRPr="00000000">
        <w:rPr>
          <w:rFonts w:ascii="Times New Roman" w:cs="Times New Roman" w:eastAsia="Times New Roman" w:hAnsi="Times New Roman"/>
          <w:b w:val="1"/>
          <w:bCs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11, n. 8, p. e6611830335, 2022. DOI: 10.33448/rsd-v11i8.30335.</w:t>
      </w:r>
    </w:p>
    <w:p w:rsidR="00000000" w:rsidDel="00000000" w:rsidP="00000000" w:rsidRDefault="00000000" w:rsidRPr="00000000" w14:paraId="0000001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DIRKSEN, G.; GRÜNDER, H.; STÖBER, M.</w:t>
      </w:r>
      <w:r w:rsidDel="00000000" w:rsidR="00000000" w:rsidRPr="00000000">
        <w:rPr>
          <w:rFonts w:ascii="Times New Roman" w:cs="Times New Roman" w:eastAsia="Times New Roman" w:hAnsi="Times New Roman"/>
          <w:b w:val="1"/>
          <w:bCs w:val="1"/>
          <w:sz w:val="24"/>
          <w:szCs w:val="24"/>
          <w:rtl w:val="0"/>
        </w:rPr>
        <w:t xml:space="preserve"> Medicina Interna e Cirurgia de Bovinos. </w:t>
      </w:r>
      <w:r w:rsidDel="00000000" w:rsidR="00000000" w:rsidRPr="00000000">
        <w:rPr>
          <w:rFonts w:ascii="Times New Roman" w:cs="Times New Roman" w:eastAsia="Times New Roman" w:hAnsi="Times New Roman"/>
          <w:sz w:val="24"/>
          <w:szCs w:val="24"/>
          <w:rtl w:val="0"/>
        </w:rPr>
        <w:t xml:space="preserve">4. ed. Rio de Janeiro: Guanabara Koogan, 1993.</w:t>
      </w: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SMITH, B. P.</w:t>
      </w:r>
      <w:r w:rsidDel="00000000" w:rsidR="00000000" w:rsidRPr="00000000">
        <w:rPr>
          <w:rFonts w:ascii="Times New Roman" w:cs="Times New Roman" w:eastAsia="Times New Roman" w:hAnsi="Times New Roman"/>
          <w:b w:val="1"/>
          <w:bCs w:val="1"/>
          <w:sz w:val="24"/>
          <w:szCs w:val="24"/>
          <w:rtl w:val="0"/>
        </w:rPr>
        <w:t xml:space="preserve"> Large Animal Internal Medicine. </w:t>
      </w:r>
      <w:r w:rsidDel="00000000" w:rsidR="00000000" w:rsidRPr="00000000">
        <w:rPr>
          <w:rFonts w:ascii="Times New Roman" w:cs="Times New Roman" w:eastAsia="Times New Roman" w:hAnsi="Times New Roman"/>
          <w:sz w:val="24"/>
          <w:szCs w:val="24"/>
          <w:rtl w:val="0"/>
        </w:rPr>
        <w:t xml:space="preserve">5. ed. St. Louis: Mosby, 2014.</w:t>
      </w: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RADOSTITS, O. M.; GAY, C. C.; HINCHCLIFF, K. W.; CONSTABLE, P. E.</w:t>
      </w:r>
      <w:r w:rsidDel="00000000" w:rsidR="00000000" w:rsidRPr="00000000">
        <w:rPr>
          <w:rFonts w:ascii="Times New Roman" w:cs="Times New Roman" w:eastAsia="Times New Roman" w:hAnsi="Times New Roman"/>
          <w:b w:val="1"/>
          <w:bCs w:val="1"/>
          <w:sz w:val="24"/>
          <w:szCs w:val="24"/>
          <w:rtl w:val="0"/>
        </w:rPr>
        <w:t xml:space="preserve"> Veterinary Medicine: A textbook of the diseases of cattle, horses, sheep, pigs and goats. </w:t>
      </w:r>
      <w:r w:rsidDel="00000000" w:rsidR="00000000" w:rsidRPr="00000000">
        <w:rPr>
          <w:rFonts w:ascii="Times New Roman" w:cs="Times New Roman" w:eastAsia="Times New Roman" w:hAnsi="Times New Roman"/>
          <w:sz w:val="24"/>
          <w:szCs w:val="24"/>
          <w:rtl w:val="0"/>
        </w:rPr>
        <w:t xml:space="preserve">10. ed. London: Saunders Elsevier, 2007.</w:t>
      </w:r>
      <w:r w:rsidDel="00000000" w:rsidR="00000000" w:rsidRPr="00000000">
        <w:rPr>
          <w:rtl w:val="0"/>
        </w:rPr>
      </w:r>
    </w:p>
    <w:sectPr>
      <w:headerReference r:id="rId6" w:type="default"/>
      <w:footerReference r:id="rId7"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-316227</wp:posOffset>
          </wp:positionH>
          <wp:positionV relativeFrom="paragraph">
            <wp:posOffset>-410843</wp:posOffset>
          </wp:positionV>
          <wp:extent cx="6426200" cy="1606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