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100" w:before="1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ANÁLISE DAS TECNOLOGIAS EDUCATIVAS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BRASILEIRAS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SOBRE HANSENÍASE</w:t>
      </w:r>
    </w:p>
    <w:p w:rsidR="00000000" w:rsidDel="00000000" w:rsidP="00000000" w:rsidRDefault="00000000" w:rsidRPr="00000000" w14:paraId="00000002">
      <w:pPr>
        <w:spacing w:after="100" w:before="10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 hanseníase permanece como um importante problema de saúde pública no Brasil, especialmente em regiões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endêmicas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1,2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Apesar dos avanços no diagnóstico e tratamento, ainda existem desafios relacionados ao estigma, ao diagnóstico tardio e à adesão ao tratamento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Portanto, as tecnologias educativas produzidas pelo Ministério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Saúde e Fiocruz, configuram-se como ferramentas estratégicas para a promoção do conhecimento, autocuidado e qualificação da assistência.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Analisar as tecnologias educativas sobre hanseníase produzidas pelo Ministério da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Saúde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Fiocruz disponíveis em plataformas digitais.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MÉTODO: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Estudo documental, descritivo, com abordagem qualitativa, realizado entre março e maio de 2026, através do levantamento de tecnologias educativas em plataformas digitais institucionais. Incluiu-se materiais relacionados à hanseníase publicados em português, disponíveis integralmente e produzidos pelo Ministério da Saúde e Fiocruz. Excluíram-se materiais duplicados ou incompletos. Os dados foram organizados segundo tipo de tecnologia, ano de publicação, temática e público-alvo, sendo submetidos à análise descritiva e interpretativa.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Identificaram-se tecnologias educativas com predominância de manuais, cartilhas, guias, panfletos e protocolos clínicos, majoritariamente publicados entre 2023 e 2025. Observou-se predomínio de conteúdos voltados ao manejo clínico, autocuidado, prevenção de incapacidades e uso racional de medicamentos, evidenciando forte enfoque biomédico. Também encontrou-se materiais direcionados ao combate ao estigma e fortalecimento de grupos de autocuidado. Entretanto, identificou-se baixa diversidade de formatos interativos, como recursos audiovisuais e digitais, limitando o potencial de alcance dessas tecnologias.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As tecnologias educativas analisadas contribuem para qualificação do cuidado em hanseníase e fortalecimento das ações de educação em saúde. Contudo, destaca-se a necessidade de ampliar a diversidade de formatos e a acessibilidade desses materiais, favorecendo maior alcance e efetividade das estratégias educativas.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CONTRIBUIÇÕES PARA A ENFERMAGEM: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tecnologias educativas subsidiam ações de enfermagem na Atenção Primária à Saúde, fortalecendo práticas de educação em saúde, autocuidado e acompanhamento longitudinal das pessoas acometidas pela hanseníase.</w:t>
      </w:r>
    </w:p>
    <w:p w:rsidR="00000000" w:rsidDel="00000000" w:rsidP="00000000" w:rsidRDefault="00000000" w:rsidRPr="00000000" w14:paraId="00000004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Descritores (DeCS – ID): Hanseníase – D007918; Educação em Saúde – D006266; Tecnologia Educacional – D018961.</w:t>
      </w:r>
    </w:p>
    <w:p w:rsidR="00000000" w:rsidDel="00000000" w:rsidP="00000000" w:rsidRDefault="00000000" w:rsidRPr="00000000" w14:paraId="00000005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Modalidade: (x) estudo original </w:t>
      </w:r>
    </w:p>
    <w:p w:rsidR="00000000" w:rsidDel="00000000" w:rsidP="00000000" w:rsidRDefault="00000000" w:rsidRPr="00000000" w14:paraId="00000006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Eixo Temático:  8 - Desenvolvimento de Tecnologias para o cuidado em saúde e enfermagem</w:t>
      </w:r>
    </w:p>
    <w:p w:rsidR="00000000" w:rsidDel="00000000" w:rsidP="00000000" w:rsidRDefault="00000000" w:rsidRPr="00000000" w14:paraId="00000007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REFERÊNCIAS: </w:t>
      </w:r>
    </w:p>
    <w:p w:rsidR="00000000" w:rsidDel="00000000" w:rsidP="00000000" w:rsidRDefault="00000000" w:rsidRPr="00000000" w14:paraId="00000009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Santos MDB, Carinhanha ELA, Silva FSCP da, Carinhanha GA, Ribeiro BL, Brasil MQA. Perfil clínico-epidemiológico dos casos de hanseníase dos estados da região Nordeste do Brasil no período de 2018-2022. Hansen Int. 2025;50:e40505. Disponível em: https://periodicos.saude.sp.gov.br/hansenologia/article/view/40505/38754</w:t>
      </w:r>
    </w:p>
    <w:p w:rsidR="00000000" w:rsidDel="00000000" w:rsidP="00000000" w:rsidRDefault="00000000" w:rsidRPr="00000000" w14:paraId="0000000A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Brasil. Ministério da Saúde. Estratégia Nacional para Enfrentamento à Hanseníase 2024-2030. Brasília: MS; 2024</w:t>
      </w:r>
    </w:p>
    <w:p w:rsidR="00000000" w:rsidDel="00000000" w:rsidP="00000000" w:rsidRDefault="00000000" w:rsidRPr="00000000" w14:paraId="0000000B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BASÍLIO VA et al. A importância do conhecimento da rede de cuidado no combate ao estigma da hanseníase. Rev. Intermédius. Uberlândia- MG, 2024. Disponível em: https://publicacoes.unifimes.edu.br/index.php/intermedius/article/view/3740 </w:t>
      </w:r>
    </w:p>
    <w:p w:rsidR="00000000" w:rsidDel="00000000" w:rsidP="00000000" w:rsidRDefault="00000000" w:rsidRPr="00000000" w14:paraId="0000000C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00" w:before="1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3" w:top="1700" w:left="1700" w:right="113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tabs>
        <w:tab w:val="center" w:leader="none" w:pos="4252"/>
        <w:tab w:val="right" w:leader="none" w:pos="8504"/>
      </w:tabs>
      <w:spacing w:line="240" w:lineRule="auto"/>
      <w:rPr/>
    </w:pPr>
    <w:r w:rsidDel="00000000" w:rsidR="00000000" w:rsidRPr="00000000">
      <w:rPr>
        <w:rFonts w:ascii="Aptos" w:cs="Aptos" w:eastAsia="Aptos" w:hAnsi="Aptos"/>
        <w:sz w:val="20"/>
        <w:szCs w:val="20"/>
      </w:rPr>
      <w:drawing>
        <wp:inline distB="0" distT="0" distL="0" distR="0">
          <wp:extent cx="5424788" cy="793491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86426"/>
                  <a:stretch>
                    <a:fillRect/>
                  </a:stretch>
                </pic:blipFill>
                <pic:spPr>
                  <a:xfrm>
                    <a:off x="0" y="0"/>
                    <a:ext cx="5424788" cy="7934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tabs>
        <w:tab w:val="center" w:leader="none" w:pos="4252"/>
        <w:tab w:val="right" w:leader="none" w:pos="8504"/>
      </w:tabs>
      <w:spacing w:line="240" w:lineRule="auto"/>
      <w:rPr>
        <w:rFonts w:ascii="Aptos" w:cs="Aptos" w:eastAsia="Aptos" w:hAnsi="Aptos"/>
        <w:sz w:val="20"/>
        <w:szCs w:val="20"/>
      </w:rPr>
    </w:pPr>
    <w:r w:rsidDel="00000000" w:rsidR="00000000" w:rsidRPr="00000000">
      <w:rPr>
        <w:rFonts w:ascii="Aptos" w:cs="Aptos" w:eastAsia="Aptos" w:hAnsi="Aptos"/>
        <w:sz w:val="20"/>
        <w:szCs w:val="20"/>
      </w:rPr>
      <w:drawing>
        <wp:inline distB="0" distT="0" distL="0" distR="0">
          <wp:extent cx="5439886" cy="90617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MMA0CyJVxcDiOX3iHOquuK3iRQ==">CgMxLjA4AHIhMUdUcGViQ3ZsSGQtc2R0YmxVYXNwbmdsQ0NoNTlFWG9z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