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F52F0" w14:textId="77777777" w:rsidR="00A77767" w:rsidRDefault="00301746" w:rsidP="005C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DOENÇA DO TRATO URINÁRIO INFERIOR OBSTRUTIVA EM FELINO: RELATO DE CASO COM ABORDAGEM CLÍNICO-CIRÚRGICA</w:t>
      </w:r>
    </w:p>
    <w:p w14:paraId="3DFD7783" w14:textId="564858BB" w:rsidR="00A77767" w:rsidRDefault="00301746" w:rsidP="005C32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Vitória Kelly Oliveira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ARAUJO¹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Pedro Vitor Alves </w:t>
      </w:r>
      <w:r w:rsidR="001044EA">
        <w:rPr>
          <w:rFonts w:ascii="Times New Roman" w:eastAsia="Times New Roman" w:hAnsi="Times New Roman" w:cs="Times New Roman"/>
          <w:sz w:val="24"/>
          <w:szCs w:val="24"/>
        </w:rPr>
        <w:t xml:space="preserve">dos </w:t>
      </w:r>
      <w:r w:rsidR="001044EA" w:rsidRPr="001044EA">
        <w:rPr>
          <w:rFonts w:ascii="Times New Roman" w:eastAsia="Times New Roman" w:hAnsi="Times New Roman" w:cs="Times New Roman"/>
          <w:b/>
          <w:bCs/>
          <w:sz w:val="24"/>
          <w:szCs w:val="24"/>
        </w:rPr>
        <w:t>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²; Maria Eduarda Lourenço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³; Izabele Cosmo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AQUINO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Kailane Bezerra 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Monalisa Correia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MORAIS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; Ana Luzia Peixoto 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SILVA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 </w:t>
      </w:r>
    </w:p>
    <w:p w14:paraId="3FDEAA84" w14:textId="77777777" w:rsidR="00A77767" w:rsidRDefault="00301746" w:rsidP="005C3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Graduanda, bacharelado em Medicina Veterinária, Instituto Federal da Paraíba.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oliveira.kelly@academico.ifpb.edu.br</w:t>
      </w:r>
    </w:p>
    <w:p w14:paraId="5C406032" w14:textId="3080F1A0" w:rsidR="00A77767" w:rsidRDefault="00301746" w:rsidP="005C3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Graduando, bacharelado em Medicina Veterinária, Instituto Federal da Paraíba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edro.santos.15@academico.ifpb.edu.br</w:t>
      </w:r>
    </w:p>
    <w:p w14:paraId="2CB73AA1" w14:textId="5DC24BFC" w:rsidR="00A77767" w:rsidRDefault="00301746" w:rsidP="005C3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Graduanda, bacharelado em Medicina Veterinária, Instituto Federal da Paraíba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lourenco.sousa@academico.ifpb.edu.br</w:t>
      </w:r>
    </w:p>
    <w:p w14:paraId="0C50EB83" w14:textId="77777777" w:rsidR="00A77767" w:rsidRDefault="00301746" w:rsidP="005C3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Graduanda, bacharelado em Medicina Veterinária, Instituto Federal da Paraíba.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cosmo.izabele@academico.ifpb.edu.br</w:t>
      </w:r>
    </w:p>
    <w:p w14:paraId="1767BCD6" w14:textId="77777777" w:rsidR="00A77767" w:rsidRDefault="00301746" w:rsidP="005C32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Graduanda, bacharelado em Medicina Veterinária, Instituto Federal da Paraíba.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bezerra.kailane@academico.ifpb.edu.br</w:t>
      </w:r>
    </w:p>
    <w:p w14:paraId="01C412B8" w14:textId="77777777" w:rsidR="00A77767" w:rsidRDefault="00301746" w:rsidP="005C32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Médica veterinária, residente em clínica médica de pequenos animais, Instituto Federal da Paraíba.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monalisam774@gmail.com</w:t>
      </w:r>
    </w:p>
    <w:p w14:paraId="5A0EE06E" w14:textId="034E386D" w:rsidR="00A77767" w:rsidRDefault="00301746" w:rsidP="005C32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Médica veterinária, residente em cirurgia de pequenos animais, Universidade Federal Rural do </w:t>
      </w:r>
      <w:r w:rsidR="001044EA">
        <w:rPr>
          <w:rFonts w:ascii="Times New Roman" w:eastAsia="Times New Roman" w:hAnsi="Times New Roman" w:cs="Times New Roman"/>
          <w:sz w:val="20"/>
          <w:szCs w:val="20"/>
        </w:rPr>
        <w:t>Semiárido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(UFERSA).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peixotoluziaa@gmail.com</w:t>
      </w:r>
    </w:p>
    <w:p w14:paraId="07C4AFA9" w14:textId="77777777" w:rsidR="00A77767" w:rsidRDefault="00A777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1F93ACC1" w14:textId="77777777" w:rsidR="00A77767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</w:p>
    <w:p w14:paraId="7F573117" w14:textId="11AB6529" w:rsidR="00A77767" w:rsidRDefault="0030174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</w:rPr>
        <w:t xml:space="preserve">A Doença do Trato Urinário Inferior dos Felinos (DTUIF) </w:t>
      </w:r>
      <w:r w:rsidR="001A6CFC" w:rsidRPr="001A6CFC">
        <w:rPr>
          <w:rFonts w:ascii="Times New Roman" w:eastAsia="Times New Roman" w:hAnsi="Times New Roman" w:cs="Times New Roman"/>
        </w:rPr>
        <w:t>é uma síndrome frequente na clínica felina, podendo manifestar-se por disúria, hematúria e obstrução uretral.</w:t>
      </w:r>
      <w:r>
        <w:rPr>
          <w:rFonts w:ascii="Times New Roman" w:eastAsia="Times New Roman" w:hAnsi="Times New Roman" w:cs="Times New Roman"/>
        </w:rPr>
        <w:t xml:space="preserve"> Objetivou-se descrever um caso </w:t>
      </w:r>
      <w:r w:rsidR="001A6CFC" w:rsidRPr="001A6CFC">
        <w:rPr>
          <w:rFonts w:ascii="Times New Roman" w:eastAsia="Times New Roman" w:hAnsi="Times New Roman" w:cs="Times New Roman"/>
        </w:rPr>
        <w:t>de obstrução uretral recorrente em felino associado à presença de cristalúria e urólitos</w:t>
      </w:r>
      <w:r>
        <w:rPr>
          <w:rFonts w:ascii="Times New Roman" w:eastAsia="Times New Roman" w:hAnsi="Times New Roman" w:cs="Times New Roman"/>
        </w:rPr>
        <w:t xml:space="preserve">, destacando aspectos clínicos, diagnósticos e terapêuticos. Foram realizados anamnese, hemograma, bioquímica sérica, urinálise e ultrassonografia, seguidos de tratamento clínico e intervenção cirúrgica. O paciente apresentou sinais urinários recorrentes, </w:t>
      </w:r>
      <w:r w:rsidR="002A6D28">
        <w:rPr>
          <w:rFonts w:ascii="Times New Roman" w:eastAsia="Times New Roman" w:hAnsi="Times New Roman" w:cs="Times New Roman"/>
        </w:rPr>
        <w:t>somados</w:t>
      </w:r>
      <w:r>
        <w:rPr>
          <w:rFonts w:ascii="Times New Roman" w:eastAsia="Times New Roman" w:hAnsi="Times New Roman" w:cs="Times New Roman"/>
        </w:rPr>
        <w:t xml:space="preserve"> a alterações labora</w:t>
      </w:r>
      <w:r>
        <w:rPr>
          <w:rFonts w:ascii="Times New Roman" w:eastAsia="Times New Roman" w:hAnsi="Times New Roman" w:cs="Times New Roman"/>
        </w:rPr>
        <w:t xml:space="preserve">toriais e evidência </w:t>
      </w:r>
      <w:r w:rsidR="001A6CFC">
        <w:rPr>
          <w:rFonts w:ascii="Times New Roman" w:eastAsia="Times New Roman" w:hAnsi="Times New Roman" w:cs="Times New Roman"/>
        </w:rPr>
        <w:t>sugestiva de</w:t>
      </w:r>
      <w:r>
        <w:rPr>
          <w:rFonts w:ascii="Times New Roman" w:eastAsia="Times New Roman" w:hAnsi="Times New Roman" w:cs="Times New Roman"/>
        </w:rPr>
        <w:t xml:space="preserve"> urólitos na ultrassonografia. Diante da recidiva e refratariedade ao tratamento clínico, optou-se pela uretrostomia associada à penectomia. O caso </w:t>
      </w:r>
      <w:r w:rsidR="002A6D28">
        <w:rPr>
          <w:rFonts w:ascii="Times New Roman" w:eastAsia="Times New Roman" w:hAnsi="Times New Roman" w:cs="Times New Roman"/>
        </w:rPr>
        <w:t>reforça</w:t>
      </w:r>
      <w:r>
        <w:rPr>
          <w:rFonts w:ascii="Times New Roman" w:eastAsia="Times New Roman" w:hAnsi="Times New Roman" w:cs="Times New Roman"/>
        </w:rPr>
        <w:t xml:space="preserve"> a importância do diagnóstico precoce</w:t>
      </w:r>
      <w:r w:rsidR="00417B95">
        <w:rPr>
          <w:rFonts w:ascii="Times New Roman" w:eastAsia="Times New Roman" w:hAnsi="Times New Roman" w:cs="Times New Roman"/>
        </w:rPr>
        <w:t>,</w:t>
      </w:r>
      <w:r w:rsidR="00417B95" w:rsidRPr="00417B95">
        <w:rPr>
          <w:rFonts w:ascii="Times New Roman" w:eastAsia="Times New Roman" w:hAnsi="Times New Roman" w:cs="Times New Roman"/>
        </w:rPr>
        <w:t xml:space="preserve"> investigação etiológica</w:t>
      </w:r>
      <w:r>
        <w:rPr>
          <w:rFonts w:ascii="Times New Roman" w:eastAsia="Times New Roman" w:hAnsi="Times New Roman" w:cs="Times New Roman"/>
        </w:rPr>
        <w:t xml:space="preserve"> e manejo adequado na prevenção de complicações</w:t>
      </w:r>
      <w:r w:rsidR="00417B95">
        <w:rPr>
          <w:rFonts w:ascii="Times New Roman" w:eastAsia="Times New Roman" w:hAnsi="Times New Roman" w:cs="Times New Roman"/>
        </w:rPr>
        <w:t xml:space="preserve"> e recorrências</w:t>
      </w:r>
      <w:r>
        <w:rPr>
          <w:rFonts w:ascii="Times New Roman" w:eastAsia="Times New Roman" w:hAnsi="Times New Roman" w:cs="Times New Roman"/>
        </w:rPr>
        <w:t>.</w:t>
      </w:r>
    </w:p>
    <w:p w14:paraId="4A316821" w14:textId="00D68FD0" w:rsidR="00A77767" w:rsidRPr="000F778B" w:rsidRDefault="003017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PALAVRAS-CHAVES: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>Obstrução uretral; recidiva;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refratariedade</w:t>
      </w:r>
      <w:proofErr w:type="spellEnd"/>
      <w:r w:rsidR="00DC56E5">
        <w:rPr>
          <w:rFonts w:ascii="Times New Roman" w:eastAsia="Times New Roman" w:hAnsi="Times New Roman" w:cs="Times New Roman"/>
          <w:color w:val="00000A"/>
        </w:rPr>
        <w:t>;</w:t>
      </w:r>
      <w:r w:rsidR="00DC56E5" w:rsidRPr="00DC56E5">
        <w:rPr>
          <w:rFonts w:ascii="Times New Roman" w:eastAsia="Times New Roman" w:hAnsi="Times New Roman" w:cs="Times New Roman"/>
          <w:color w:val="00000A"/>
        </w:rPr>
        <w:t xml:space="preserve"> </w:t>
      </w:r>
      <w:proofErr w:type="spellStart"/>
      <w:r w:rsidR="00DC56E5">
        <w:rPr>
          <w:rFonts w:ascii="Times New Roman" w:eastAsia="Times New Roman" w:hAnsi="Times New Roman" w:cs="Times New Roman"/>
          <w:color w:val="00000A"/>
        </w:rPr>
        <w:t>urolitíase</w:t>
      </w:r>
      <w:proofErr w:type="spellEnd"/>
      <w:r>
        <w:rPr>
          <w:rFonts w:ascii="Times New Roman" w:eastAsia="Times New Roman" w:hAnsi="Times New Roman" w:cs="Times New Roman"/>
          <w:color w:val="00000A"/>
        </w:rPr>
        <w:t>.</w:t>
      </w:r>
    </w:p>
    <w:p w14:paraId="6474879D" w14:textId="77777777" w:rsidR="00A77767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</w:p>
    <w:p w14:paraId="658372C4" w14:textId="1526DEF7" w:rsidR="00A77767" w:rsidRDefault="00301746" w:rsidP="009255F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Doença do Trato Urinário Inferior dos Felinos (DTUIF)</w:t>
      </w:r>
      <w:r w:rsidR="00E12C14">
        <w:rPr>
          <w:rFonts w:ascii="Times New Roman" w:eastAsia="Times New Roman" w:hAnsi="Times New Roman" w:cs="Times New Roman"/>
          <w:sz w:val="24"/>
          <w:szCs w:val="24"/>
        </w:rPr>
        <w:t xml:space="preserve"> é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 xml:space="preserve"> uma síndrome clínica caracterizada </w:t>
      </w:r>
      <w:r w:rsidR="00417B95">
        <w:rPr>
          <w:rFonts w:ascii="Times New Roman" w:eastAsia="Times New Roman" w:hAnsi="Times New Roman" w:cs="Times New Roman"/>
          <w:sz w:val="24"/>
          <w:szCs w:val="24"/>
        </w:rPr>
        <w:t>por alterações n</w:t>
      </w:r>
      <w:r w:rsidR="002A6D28">
        <w:rPr>
          <w:rFonts w:ascii="Times New Roman" w:eastAsia="Times New Roman" w:hAnsi="Times New Roman" w:cs="Times New Roman"/>
          <w:sz w:val="24"/>
          <w:szCs w:val="24"/>
        </w:rPr>
        <w:t>as vias urinárias inferiores</w:t>
      </w:r>
      <w:r w:rsidR="00417B9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frequentes na clínica felina</w:t>
      </w:r>
      <w:r w:rsidR="000C71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 xml:space="preserve">A forma obstrutiva </w:t>
      </w:r>
      <w:r w:rsidR="00CD085F">
        <w:rPr>
          <w:rFonts w:ascii="Times New Roman" w:eastAsia="Times New Roman" w:hAnsi="Times New Roman" w:cs="Times New Roman"/>
          <w:sz w:val="24"/>
          <w:szCs w:val="24"/>
        </w:rPr>
        <w:t>é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 xml:space="preserve"> emerg</w:t>
      </w:r>
      <w:r w:rsidR="0097373E">
        <w:rPr>
          <w:rFonts w:ascii="Times New Roman" w:eastAsia="Times New Roman" w:hAnsi="Times New Roman" w:cs="Times New Roman"/>
          <w:sz w:val="24"/>
          <w:szCs w:val="24"/>
        </w:rPr>
        <w:t>encial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>, especialmente em machos, devido à anatomia uretral mais estreita e alongada</w:t>
      </w:r>
      <w:r w:rsidR="00A27B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D085F" w:rsidRPr="00A27B8A">
        <w:rPr>
          <w:rFonts w:ascii="Times New Roman" w:eastAsia="Times New Roman" w:hAnsi="Times New Roman" w:cs="Times New Roman"/>
          <w:sz w:val="24"/>
          <w:szCs w:val="24"/>
        </w:rPr>
        <w:t>Sampaio et al., 2020).</w:t>
      </w:r>
      <w:r w:rsidR="00417B95" w:rsidRPr="00A27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 xml:space="preserve">A persistência da obstrução pode resultar em azotemia pós-renal, acidose metabólica, hipercalemia </w:t>
      </w:r>
      <w:r w:rsidR="000F778B" w:rsidRPr="00417B9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0F778B">
        <w:rPr>
          <w:rFonts w:ascii="Times New Roman" w:eastAsia="Times New Roman" w:hAnsi="Times New Roman" w:cs="Times New Roman"/>
          <w:sz w:val="24"/>
          <w:szCs w:val="24"/>
        </w:rPr>
        <w:t>até</w:t>
      </w:r>
      <w:r w:rsidR="009737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B95" w:rsidRPr="00417B95">
        <w:rPr>
          <w:rFonts w:ascii="Times New Roman" w:eastAsia="Times New Roman" w:hAnsi="Times New Roman" w:cs="Times New Roman"/>
          <w:sz w:val="24"/>
          <w:szCs w:val="24"/>
        </w:rPr>
        <w:t xml:space="preserve">óbito </w:t>
      </w:r>
      <w:r w:rsidR="00417B95" w:rsidRPr="00A27B8A">
        <w:rPr>
          <w:rFonts w:ascii="Times New Roman" w:eastAsia="Times New Roman" w:hAnsi="Times New Roman" w:cs="Times New Roman"/>
          <w:sz w:val="24"/>
          <w:szCs w:val="24"/>
        </w:rPr>
        <w:t>(Nelson; Couto, 2020</w:t>
      </w:r>
      <w:r w:rsidR="00176BA8" w:rsidRPr="00A27B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A27B8A">
        <w:rPr>
          <w:rFonts w:ascii="Times New Roman" w:eastAsia="Times New Roman" w:hAnsi="Times New Roman" w:cs="Times New Roman"/>
          <w:sz w:val="24"/>
          <w:szCs w:val="24"/>
        </w:rPr>
        <w:t>Moura et al., 2024</w:t>
      </w:r>
      <w:r w:rsidR="00176BA8" w:rsidRPr="00A27B8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Sua etiologia é multifatorial, envolvendo dieta, baixa ingestão hídrica</w:t>
      </w:r>
      <w:r w:rsidR="00CD085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estress</w:t>
      </w:r>
      <w:r w:rsidR="00CD085F">
        <w:rPr>
          <w:rFonts w:ascii="Times New Roman" w:eastAsia="Times New Roman" w:hAnsi="Times New Roman" w:cs="Times New Roman"/>
          <w:sz w:val="24"/>
          <w:szCs w:val="24"/>
        </w:rPr>
        <w:t>e</w:t>
      </w:r>
      <w:r w:rsidR="00CD085F" w:rsidRPr="00CD085F">
        <w:rPr>
          <w:rFonts w:ascii="Times New Roman" w:eastAsia="Times New Roman" w:hAnsi="Times New Roman" w:cs="Times New Roman"/>
          <w:sz w:val="24"/>
          <w:szCs w:val="24"/>
        </w:rPr>
        <w:t xml:space="preserve"> e manejo inadequado </w:t>
      </w:r>
      <w:r w:rsidR="0090425B">
        <w:rPr>
          <w:rFonts w:ascii="Times New Roman" w:eastAsia="Times New Roman" w:hAnsi="Times New Roman" w:cs="Times New Roman"/>
          <w:sz w:val="24"/>
          <w:szCs w:val="24"/>
        </w:rPr>
        <w:t>(</w:t>
      </w:r>
      <w:r w:rsidR="003270B5" w:rsidRPr="003270B5">
        <w:rPr>
          <w:rFonts w:ascii="Times New Roman" w:eastAsia="Times New Roman" w:hAnsi="Times New Roman" w:cs="Times New Roman"/>
          <w:sz w:val="24"/>
          <w:szCs w:val="24"/>
        </w:rPr>
        <w:t>Little, 202</w:t>
      </w:r>
      <w:r w:rsidR="003270B5">
        <w:rPr>
          <w:rFonts w:ascii="Times New Roman" w:eastAsia="Times New Roman" w:hAnsi="Times New Roman" w:cs="Times New Roman"/>
          <w:sz w:val="24"/>
          <w:szCs w:val="24"/>
        </w:rPr>
        <w:t>4)</w:t>
      </w:r>
      <w:r w:rsidR="00072FDA" w:rsidRPr="00072FDA">
        <w:rPr>
          <w:rFonts w:ascii="Times New Roman" w:eastAsia="Times New Roman" w:hAnsi="Times New Roman" w:cs="Times New Roman"/>
          <w:sz w:val="24"/>
          <w:szCs w:val="24"/>
        </w:rPr>
        <w:t>.</w:t>
      </w:r>
      <w:r w:rsidR="00B4389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Diante disso, </w:t>
      </w:r>
      <w:r w:rsidR="0097373E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presente trabalho objetivo</w:t>
      </w:r>
      <w:r w:rsidR="0097373E">
        <w:rPr>
          <w:rFonts w:ascii="Times New Roman" w:eastAsia="Times New Roman" w:hAnsi="Times New Roman" w:cs="Times New Roman"/>
          <w:sz w:val="24"/>
          <w:szCs w:val="24"/>
        </w:rPr>
        <w:t>u-se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descrever um caso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</w:t>
      </w:r>
      <w:r w:rsidR="00A463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obstru</w:t>
      </w:r>
      <w:r w:rsidR="00A463DF">
        <w:rPr>
          <w:rFonts w:ascii="Times New Roman" w:eastAsia="Times New Roman" w:hAnsi="Times New Roman" w:cs="Times New Roman"/>
          <w:sz w:val="24"/>
          <w:szCs w:val="24"/>
        </w:rPr>
        <w:t>ção uretral recorrente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felino</w:t>
      </w:r>
      <w:r w:rsidR="00CD0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085F" w:rsidRPr="00CD085F">
        <w:rPr>
          <w:rFonts w:ascii="Times New Roman" w:eastAsia="Times New Roman" w:hAnsi="Times New Roman" w:cs="Times New Roman"/>
          <w:sz w:val="24"/>
          <w:szCs w:val="24"/>
        </w:rPr>
        <w:t>associado à urólitos e cristalúria</w:t>
      </w:r>
      <w:r>
        <w:rPr>
          <w:rFonts w:ascii="Times New Roman" w:eastAsia="Times New Roman" w:hAnsi="Times New Roman" w:cs="Times New Roman"/>
          <w:sz w:val="24"/>
          <w:szCs w:val="24"/>
        </w:rPr>
        <w:t>, enfatizando os achados clínicos, diagnósticos e a abordagem terapêutica empregada.</w:t>
      </w:r>
    </w:p>
    <w:p w14:paraId="7ED6B625" w14:textId="77777777" w:rsidR="00A77767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 DE CASO:</w:t>
      </w:r>
    </w:p>
    <w:p w14:paraId="0E16ADB1" w14:textId="3128488A" w:rsidR="00A77767" w:rsidRDefault="00301746" w:rsidP="009255F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Relata-se o caso de um felino Siamês, com cerca de dez meses e 3,2 kg, atendido com ausência de micção e histórico de obstrução urinária há quatro meses. O paciente apresentava anúria, disúria e hematúria, associados à hiporexia e alimentação inadequada.</w:t>
      </w:r>
      <w:r w:rsidR="002A6D28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732EB1" w:rsidRPr="00732EB1">
        <w:rPr>
          <w:rFonts w:ascii="Times New Roman" w:eastAsia="Times New Roman" w:hAnsi="Times New Roman" w:cs="Times New Roman"/>
          <w:sz w:val="24"/>
          <w:szCs w:val="24"/>
        </w:rPr>
        <w:t>iante da impossibilidade de sondagem uretral, realizou-se cistocentese descompressiv</w:t>
      </w:r>
      <w:r w:rsidR="00732EB1">
        <w:rPr>
          <w:rFonts w:ascii="Times New Roman" w:eastAsia="Times New Roman" w:hAnsi="Times New Roman" w:cs="Times New Roman"/>
          <w:sz w:val="24"/>
          <w:szCs w:val="24"/>
        </w:rPr>
        <w:t>a</w:t>
      </w:r>
      <w:r w:rsidR="00732EB1" w:rsidRPr="00732EB1">
        <w:rPr>
          <w:rFonts w:ascii="Times New Roman" w:eastAsia="Times New Roman" w:hAnsi="Times New Roman" w:cs="Times New Roman"/>
          <w:sz w:val="24"/>
          <w:szCs w:val="24"/>
        </w:rPr>
        <w:t>, sem melhora clínica significativa.</w:t>
      </w:r>
      <w:r w:rsidR="007A6508">
        <w:rPr>
          <w:rFonts w:ascii="Times New Roman" w:eastAsia="Times New Roman" w:hAnsi="Times New Roman" w:cs="Times New Roman"/>
          <w:sz w:val="24"/>
          <w:szCs w:val="24"/>
        </w:rPr>
        <w:t xml:space="preserve"> Os e</w:t>
      </w:r>
      <w:r>
        <w:rPr>
          <w:rFonts w:ascii="Times New Roman" w:eastAsia="Times New Roman" w:hAnsi="Times New Roman" w:cs="Times New Roman"/>
          <w:sz w:val="24"/>
          <w:szCs w:val="24"/>
        </w:rPr>
        <w:t>xames complementares identificaram sedimentos vesicais, urólitos, cristais urinários (fosfato triplo e oxalato de cálcio</w:t>
      </w:r>
      <w:r w:rsidR="00066F5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066F59" w:rsidRPr="00066F59">
        <w:rPr>
          <w:rFonts w:ascii="Times New Roman" w:eastAsia="Times New Roman" w:hAnsi="Times New Roman" w:cs="Times New Roman"/>
          <w:sz w:val="24"/>
          <w:szCs w:val="24"/>
        </w:rPr>
        <w:t>sugerindo obstrução uretral secundária à urolitíase</w:t>
      </w:r>
      <w:r w:rsidR="00066F59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6F59" w:rsidRPr="00066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F59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azotemia.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Inicialmente, instituiu-se </w:t>
      </w:r>
      <w:r w:rsidR="007A6508"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>tratamento conservador com meloxicam durante três dias e tramadol por cinco dias</w:t>
      </w:r>
      <w:r w:rsidR="00732EB1">
        <w:rPr>
          <w:rFonts w:ascii="Times New Roman" w:eastAsia="Times New Roman" w:hAnsi="Times New Roman" w:cs="Times New Roman"/>
          <w:sz w:val="24"/>
          <w:szCs w:val="24"/>
        </w:rPr>
        <w:t xml:space="preserve">, seguido da administração de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suplemento urinário (Cist Control®) e antimicrobiano (Cistimicin®) </w:t>
      </w:r>
      <w:r w:rsidR="0097373E">
        <w:rPr>
          <w:rFonts w:ascii="Times New Roman" w:eastAsia="Times New Roman" w:hAnsi="Times New Roman" w:cs="Times New Roman"/>
          <w:sz w:val="24"/>
          <w:szCs w:val="24"/>
        </w:rPr>
        <w:t xml:space="preserve">ambos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por </w:t>
      </w:r>
      <w:r w:rsidR="007A6508">
        <w:rPr>
          <w:rFonts w:ascii="Times New Roman" w:eastAsia="Times New Roman" w:hAnsi="Times New Roman" w:cs="Times New Roman"/>
          <w:sz w:val="24"/>
          <w:szCs w:val="24"/>
        </w:rPr>
        <w:t>trinta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 dias. </w:t>
      </w:r>
      <w:r w:rsidR="00A463DF" w:rsidRPr="00A463DF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="007A6508" w:rsidRPr="007A6508">
        <w:rPr>
          <w:rFonts w:ascii="Times New Roman" w:eastAsia="Times New Roman" w:hAnsi="Times New Roman" w:cs="Times New Roman"/>
          <w:sz w:val="24"/>
          <w:szCs w:val="24"/>
        </w:rPr>
        <w:t>recorrência obstrutiva</w:t>
      </w:r>
      <w:r w:rsidR="00A463DF" w:rsidRPr="00A463DF">
        <w:rPr>
          <w:rFonts w:ascii="Times New Roman" w:eastAsia="Times New Roman" w:hAnsi="Times New Roman" w:cs="Times New Roman"/>
          <w:sz w:val="24"/>
          <w:szCs w:val="24"/>
        </w:rPr>
        <w:t>, foi realizado novo protocolo terapêutico composto por meloxicam, tramadol, dipirona, suplemento nefroprotetor (Pro Rim®) e Cist Control®. Entretanto, observou-se persistência da sintomatologia urinária e recorrência da anúria associada à distensão vesical, caracterizando refratariedade ao manejo conservador</w:t>
      </w:r>
      <w:r w:rsidR="00A463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Apesar da terapia instituída, o paciente apresentou apenas melhora parcial, mantendo episódios de disúria e hematúria. Considerando a recorrência obstrutiva e o risco de complicações sistêmicas, </w:t>
      </w:r>
      <w:r>
        <w:rPr>
          <w:rFonts w:ascii="Times New Roman" w:eastAsia="Times New Roman" w:hAnsi="Times New Roman" w:cs="Times New Roman"/>
          <w:sz w:val="24"/>
          <w:szCs w:val="24"/>
        </w:rPr>
        <w:t>foi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ealizada uretrostomia com penectomia e orquiectomia, </w:t>
      </w:r>
      <w:r w:rsidR="003B18C0" w:rsidRPr="003B18C0">
        <w:rPr>
          <w:rFonts w:ascii="Times New Roman" w:eastAsia="Times New Roman" w:hAnsi="Times New Roman" w:cs="Times New Roman"/>
          <w:sz w:val="24"/>
          <w:szCs w:val="24"/>
        </w:rPr>
        <w:t xml:space="preserve">procedimento indicado em casos recorrentes ou refratários de obstrução uretral felina </w:t>
      </w:r>
      <w:r w:rsidR="003B18C0" w:rsidRPr="00A27B8A">
        <w:rPr>
          <w:rFonts w:ascii="Times New Roman" w:eastAsia="Times New Roman" w:hAnsi="Times New Roman" w:cs="Times New Roman"/>
          <w:sz w:val="24"/>
          <w:szCs w:val="24"/>
        </w:rPr>
        <w:t xml:space="preserve">(Fossum, 2021). </w:t>
      </w:r>
      <w:r>
        <w:rPr>
          <w:rFonts w:ascii="Times New Roman" w:eastAsia="Times New Roman" w:hAnsi="Times New Roman" w:cs="Times New Roman"/>
          <w:sz w:val="24"/>
          <w:szCs w:val="24"/>
        </w:rPr>
        <w:t>No pós-operatório, houve melhora clínica geral, porém com hematúria persistente, indicando a necessidade de acompanhamento contínuo.</w:t>
      </w:r>
    </w:p>
    <w:p w14:paraId="171229B5" w14:textId="77777777" w:rsidR="00A77767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DISCUSSÃO:</w:t>
      </w:r>
    </w:p>
    <w:p w14:paraId="26ED9721" w14:textId="64B1FFB4" w:rsidR="001044EA" w:rsidRDefault="00301746" w:rsidP="009255F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quadro revelou-se compatível com </w:t>
      </w:r>
      <w:r w:rsidR="00312922" w:rsidRPr="00312922">
        <w:rPr>
          <w:rFonts w:ascii="Times New Roman" w:eastAsia="Times New Roman" w:hAnsi="Times New Roman" w:cs="Times New Roman"/>
          <w:sz w:val="24"/>
          <w:szCs w:val="24"/>
        </w:rPr>
        <w:t>síndrome do trato urinário inferior dos felinos obstru</w:t>
      </w:r>
      <w:r w:rsidR="000F778B">
        <w:rPr>
          <w:rFonts w:ascii="Times New Roman" w:eastAsia="Times New Roman" w:hAnsi="Times New Roman" w:cs="Times New Roman"/>
          <w:sz w:val="24"/>
          <w:szCs w:val="24"/>
        </w:rPr>
        <w:t>tiva</w:t>
      </w:r>
      <w:r>
        <w:rPr>
          <w:rFonts w:ascii="Times New Roman" w:eastAsia="Times New Roman" w:hAnsi="Times New Roman" w:cs="Times New Roman"/>
          <w:sz w:val="24"/>
          <w:szCs w:val="24"/>
        </w:rPr>
        <w:t>, caracterizad</w:t>
      </w:r>
      <w:r w:rsidR="009B1D8F">
        <w:rPr>
          <w:rFonts w:ascii="Times New Roman" w:eastAsia="Times New Roman" w:hAnsi="Times New Roman" w:cs="Times New Roman"/>
          <w:sz w:val="24"/>
          <w:szCs w:val="24"/>
        </w:rPr>
        <w:t>a</w:t>
      </w:r>
      <w:r w:rsidR="00B177A4">
        <w:rPr>
          <w:rFonts w:ascii="Times New Roman" w:eastAsia="Times New Roman" w:hAnsi="Times New Roman" w:cs="Times New Roman"/>
          <w:sz w:val="24"/>
          <w:szCs w:val="24"/>
        </w:rPr>
        <w:t xml:space="preserve"> por</w:t>
      </w:r>
      <w:r w:rsidR="000F778B">
        <w:rPr>
          <w:rFonts w:ascii="Times New Roman" w:eastAsia="Times New Roman" w:hAnsi="Times New Roman" w:cs="Times New Roman"/>
          <w:sz w:val="24"/>
          <w:szCs w:val="24"/>
        </w:rPr>
        <w:t xml:space="preserve"> episódios recorrentes de</w:t>
      </w:r>
      <w:r w:rsidR="00B17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77A4" w:rsidRPr="00B177A4">
        <w:rPr>
          <w:rFonts w:ascii="Times New Roman" w:eastAsia="Times New Roman" w:hAnsi="Times New Roman" w:cs="Times New Roman"/>
          <w:sz w:val="24"/>
          <w:szCs w:val="24"/>
        </w:rPr>
        <w:t>anúria, disúria e hematúria, associadas à cristalúria e alterações bioquímicas sugestivas de comprometimento renal</w:t>
      </w:r>
      <w:r w:rsidR="00B177A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ultrassonografia evidenciou sedimentação vesical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urólitos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enquanto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urinálise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revelou cristais de fosfato triplo e oxalato de cálcio, reforçando a importância desses exames na avaliação do trato urinário</w:t>
      </w:r>
      <w:r w:rsidR="00A27B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27B8A">
        <w:rPr>
          <w:rFonts w:ascii="Times New Roman" w:eastAsia="Times New Roman" w:hAnsi="Times New Roman" w:cs="Times New Roman"/>
          <w:sz w:val="24"/>
          <w:szCs w:val="24"/>
        </w:rPr>
        <w:t xml:space="preserve">Meuten, 2015).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elevação de ureia e creatinina sugere azotemia </w:t>
      </w:r>
      <w:r w:rsidR="009B1D8F">
        <w:rPr>
          <w:rFonts w:ascii="Times New Roman" w:eastAsia="Times New Roman" w:hAnsi="Times New Roman" w:cs="Times New Roman"/>
          <w:sz w:val="24"/>
          <w:szCs w:val="24"/>
        </w:rPr>
        <w:t>secundária</w:t>
      </w:r>
      <w:r w:rsidR="000F7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D8F">
        <w:rPr>
          <w:rFonts w:ascii="Times New Roman" w:eastAsia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obstrução uretral </w:t>
      </w:r>
      <w:r w:rsidRPr="00A27B8A">
        <w:rPr>
          <w:rFonts w:ascii="Times New Roman" w:eastAsia="Times New Roman" w:hAnsi="Times New Roman" w:cs="Times New Roman"/>
          <w:sz w:val="24"/>
          <w:szCs w:val="24"/>
        </w:rPr>
        <w:t xml:space="preserve">(Sampaio et al., 2020).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Além disso, fatores como dieta inadequada, estresse, acesso à rua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ausência de castração corroboram a etiologia multifatorial da DTUIF </w:t>
      </w:r>
      <w:r w:rsidR="003270B5">
        <w:rPr>
          <w:rFonts w:ascii="Times New Roman" w:eastAsia="Times New Roman" w:hAnsi="Times New Roman" w:cs="Times New Roman"/>
          <w:sz w:val="24"/>
          <w:szCs w:val="24"/>
        </w:rPr>
        <w:t>(</w:t>
      </w:r>
      <w:r w:rsidR="003270B5" w:rsidRPr="003270B5">
        <w:rPr>
          <w:rFonts w:ascii="Times New Roman" w:eastAsia="Times New Roman" w:hAnsi="Times New Roman" w:cs="Times New Roman"/>
          <w:sz w:val="24"/>
          <w:szCs w:val="24"/>
        </w:rPr>
        <w:t>Little, 202</w:t>
      </w:r>
      <w:r w:rsidR="003270B5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072FD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3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2922" w:rsidRPr="00312922">
        <w:rPr>
          <w:rFonts w:ascii="Times New Roman" w:eastAsia="Times New Roman" w:hAnsi="Times New Roman" w:cs="Times New Roman"/>
          <w:sz w:val="24"/>
          <w:szCs w:val="24"/>
        </w:rPr>
        <w:t>O manejo inicial baseou-se em terapia conservadora</w:t>
      </w:r>
      <w:r w:rsidR="009B1D8F">
        <w:rPr>
          <w:rFonts w:ascii="Times New Roman" w:eastAsia="Times New Roman" w:hAnsi="Times New Roman" w:cs="Times New Roman"/>
          <w:sz w:val="24"/>
          <w:szCs w:val="24"/>
        </w:rPr>
        <w:t xml:space="preserve"> com</w:t>
      </w:r>
      <w:r w:rsidR="00312922" w:rsidRPr="00312922">
        <w:rPr>
          <w:rFonts w:ascii="Times New Roman" w:eastAsia="Times New Roman" w:hAnsi="Times New Roman" w:cs="Times New Roman"/>
          <w:sz w:val="24"/>
          <w:szCs w:val="24"/>
        </w:rPr>
        <w:t xml:space="preserve"> anti-inflamatório não </w:t>
      </w:r>
      <w:r w:rsidR="00312922" w:rsidRPr="00312922">
        <w:rPr>
          <w:rFonts w:ascii="Times New Roman" w:eastAsia="Times New Roman" w:hAnsi="Times New Roman" w:cs="Times New Roman"/>
          <w:sz w:val="24"/>
          <w:szCs w:val="24"/>
        </w:rPr>
        <w:lastRenderedPageBreak/>
        <w:t>esteroidal, analgésicos, antimicrobiano e suporte urinário. Apesar da melhora clínica parcial, houve persistência da sintomatologia urinária e recorrência da obstrução uretral, evidenciando refratariedade</w:t>
      </w:r>
      <w:r w:rsidR="003129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177A4" w:rsidRPr="00B177A4">
        <w:rPr>
          <w:rFonts w:ascii="Times New Roman" w:eastAsia="Times New Roman" w:hAnsi="Times New Roman" w:cs="Times New Roman"/>
          <w:sz w:val="24"/>
          <w:szCs w:val="24"/>
        </w:rPr>
        <w:t>A desobstrução uretral por cateterização é recomendada como abordagem inicial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</w:rPr>
        <w:t xml:space="preserve">(Jericó </w:t>
      </w:r>
      <w:r w:rsidR="00072FDA" w:rsidRPr="003270B5">
        <w:rPr>
          <w:rFonts w:ascii="Times New Roman" w:eastAsia="Times New Roman" w:hAnsi="Times New Roman" w:cs="Times New Roman"/>
          <w:sz w:val="24"/>
          <w:szCs w:val="24"/>
        </w:rPr>
        <w:t>et al</w:t>
      </w:r>
      <w:r w:rsidRPr="00A27B8A">
        <w:rPr>
          <w:rFonts w:ascii="Times New Roman" w:eastAsia="Times New Roman" w:hAnsi="Times New Roman" w:cs="Times New Roman"/>
          <w:sz w:val="24"/>
          <w:szCs w:val="24"/>
        </w:rPr>
        <w:t>., 2015).</w:t>
      </w:r>
      <w:r w:rsidRPr="00C52918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Contudo, diante da refratariedade, a uretrostomia perineal associada à penectomia configura-se como alternativa</w:t>
      </w:r>
      <w:r w:rsidR="00312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2922" w:rsidRPr="00312922">
        <w:rPr>
          <w:rFonts w:ascii="Times New Roman" w:eastAsia="Times New Roman" w:hAnsi="Times New Roman" w:cs="Times New Roman"/>
          <w:sz w:val="24"/>
          <w:szCs w:val="24"/>
        </w:rPr>
        <w:t>terapêutica para redução de novos episódios obstrutivos</w:t>
      </w:r>
      <w:r w:rsidR="00312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0B5" w:rsidRPr="00A27B8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3270B5" w:rsidRPr="00A27B8A">
        <w:rPr>
          <w:rFonts w:ascii="Times New Roman" w:eastAsia="Times New Roman" w:hAnsi="Times New Roman" w:cs="Times New Roman"/>
          <w:sz w:val="24"/>
          <w:szCs w:val="24"/>
        </w:rPr>
        <w:t>Fossum</w:t>
      </w:r>
      <w:proofErr w:type="spellEnd"/>
      <w:r w:rsidR="003270B5" w:rsidRPr="00A27B8A">
        <w:rPr>
          <w:rFonts w:ascii="Times New Roman" w:eastAsia="Times New Roman" w:hAnsi="Times New Roman" w:cs="Times New Roman"/>
          <w:sz w:val="24"/>
          <w:szCs w:val="24"/>
        </w:rPr>
        <w:t xml:space="preserve">, 2021).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pós-operatório, a hematúria e presença de coágulos foram compatíveis com o processo inflamatório residual </w:t>
      </w:r>
      <w:r w:rsidR="001044EA" w:rsidRPr="001044EA">
        <w:rPr>
          <w:rFonts w:ascii="Times New Roman" w:eastAsia="Times New Roman" w:hAnsi="Times New Roman" w:cs="Times New Roman"/>
          <w:sz w:val="24"/>
          <w:szCs w:val="24"/>
        </w:rPr>
        <w:t>evidenciando a necessidade de acompanhamento contínuo</w:t>
      </w:r>
      <w:r w:rsidR="000C7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2305" w:rsidRPr="00DF2305">
        <w:rPr>
          <w:rFonts w:ascii="Times New Roman" w:eastAsia="Times New Roman" w:hAnsi="Times New Roman" w:cs="Times New Roman"/>
          <w:sz w:val="24"/>
          <w:szCs w:val="24"/>
        </w:rPr>
        <w:t>(Nelson; Couto, 2020).</w:t>
      </w:r>
      <w:r w:rsidR="00DF2305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caso reforça a importância do diagnósti</w:t>
      </w:r>
      <w:r>
        <w:rPr>
          <w:rFonts w:ascii="Times New Roman" w:eastAsia="Times New Roman" w:hAnsi="Times New Roman" w:cs="Times New Roman"/>
          <w:sz w:val="24"/>
          <w:szCs w:val="24"/>
        </w:rPr>
        <w:t>co precoce,</w:t>
      </w:r>
      <w:r w:rsidR="001044EA" w:rsidRPr="00B43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4EA" w:rsidRPr="001044EA">
        <w:rPr>
          <w:rFonts w:ascii="Times New Roman" w:eastAsia="Times New Roman" w:hAnsi="Times New Roman" w:cs="Times New Roman"/>
          <w:sz w:val="24"/>
          <w:szCs w:val="24"/>
        </w:rPr>
        <w:t>investigação etiológica e abordagem terapêutica adequada para prevenção de complicações e recorrências.</w:t>
      </w:r>
      <w:r w:rsidR="0010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85C8AB" w14:textId="3298B1E6" w:rsidR="00A77767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</w:p>
    <w:p w14:paraId="773BA75C" w14:textId="4A2F8753" w:rsidR="001044EA" w:rsidRDefault="00301746" w:rsidP="009255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Conclui-se que </w:t>
      </w:r>
      <w:r w:rsidR="000C711B">
        <w:rPr>
          <w:rFonts w:ascii="Times New Roman" w:eastAsia="Times New Roman" w:hAnsi="Times New Roman" w:cs="Times New Roman"/>
          <w:sz w:val="24"/>
          <w:szCs w:val="24"/>
        </w:rPr>
        <w:t>a DTUIF obstrutiva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uma </w:t>
      </w:r>
      <w:r w:rsidR="000C711B">
        <w:rPr>
          <w:rFonts w:ascii="Times New Roman" w:eastAsia="Times New Roman" w:hAnsi="Times New Roman" w:cs="Times New Roman"/>
          <w:sz w:val="24"/>
          <w:szCs w:val="24"/>
        </w:rPr>
        <w:t>síndrome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711B">
        <w:rPr>
          <w:rFonts w:ascii="Times New Roman" w:eastAsia="Times New Roman" w:hAnsi="Times New Roman" w:cs="Times New Roman"/>
          <w:sz w:val="24"/>
          <w:szCs w:val="24"/>
        </w:rPr>
        <w:t>emergencial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felinos, na qual o diagnóstico precoce e o manejo adequado são determinantes para o prognóstico</w:t>
      </w:r>
      <w:r w:rsidR="001044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44EA" w:rsidRPr="001044EA">
        <w:rPr>
          <w:rFonts w:ascii="Times New Roman" w:eastAsia="Times New Roman" w:hAnsi="Times New Roman" w:cs="Times New Roman"/>
          <w:sz w:val="24"/>
          <w:szCs w:val="24"/>
        </w:rPr>
        <w:t>No presente caso, a recorrência obstrutiva e a refratariedade ao tratamento conservador justificaram a realização da uretrostomia perineal associada à penectomia. Entretanto, ressalta-se que o procedimento cirúrgico auxilia na redução de novos episódios obstrutivos, sem eliminar necessariamente a doença, tornando indispensáveis o acompanhamento contínuo e o controle dos fatores predisponentes.</w:t>
      </w:r>
    </w:p>
    <w:p w14:paraId="7EF101C1" w14:textId="77777777" w:rsidR="009255FC" w:rsidRDefault="00301746" w:rsidP="005C3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REFERÊNCIAS:</w:t>
      </w:r>
    </w:p>
    <w:p w14:paraId="585DAAC5" w14:textId="77777777" w:rsid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 w:rsidRPr="00B4389B">
        <w:rPr>
          <w:rFonts w:ascii="Times New Roman" w:eastAsia="Times New Roman" w:hAnsi="Times New Roman" w:cs="Times New Roman"/>
        </w:rPr>
        <w:t xml:space="preserve">FOSSUM, T. W. </w:t>
      </w:r>
      <w:proofErr w:type="spellStart"/>
      <w:r w:rsidRPr="005C32D3">
        <w:rPr>
          <w:rFonts w:ascii="Times New Roman" w:eastAsia="Times New Roman" w:hAnsi="Times New Roman" w:cs="Times New Roman"/>
        </w:rPr>
        <w:t>Small</w:t>
      </w:r>
      <w:proofErr w:type="spellEnd"/>
      <w:r w:rsidRPr="005C32D3">
        <w:rPr>
          <w:rFonts w:ascii="Times New Roman" w:eastAsia="Times New Roman" w:hAnsi="Times New Roman" w:cs="Times New Roman"/>
        </w:rPr>
        <w:t xml:space="preserve"> Animal </w:t>
      </w:r>
      <w:proofErr w:type="spellStart"/>
      <w:r w:rsidRPr="005C32D3">
        <w:rPr>
          <w:rFonts w:ascii="Times New Roman" w:eastAsia="Times New Roman" w:hAnsi="Times New Roman" w:cs="Times New Roman"/>
        </w:rPr>
        <w:t>Surgery</w:t>
      </w:r>
      <w:proofErr w:type="spellEnd"/>
      <w:r w:rsidRPr="00B4389B">
        <w:rPr>
          <w:rFonts w:ascii="Times New Roman" w:eastAsia="Times New Roman" w:hAnsi="Times New Roman" w:cs="Times New Roman"/>
        </w:rPr>
        <w:t>. 6. ed. St. Louis: Elsevier, 2021</w:t>
      </w:r>
    </w:p>
    <w:p w14:paraId="1D7BF045" w14:textId="77777777" w:rsid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JERICÓ, M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M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K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; ANDRADE, J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P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; KOGIKA, M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M</w:t>
      </w:r>
      <w:r w:rsidR="006964B8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5C32D3">
        <w:rPr>
          <w:rFonts w:ascii="Times New Roman" w:eastAsia="Times New Roman" w:hAnsi="Times New Roman" w:cs="Times New Roman"/>
        </w:rPr>
        <w:t>Tratado de medicina interna de cães e gatos</w:t>
      </w:r>
      <w:r>
        <w:rPr>
          <w:rFonts w:ascii="Times New Roman" w:eastAsia="Times New Roman" w:hAnsi="Times New Roman" w:cs="Times New Roman"/>
        </w:rPr>
        <w:t>. 1. ed. Rio de Janeiro: Roca, 2015. v. 2, p. 1483–1492.</w:t>
      </w:r>
    </w:p>
    <w:p w14:paraId="089D2FC9" w14:textId="77777777" w:rsid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 w:rsidRPr="005C32D3">
        <w:rPr>
          <w:rFonts w:ascii="Times New Roman" w:eastAsia="Times New Roman" w:hAnsi="Times New Roman" w:cs="Times New Roman"/>
        </w:rPr>
        <w:t>LITTLE, S. The Cat</w:t>
      </w:r>
      <w:r w:rsidR="006964B8" w:rsidRPr="005C32D3">
        <w:rPr>
          <w:rFonts w:ascii="Times New Roman" w:eastAsia="Times New Roman" w:hAnsi="Times New Roman" w:cs="Times New Roman"/>
        </w:rPr>
        <w:t>:</w:t>
      </w:r>
      <w:r w:rsidRPr="005C32D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C32D3">
        <w:rPr>
          <w:rFonts w:ascii="Times New Roman" w:eastAsia="Times New Roman" w:hAnsi="Times New Roman" w:cs="Times New Roman"/>
        </w:rPr>
        <w:t>Clinical</w:t>
      </w:r>
      <w:proofErr w:type="spellEnd"/>
      <w:r w:rsidRPr="005C32D3">
        <w:rPr>
          <w:rFonts w:ascii="Times New Roman" w:eastAsia="Times New Roman" w:hAnsi="Times New Roman" w:cs="Times New Roman"/>
        </w:rPr>
        <w:t xml:space="preserve"> Medicine and Management. 2. ed. St. Louis: Elsevier, 2024.</w:t>
      </w:r>
    </w:p>
    <w:p w14:paraId="4F58DB5E" w14:textId="77777777" w:rsid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MEUTEN, D. Avaliação e interpretação laboratorial do sistema urinário. In: THRALL, M. A.; BAKER, D. C.; CAMPBELL, T. W. </w:t>
      </w:r>
      <w:r>
        <w:rPr>
          <w:rFonts w:ascii="Times New Roman" w:eastAsia="Times New Roman" w:hAnsi="Times New Roman" w:cs="Times New Roman"/>
          <w:i/>
          <w:iCs/>
        </w:rPr>
        <w:t>Hematologia e bioquímica clínica veterinária</w:t>
      </w:r>
      <w:r>
        <w:rPr>
          <w:rFonts w:ascii="Times New Roman" w:eastAsia="Times New Roman" w:hAnsi="Times New Roman" w:cs="Times New Roman"/>
        </w:rPr>
        <w:t>. 1. ed. São Paulo: Roca, 2015.</w:t>
      </w:r>
    </w:p>
    <w:p w14:paraId="37AD7B61" w14:textId="77777777" w:rsid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MOURA, T. T.; RIBEIRO, R. E.; MEDEIROS, F. F. de. Doença do trato urinário inferior felino. </w:t>
      </w:r>
      <w:r w:rsidRPr="005C32D3">
        <w:rPr>
          <w:rFonts w:ascii="Times New Roman" w:eastAsia="Times New Roman" w:hAnsi="Times New Roman" w:cs="Times New Roman"/>
        </w:rPr>
        <w:t>Ciência Animal</w:t>
      </w:r>
      <w:r>
        <w:rPr>
          <w:rFonts w:ascii="Times New Roman" w:eastAsia="Times New Roman" w:hAnsi="Times New Roman" w:cs="Times New Roman"/>
        </w:rPr>
        <w:t>, [S. l.], v. 34, n. 3, p. 129–141, 2024. Disponível em: https://revistas.uece.br/index.php/cienciaanimal/article/view/14219. Acesso em: 20 mar. 2026.</w:t>
      </w:r>
    </w:p>
    <w:p w14:paraId="29DFA020" w14:textId="3F6F9B81" w:rsidR="00B4389B" w:rsidRPr="005C32D3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 w:rsidRPr="005C32D3">
        <w:rPr>
          <w:rFonts w:ascii="Times New Roman" w:eastAsia="Times New Roman" w:hAnsi="Times New Roman" w:cs="Times New Roman"/>
        </w:rPr>
        <w:t xml:space="preserve">NELSON, R. W.; COUTO, C. G. </w:t>
      </w:r>
      <w:proofErr w:type="spellStart"/>
      <w:r w:rsidRPr="005C32D3">
        <w:rPr>
          <w:rFonts w:ascii="Times New Roman" w:eastAsia="Times New Roman" w:hAnsi="Times New Roman" w:cs="Times New Roman"/>
        </w:rPr>
        <w:t>Small</w:t>
      </w:r>
      <w:proofErr w:type="spellEnd"/>
      <w:r w:rsidRPr="005C32D3">
        <w:rPr>
          <w:rFonts w:ascii="Times New Roman" w:eastAsia="Times New Roman" w:hAnsi="Times New Roman" w:cs="Times New Roman"/>
        </w:rPr>
        <w:t xml:space="preserve"> Animal </w:t>
      </w:r>
      <w:proofErr w:type="spellStart"/>
      <w:r w:rsidRPr="005C32D3">
        <w:rPr>
          <w:rFonts w:ascii="Times New Roman" w:eastAsia="Times New Roman" w:hAnsi="Times New Roman" w:cs="Times New Roman"/>
        </w:rPr>
        <w:t>Internal</w:t>
      </w:r>
      <w:proofErr w:type="spellEnd"/>
      <w:r w:rsidRPr="005C32D3">
        <w:rPr>
          <w:rFonts w:ascii="Times New Roman" w:eastAsia="Times New Roman" w:hAnsi="Times New Roman" w:cs="Times New Roman"/>
        </w:rPr>
        <w:t xml:space="preserve"> Medicine. 6. ed. St. Louis: Elsevier, 2020.</w:t>
      </w:r>
    </w:p>
    <w:p w14:paraId="775B4E88" w14:textId="4870996E" w:rsidR="00B4389B" w:rsidRDefault="00B4389B" w:rsidP="00FE64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SAMPAIO, K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de O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; ALEIXO, G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A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de S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; SOUSA-FILHO, R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P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de; SILVA, E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C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B</w:t>
      </w:r>
      <w:r w:rsidR="00DF230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da. Obstrução uretral em gatos. </w:t>
      </w:r>
      <w:r>
        <w:rPr>
          <w:rFonts w:ascii="Times New Roman" w:eastAsia="Times New Roman" w:hAnsi="Times New Roman" w:cs="Times New Roman"/>
          <w:i/>
          <w:iCs/>
        </w:rPr>
        <w:t>Veterinária e Zootecnia</w:t>
      </w:r>
      <w:r>
        <w:rPr>
          <w:rFonts w:ascii="Times New Roman" w:eastAsia="Times New Roman" w:hAnsi="Times New Roman" w:cs="Times New Roman"/>
        </w:rPr>
        <w:t>, Botucatu, v. 27, p. 1–12, 2020. DOI: 10.35172/rvz.2020.v27.531</w:t>
      </w:r>
      <w:r w:rsidR="00DE7144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Disponível em: https://rvz.emnuvens.com.br/rvz/article/view/531. Acesso em: 20 mar. 2026.</w:t>
      </w:r>
    </w:p>
    <w:sectPr w:rsidR="00B4389B">
      <w:headerReference w:type="default" r:id="rId7"/>
      <w:footerReference w:type="default" r:id="rId8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35FDA" w14:textId="77777777" w:rsidR="00FC73E0" w:rsidRDefault="00FC73E0">
      <w:pPr>
        <w:spacing w:after="0" w:line="240" w:lineRule="auto"/>
      </w:pPr>
      <w:r>
        <w:separator/>
      </w:r>
    </w:p>
  </w:endnote>
  <w:endnote w:type="continuationSeparator" w:id="0">
    <w:p w14:paraId="36B6870B" w14:textId="77777777" w:rsidR="00FC73E0" w:rsidRDefault="00FC7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88305B3F-EA9D-4701-9B4B-061F6E04C540}"/>
    <w:embedBold r:id="rId2" w:fontKey="{6B3F5101-E313-43FD-9E6A-35E021CAF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BEEAC5-9C8F-4BAC-A817-22811CF282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871AE0-1531-4BB9-9E89-3D254E3E62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159DF16-EE1A-4BD9-BDB8-44C247A20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0B25A" w14:textId="77777777" w:rsidR="00A77767" w:rsidRDefault="0030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60692">
      <w:rPr>
        <w:noProof/>
        <w:color w:val="000000"/>
      </w:rPr>
      <w:t>1</w:t>
    </w:r>
    <w:r>
      <w:rPr>
        <w:color w:val="000000"/>
      </w:rPr>
      <w:fldChar w:fldCharType="end"/>
    </w:r>
  </w:p>
  <w:p w14:paraId="3526F9CB" w14:textId="77777777" w:rsidR="00A77767" w:rsidRDefault="00A77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0EAE4" w14:textId="77777777" w:rsidR="00FC73E0" w:rsidRDefault="00FC73E0">
      <w:pPr>
        <w:spacing w:after="0" w:line="240" w:lineRule="auto"/>
      </w:pPr>
      <w:r>
        <w:separator/>
      </w:r>
    </w:p>
  </w:footnote>
  <w:footnote w:type="continuationSeparator" w:id="0">
    <w:p w14:paraId="29A1AD3F" w14:textId="77777777" w:rsidR="00FC73E0" w:rsidRDefault="00FC7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F3EFA" w14:textId="77777777" w:rsidR="00A77767" w:rsidRDefault="0030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721408" wp14:editId="0F772657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2838965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5FC57F" w14:textId="77777777" w:rsidR="00A77767" w:rsidRDefault="00A77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767"/>
    <w:rsid w:val="00066F59"/>
    <w:rsid w:val="00072FDA"/>
    <w:rsid w:val="000C711B"/>
    <w:rsid w:val="000F778B"/>
    <w:rsid w:val="001044EA"/>
    <w:rsid w:val="00160692"/>
    <w:rsid w:val="00176BA8"/>
    <w:rsid w:val="001A5FC6"/>
    <w:rsid w:val="001A6CFC"/>
    <w:rsid w:val="0027533A"/>
    <w:rsid w:val="002A6D28"/>
    <w:rsid w:val="00301746"/>
    <w:rsid w:val="00312922"/>
    <w:rsid w:val="003270B5"/>
    <w:rsid w:val="003575CD"/>
    <w:rsid w:val="003B0F32"/>
    <w:rsid w:val="003B18C0"/>
    <w:rsid w:val="00417B95"/>
    <w:rsid w:val="00480E61"/>
    <w:rsid w:val="005C05AF"/>
    <w:rsid w:val="005C32D3"/>
    <w:rsid w:val="006964B8"/>
    <w:rsid w:val="006B07CF"/>
    <w:rsid w:val="00732EB1"/>
    <w:rsid w:val="007A6508"/>
    <w:rsid w:val="008700CB"/>
    <w:rsid w:val="0090425B"/>
    <w:rsid w:val="009255FC"/>
    <w:rsid w:val="0097373E"/>
    <w:rsid w:val="009B1D8F"/>
    <w:rsid w:val="00A27B8A"/>
    <w:rsid w:val="00A463DF"/>
    <w:rsid w:val="00A77767"/>
    <w:rsid w:val="00B177A4"/>
    <w:rsid w:val="00B4389B"/>
    <w:rsid w:val="00C52918"/>
    <w:rsid w:val="00CD085F"/>
    <w:rsid w:val="00D42A1F"/>
    <w:rsid w:val="00DC56E5"/>
    <w:rsid w:val="00DE7144"/>
    <w:rsid w:val="00DF2305"/>
    <w:rsid w:val="00E12C14"/>
    <w:rsid w:val="00FC73E0"/>
    <w:rsid w:val="00FE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2D7B9"/>
  <w15:docId w15:val="{1FF50551-8EE2-45F3-9BEF-ACA65074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">
    <w:name w:val="1"/>
    <w:basedOn w:val="TableNormal0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character" w:customStyle="1" w:styleId="normaltextrun">
    <w:name w:val="normaltextrun"/>
    <w:basedOn w:val="Fontepargpadro"/>
    <w:rsid w:val="008D4752"/>
  </w:style>
  <w:style w:type="paragraph" w:styleId="NormalWeb">
    <w:name w:val="Normal (Web)"/>
    <w:basedOn w:val="Normal"/>
    <w:uiPriority w:val="99"/>
    <w:unhideWhenUsed/>
    <w:rsid w:val="007F5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fase">
    <w:name w:val="Emphasis"/>
    <w:basedOn w:val="Fontepargpadro"/>
    <w:uiPriority w:val="20"/>
    <w:qFormat/>
    <w:rsid w:val="00DF2305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275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41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/o8Gy8JRov8ZqKLFXttLEF9Kw==">CgMxLjA4AHIhMUpiYkMtUnJlMm45ZkpwQlVNOTBadi1MX3BDZktoRm9K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1255</Words>
  <Characters>6778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beaeug40@gmail.com</cp:lastModifiedBy>
  <cp:revision>2</cp:revision>
  <dcterms:created xsi:type="dcterms:W3CDTF">2026-05-08T23:25:00Z</dcterms:created>
  <dcterms:modified xsi:type="dcterms:W3CDTF">2026-05-08T23:25:00Z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