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ASSOCIAÇÃO ENTRE TROMBOCITOPENIA E HEMOPARASITOSES EM HEMOGRAMAS DE CÃES ATENDIDOS NO HOSPITAL VETERINÁRIO ADÍLIO SANTOS DE AZEVEDO (2023–2024).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Pedro Henrique Medeiros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LIMA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¹; Maria Aparecida de Souza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OLIVEIRA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Giovanna do Nascimento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ABRANTES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Hygea Brito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²; Luis Henrique Vieira Lima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ZACARIAS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Jéssica Vieira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DANTAS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Amélia Lizziane Leite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DUARTE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Graduando(a) em Medicina Veterinária IFPB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E-mail: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lima.medeiros@academico.ifpb.edu.br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maria.oliveira.10@academico.ifpb.edu.br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abrantes.giovanna@academico.ifpb.edu.br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Médico(a) Veterinário(a) residente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annabritohygea@gmail.com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luishvlz12@gmail.com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Mestra e técnica do laboratório IFPB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jessica.dantas@ifpb.edu.br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Doutora e professora em Medicina Veterinária IFPB. E-mail: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amelia.duarte@ifpb.edu.br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estudo teve como objetivo avaliar a relação entre a trombocitopenia e hemoparasitoses em cães atendidos no Hospital Veterinário Adílio Santos de Azevedo, em Sousa- PB, entre 2023 e 2024. Foi realizada uma análise retrospectiva de 630 hemogramas. Os exames foram conduzidos por métodos manuais e automatizados, com confirmação por esfregaço sanguíneo. Observou-se que 58,7% dos cães apresentaram trombocitopenia, sendo 13,2% associada à presença de hemoparasitas. Houve uma frequência maior no ano de 2023. O hemoparasita que se mostrou mais prevalente foi 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Hepatozoon spp.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(52%), seguido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Anaplasma spp.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(32%),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Ehrlichia spp.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(10%)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Babesia spp.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(4%). Cães infectados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Ehrlichia spp.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apresentaram menor média plaquetária. Conclui-se que os hemoparasitas, principalmente 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Hepatozoon spp.,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foi o mais prevalente neste estudo, são importantes fatores associados à trombocitopenia, especialmente em regiões endêmicas, reforçando a necessidade de diagnóstico laboratorial adequado.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hemoparasitoses; patologia clínica; plaquetopenia; esfregaço sanguíneo.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plaquetas são essenciais para a hemostasia, participando da formação do coágulo e da manutenção da integridade vascular. A trombocitopenia, caracterizada pela redução da contagem plaquetária, é uma alteração comum na clínica veterinária de pequenos animais e pode estar associada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hemoparasitoses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(Neel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2012). Essas infecções, causadas por agentes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Ehrlichia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Anaplasma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Babesia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Hepatozoon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são frequentes em regiões tropicais e promovem alterações hematológicas relevantes (Gaunt e Beugnet, 2018). Em Sousa- PB, estudos indicam a prevalência de hemoparasitoses, especialmente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Hepatozoon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variando entre 4,8% e 8,1%, com maior ocorrência em períodos quentes e associados à alta infestação por carrapatos (Silva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2022). Assim, este estudo avaliou a relação entre trombocitopenia e hemoparasitoses em cães atendidos no Hospital Veterinário Adílio Santos de Azevedo entre 2023 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retrospectivo analisou hemogramas completos de cães atendidos no HV-ASA/IFPB (Sousa) entre 2023 e 2024, excluindo fichas incompletas ou sem confirmação laboratorial. Considerou-se trombocitopenia contagens plaquetárias inferiores a 200.000/µL. Os exames foram realizados por métodos manuais e automatizados, com avaliação de esfregaços sanguíneos para identificação de mórulas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Ehrlichia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Anaplasma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spp., gamontes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Hepatozoon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 e piroplasmas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Babesia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dados foram analisados descritivamente para verificar a frequência de trombocitopenia e sua associação com hemoparasitoses.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resultados obtidos a partir da análise dos 630 hemogramas de cães atendidos no Hospital Adílio Santos de Azevedo evidenciaram que 58,7% dos animais apresentaram trombocitopenia, sendo que, destes 13,2% estavam associados à presença de hemoparasitas, assim como pode ser identificado na Tabela 1. Dentre os hemoparasitas identificados, destacou-se a maior prevalência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Hepatozoon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(52%), seguido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Anaplasma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(32%),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Ehrlichia spp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(10%)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Babesia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(4%), diferindo de estudos que apontam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Ehrlichia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como principal agente associado à trombocitopenia.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-5" w:hanging="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Tabela 1. Número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hemogramas, casos de trombocitopenia e casos de hemoparasitoses em cães nos anos de 2023 e 2024 no LPCV/HV-ASA.</w:t>
      </w:r>
    </w:p>
    <w:tbl>
      <w:tblPr>
        <w:tblStyle w:val="Table1"/>
        <w:tblW w:w="8970.0" w:type="dxa"/>
        <w:jc w:val="left"/>
        <w:tblInd w:w="108.0" w:type="dxa"/>
        <w:tblLayout w:type="fixed"/>
        <w:tblLook w:val="0400"/>
      </w:tblPr>
      <w:tblGrid>
        <w:gridCol w:w="1065"/>
        <w:gridCol w:w="2025"/>
        <w:gridCol w:w="2955"/>
        <w:gridCol w:w="2925"/>
        <w:tblGridChange w:id="0">
          <w:tblGrid>
            <w:gridCol w:w="1065"/>
            <w:gridCol w:w="2025"/>
            <w:gridCol w:w="2955"/>
            <w:gridCol w:w="292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56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Número total de resultados de hemogramas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Número de Casos de Trombocitopenia* n(%)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Casos de hemoparasitoses entre os trombocitopênicos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(%)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56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56" w:lineRule="auto"/>
              <w:ind w:left="48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(66,5%)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(13,5%)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56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56" w:lineRule="auto"/>
              <w:ind w:left="48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 (45,2%)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(12,5%)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center" w:leader="none" w:pos="1583"/>
          <w:tab w:val="center" w:leader="none" w:pos="3996"/>
          <w:tab w:val="center" w:leader="none" w:pos="6675"/>
        </w:tabs>
        <w:spacing w:after="79" w:line="25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Total </w:t>
        <w:tab/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630 </w:t>
        <w:tab/>
        <w:t xml:space="preserve">                               370 (58,7%)</w:t>
        <w:tab/>
        <w:t xml:space="preserve">                         49 (13,2%)</w:t>
      </w:r>
    </w:p>
    <w:p w:rsidR="00000000" w:rsidDel="00000000" w:rsidP="00000000" w:rsidRDefault="00000000" w:rsidRPr="00000000" w14:paraId="00000023">
      <w:pPr>
        <w:spacing w:after="8" w:line="256" w:lineRule="auto"/>
        <w:ind w:left="9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mc:AlternateContent>
          <mc:Choice Requires="wpg">
            <w:drawing>
              <wp:inline distB="0" distT="0" distL="0" distR="0">
                <wp:extent cx="5340985" cy="63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75500" y="3776825"/>
                          <a:ext cx="5340985" cy="6350"/>
                          <a:chOff x="2675500" y="3776825"/>
                          <a:chExt cx="5341000" cy="6350"/>
                        </a:xfrm>
                      </wpg:grpSpPr>
                      <wpg:grpSp>
                        <wpg:cNvGrpSpPr/>
                        <wpg:grpSpPr>
                          <a:xfrm>
                            <a:off x="2675508" y="3776825"/>
                            <a:ext cx="5340985" cy="6350"/>
                            <a:chOff x="2675500" y="3776825"/>
                            <a:chExt cx="5341000" cy="9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675500" y="3776825"/>
                              <a:ext cx="5341000" cy="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75508" y="3776825"/>
                              <a:ext cx="5340985" cy="9631"/>
                              <a:chOff x="0" y="0"/>
                              <a:chExt cx="53409" cy="9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3400" cy="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7513" cy="91"/>
                              </a:xfrm>
                              <a:custGeom>
                                <a:rect b="b" l="l" r="r" t="t"/>
                                <a:pathLst>
                                  <a:path extrusionOk="0" h="9144" w="751332">
                                    <a:moveTo>
                                      <a:pt x="0" y="0"/>
                                    </a:moveTo>
                                    <a:lnTo>
                                      <a:pt x="751332" y="0"/>
                                    </a:lnTo>
                                    <a:lnTo>
                                      <a:pt x="75133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7421" y="0"/>
                                <a:ext cx="91" cy="91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7482" y="0"/>
                                <a:ext cx="15334" cy="91"/>
                              </a:xfrm>
                              <a:custGeom>
                                <a:rect b="b" l="l" r="r" t="t"/>
                                <a:pathLst>
                                  <a:path extrusionOk="0" h="9144" w="1533398">
                                    <a:moveTo>
                                      <a:pt x="0" y="0"/>
                                    </a:moveTo>
                                    <a:lnTo>
                                      <a:pt x="1533398" y="0"/>
                                    </a:lnTo>
                                    <a:lnTo>
                                      <a:pt x="153339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22726" y="0"/>
                                <a:ext cx="91" cy="91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22787" y="0"/>
                                <a:ext cx="17467" cy="91"/>
                              </a:xfrm>
                              <a:custGeom>
                                <a:rect b="b" l="l" r="r" t="t"/>
                                <a:pathLst>
                                  <a:path extrusionOk="0" h="9144" w="1746758">
                                    <a:moveTo>
                                      <a:pt x="0" y="0"/>
                                    </a:moveTo>
                                    <a:lnTo>
                                      <a:pt x="1746758" y="0"/>
                                    </a:lnTo>
                                    <a:lnTo>
                                      <a:pt x="174675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40163" y="0"/>
                                <a:ext cx="91" cy="91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40224" y="0"/>
                                <a:ext cx="13185" cy="91"/>
                              </a:xfrm>
                              <a:custGeom>
                                <a:rect b="b" l="l" r="r" t="t"/>
                                <a:pathLst>
                                  <a:path extrusionOk="0" h="9144" w="1318514">
                                    <a:moveTo>
                                      <a:pt x="0" y="0"/>
                                    </a:moveTo>
                                    <a:lnTo>
                                      <a:pt x="1318514" y="0"/>
                                    </a:lnTo>
                                    <a:lnTo>
                                      <a:pt x="131851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340985" cy="63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0985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17" w:line="256" w:lineRule="auto"/>
        <w:ind w:left="111" w:right="140" w:hanging="1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*Considerando valor de referência para cães Segundo Jain (1993) </w:t>
      </w:r>
    </w:p>
    <w:p w:rsidR="00000000" w:rsidDel="00000000" w:rsidP="00000000" w:rsidRDefault="00000000" w:rsidRPr="00000000" w14:paraId="00000025">
      <w:pPr>
        <w:spacing w:after="115" w:line="256" w:lineRule="auto"/>
        <w:ind w:left="-1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Fonte: LPCV (Laboratório de Patologia Clínica Veterinária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do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HV – ASA</w:t>
      </w:r>
    </w:p>
    <w:p w:rsidR="00000000" w:rsidDel="00000000" w:rsidP="00000000" w:rsidRDefault="00000000" w:rsidRPr="00000000" w14:paraId="00000026">
      <w:pPr>
        <w:spacing w:after="115" w:line="256" w:lineRule="auto"/>
        <w:ind w:left="-1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relação à contagem plaquetária, verificou-se que cães infectados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Ehrlichia spp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apresentaram os menores valores médios, indicando maior impacto hematológico, enquanto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Babesia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apresentou menor redução plaquetária. Embora os resultados demonstrem </w:t>
      </w:r>
    </w:p>
    <w:p w:rsidR="00000000" w:rsidDel="00000000" w:rsidP="00000000" w:rsidRDefault="00000000" w:rsidRPr="00000000" w14:paraId="00000028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associação descritiva entre trombocitopenia e hemoparasitoses, ressalta-se que a trombocitopenia pode ocorrer por diferentes causas clínicas, laboratoriais e infecciosas, não sendo exclusiva dessas infecções.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Tabela 2. Valores médios da contagem total de plaquetas entre cada hemoparasitose diagnosticada nos hemogramas de cães, nos anos de 2023 e 2024.</w:t>
      </w: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5.0" w:type="dxa"/>
        <w:tblLayout w:type="fixed"/>
        <w:tblLook w:val="0400"/>
      </w:tblPr>
      <w:tblGrid>
        <w:gridCol w:w="4110"/>
        <w:gridCol w:w="5010"/>
        <w:gridCol w:w="195"/>
        <w:tblGridChange w:id="0">
          <w:tblGrid>
            <w:gridCol w:w="4110"/>
            <w:gridCol w:w="5010"/>
            <w:gridCol w:w="1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Hemoparasitoses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Média </w:t>
              <w:tab/>
              <w:t xml:space="preserve">dos valores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plaquetograma (mil/mm)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Ehrlichia spp.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72.000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Hepatozoon spp.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107.500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Anaplasma spp.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108.000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Babesia spp.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116.000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Ausência de hemoparasita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128.000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LPCV (Laboratório de Patologia Clínica Veterinária) do HV – ASA.</w:t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resultados permitiram observar associação descritiva entre trombocitopenia e presença de hemoparasitas em cães atendidos no Hospital Veterinário Adílio Santos de Azevedo. Observou-se ainda que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Hepatozoon spp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foi o hemoparasita mais frequente entre os casos avaliados, enquanto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Ehrlichia spp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apresentou os menores valores médios plaquetários. Dessa forma, os achados reforçam a importância da investigação laboratorial das hemoparasitoses em cães com trombocitopenia, especialmente em regiões endêmicas.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GAUNT, S. D.; BEUGNET, F.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Ehrlichiosis, anaplasmosis, and related infections.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Veterinary Clinics of North America: Small Animal Practice, v. 48, n. 4, p. 687-702, 2018.</w:t>
        <w:br w:type="textWrapping"/>
        <w:t xml:space="preserve">JAIN, N. C.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Essentials of veterinary hematology.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4º ed. Philadelphia: Lea &amp; Febiger, 1993.</w:t>
        <w:br w:type="textWrapping"/>
        <w:t xml:space="preserve">NEEL, J. A.; SNYDER, L.; GRINDEM, C. B.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Thrombocytosis: a retrospective study of 165 dogs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Veterinary Clinical Pathology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41, n. 2, p. 216-222, 2012.                           SILVA, Regina Chrysler Romeu da.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Etiopatogenia das trombocitopenias em cães: revisão de literatura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Recife: O Autor, 2022.</w:t>
      </w:r>
    </w:p>
    <w:sectPr>
      <w:headerReference r:id="rId15" w:type="default"/>
      <w:footerReference r:id="rId16" w:type="default"/>
      <w:pgSz w:h="16838" w:w="11906" w:orient="portrait"/>
      <w:pgMar w:bottom="1418" w:top="2159" w:left="1418" w:right="1418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-30478</wp:posOffset>
          </wp:positionH>
          <wp:positionV relativeFrom="paragraph">
            <wp:posOffset>-417827</wp:posOffset>
          </wp:positionV>
          <wp:extent cx="5934075" cy="14887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4075" cy="14887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ptos" w:cs="Aptos" w:eastAsia="Aptos" w:hAnsi="Aptos"/>
      <w:sz w:val="24"/>
      <w:szCs w:val="24"/>
    </w:rPr>
    <w:tblPr>
      <w:tblStyleRowBandSize w:val="1"/>
      <w:tblStyleColBandSize w:val="1"/>
      <w:tblCellMar>
        <w:top w:w="13.0" w:type="dxa"/>
        <w:left w:w="0.0" w:type="dxa"/>
        <w:bottom w:w="0.0" w:type="dxa"/>
        <w:right w:w="4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3.0" w:type="dxa"/>
        <w:left w:w="115.0" w:type="dxa"/>
        <w:bottom w:w="0.0" w:type="dxa"/>
        <w:right w:w="4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uishvlz12@gmail.com" TargetMode="External"/><Relationship Id="rId10" Type="http://schemas.openxmlformats.org/officeDocument/2006/relationships/hyperlink" Target="mailto:annabritohygea@gmail.com" TargetMode="External"/><Relationship Id="rId13" Type="http://schemas.openxmlformats.org/officeDocument/2006/relationships/hyperlink" Target="mailto:amelia.duarte@ifpb.edu.br" TargetMode="External"/><Relationship Id="rId12" Type="http://schemas.openxmlformats.org/officeDocument/2006/relationships/hyperlink" Target="mailto:jessica.dantas@ifp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brantes.giovanna@academico.ifpb.edu.br" TargetMode="External"/><Relationship Id="rId15" Type="http://schemas.openxmlformats.org/officeDocument/2006/relationships/header" Target="header1.xml"/><Relationship Id="rId14" Type="http://schemas.openxmlformats.org/officeDocument/2006/relationships/image" Target="media/image2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ima.medeiros@academico.ifpb.edu.br" TargetMode="External"/><Relationship Id="rId8" Type="http://schemas.openxmlformats.org/officeDocument/2006/relationships/hyperlink" Target="mailto:maria.oliveira.10@academico.ifpb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ugZpSuJ4ijfn5wegbVC+X4swA==">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