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CE1CF" w14:textId="77777777" w:rsidR="00483094" w:rsidRPr="0009257C" w:rsidRDefault="00483094" w:rsidP="0013299F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F0BFF4" w14:textId="39539B12" w:rsidR="0013299F" w:rsidRDefault="00163137" w:rsidP="0013299F">
      <w:pPr>
        <w:pStyle w:val="Corpodetexto"/>
        <w:spacing w:after="100" w:line="240" w:lineRule="auto"/>
        <w:ind w:left="72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6313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APRENDENDO E BRINCANDO: EXPERIÊNCIA DE IMPLEMENTAÇÃO DE JOGO NA PREVENÇÃO DA HANSENÍASE EM IGARAPÉ-AÇU</w:t>
      </w:r>
    </w:p>
    <w:p w14:paraId="5770CB58" w14:textId="77777777" w:rsidR="00163137" w:rsidRPr="0009257C" w:rsidRDefault="00163137" w:rsidP="0013299F">
      <w:pPr>
        <w:pStyle w:val="Corpodetexto"/>
        <w:spacing w:after="100" w:line="240" w:lineRule="auto"/>
        <w:ind w:left="72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17B9596" w14:textId="65EEE0E1" w:rsidR="00541FBA" w:rsidRDefault="006F20F9" w:rsidP="00483094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2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INTRODUÇÃO: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A hanseníase é uma doença </w:t>
      </w:r>
      <w:r w:rsidR="00DC1799">
        <w:rPr>
          <w:rFonts w:ascii="Times New Roman" w:hAnsi="Times New Roman" w:cs="Times New Roman"/>
          <w:color w:val="000000"/>
          <w:sz w:val="24"/>
          <w:szCs w:val="24"/>
        </w:rPr>
        <w:t xml:space="preserve">infectocontagiosa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causada pela bactéria </w:t>
      </w:r>
      <w:r w:rsidRPr="006F20F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Mycobacterium </w:t>
      </w:r>
      <w:proofErr w:type="spellStart"/>
      <w:r w:rsidRPr="006F20F9">
        <w:rPr>
          <w:rFonts w:ascii="Times New Roman" w:hAnsi="Times New Roman" w:cs="Times New Roman"/>
          <w:i/>
          <w:iCs/>
          <w:color w:val="000000"/>
          <w:sz w:val="24"/>
          <w:szCs w:val="24"/>
        </w:rPr>
        <w:t>leprae</w:t>
      </w:r>
      <w:proofErr w:type="spellEnd"/>
      <w:r w:rsidRPr="006F20F9">
        <w:rPr>
          <w:rFonts w:ascii="Times New Roman" w:hAnsi="Times New Roman" w:cs="Times New Roman"/>
          <w:color w:val="000000"/>
          <w:sz w:val="24"/>
          <w:szCs w:val="24"/>
        </w:rPr>
        <w:t>, que afeta a pele e nervos periféricos (1). Tal agravo representa um</w:t>
      </w:r>
      <w:r w:rsidR="00DC179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problema de saúde pública no Brasil, sobretudo em territórios de vulnerabilidades </w:t>
      </w:r>
      <w:proofErr w:type="spellStart"/>
      <w:r w:rsidRPr="006F20F9">
        <w:rPr>
          <w:rFonts w:ascii="Times New Roman" w:hAnsi="Times New Roman" w:cs="Times New Roman"/>
          <w:color w:val="000000"/>
          <w:sz w:val="24"/>
          <w:szCs w:val="24"/>
        </w:rPr>
        <w:t>socio-históricas</w:t>
      </w:r>
      <w:proofErr w:type="spellEnd"/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. A Vila de Santo Antônio do Prata foi a primeira colônia para isolamento de hansenianos na Amazônia, o que contribuiu para a construção de estigmas (2). Assim, a intervenção com o público infantil, torna-se fundamental para ressignificar e incentivar a percepção da doença. </w:t>
      </w:r>
      <w:r w:rsidRPr="006F2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OBJETIVOS: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Descrever a experiência de utilização do jogo de tabuleiro como recurso educativo e de prevenção da hanseníase no contexto da enfermagem. </w:t>
      </w:r>
      <w:r w:rsidRPr="006F2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DESCRIÇÃO DA EXPERIÊNCIA: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 A ação foi realizada por acadêmicos de enfermagem em duas escolas na Vila do Prata, com estudantes de 6 a 9 anos. Inicialmente, foi exibida uma animação para contextualização e, em seguida, aplicou-se o jogo “Missão Pele Saudável”, no qual os participantes, organizados em grupos, respondiam a perguntas sobre hanseníase para acumular fichas, sendo vencedor o grupo com maior pontuação. </w:t>
      </w:r>
      <w:r w:rsidRPr="006F2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RESULTADOS: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Observou-se que a dinâmica possibilitou um ambiente divertido, favorecendo o engajamento das crianças e o compartilhamento de saberes. Ao longo da execução, evidenciou-se a capacidade de raciocínio dos participantes, por meio dos questionamentos apresentados. </w:t>
      </w:r>
      <w:r w:rsidRPr="006F2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DISCUSSÃO: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A vivência revelou que, mesmo com avanços, persistem resquícios associados à doença no território e demonstrou que o aprendizado é mais efetivo quando mediado por atividades recreativas, como preconiza o Ministério da Saúde (1). </w:t>
      </w:r>
      <w:r>
        <w:rPr>
          <w:rFonts w:ascii="Times New Roman" w:hAnsi="Times New Roman" w:cs="Times New Roman"/>
          <w:color w:val="000000"/>
          <w:sz w:val="24"/>
          <w:szCs w:val="24"/>
        </w:rPr>
        <w:t>Entretanto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, expôs o desafio de traduzir conteúdos técnicos à uma linguagem acessível à </w:t>
      </w:r>
      <w:r>
        <w:rPr>
          <w:rFonts w:ascii="Times New Roman" w:hAnsi="Times New Roman" w:cs="Times New Roman"/>
          <w:color w:val="000000"/>
          <w:sz w:val="24"/>
          <w:szCs w:val="24"/>
        </w:rPr>
        <w:t>idade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 xml:space="preserve">, apontando a importância de adaptar a comunicação como elemento central no desempenho das ações (3).  </w:t>
      </w:r>
      <w:r w:rsidRPr="006F20F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CONCLUSÕES: </w:t>
      </w:r>
      <w:r w:rsidRPr="006F20F9">
        <w:rPr>
          <w:rFonts w:ascii="Times New Roman" w:hAnsi="Times New Roman" w:cs="Times New Roman"/>
          <w:color w:val="000000"/>
          <w:sz w:val="24"/>
          <w:szCs w:val="24"/>
        </w:rPr>
        <w:t> Constatou-se que a aplicação da estratégia lúdica nas escolas é um instrumento efetivo para conscientização, aprendizagem e promoção da saúde referente a hanseníase, colaborando para a atuação da enfermagem no cuidado e vínculo com a comunidade.</w:t>
      </w:r>
    </w:p>
    <w:p w14:paraId="18360044" w14:textId="77777777" w:rsidR="00541FBA" w:rsidRPr="00541FBA" w:rsidRDefault="00541FBA" w:rsidP="00483094">
      <w:pPr>
        <w:spacing w:before="0"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CABC151" w14:textId="62D6816A" w:rsidR="00483094" w:rsidRPr="0009257C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Descritores (</w:t>
      </w:r>
      <w:proofErr w:type="spell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DeCS</w:t>
      </w:r>
      <w:proofErr w:type="spell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– ID): </w:t>
      </w:r>
      <w:r w:rsidR="0013299F" w:rsidRPr="0013299F">
        <w:rPr>
          <w:rFonts w:ascii="Times New Roman" w:hAnsi="Times New Roman" w:cs="Times New Roman"/>
          <w:color w:val="000000" w:themeColor="text1"/>
          <w:sz w:val="24"/>
          <w:szCs w:val="24"/>
        </w:rPr>
        <w:t>Hanseníase - D007918; Educação em Saúde - D006266; Saúde da Criança - D000067576</w:t>
      </w:r>
      <w:r w:rsidR="0013299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423F9D3" w14:textId="0178393B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Modalidade: estudo original </w:t>
      </w:r>
      <w:proofErr w:type="gramStart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( </w:t>
      </w:r>
      <w:r w:rsidR="00B42C0E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</w:t>
      </w:r>
      <w:proofErr w:type="gramEnd"/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 relato de experiência (</w:t>
      </w:r>
      <w:r w:rsidR="0013299F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>) revisão da literatura (  )</w:t>
      </w:r>
    </w:p>
    <w:p w14:paraId="7333CC5F" w14:textId="39541F40" w:rsidR="00483094" w:rsidRPr="0013299F" w:rsidRDefault="00483094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Eixo Temático:  </w:t>
      </w:r>
      <w:r w:rsidR="0013299F" w:rsidRPr="0013299F">
        <w:rPr>
          <w:rFonts w:ascii="Times New Roman" w:hAnsi="Times New Roman" w:cs="Times New Roman"/>
          <w:color w:val="000000" w:themeColor="text1"/>
          <w:sz w:val="24"/>
          <w:szCs w:val="24"/>
        </w:rPr>
        <w:t>Reflexões e experiências educativas inovadoras na Enfermagem</w:t>
      </w:r>
    </w:p>
    <w:p w14:paraId="1B629D4A" w14:textId="77777777" w:rsidR="00B42C0E" w:rsidRDefault="00B42C0E" w:rsidP="00483094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5F3721" w14:textId="5F3BFCEB" w:rsidR="00483094" w:rsidRPr="0009257C" w:rsidRDefault="00483094" w:rsidP="00483094">
      <w:pPr>
        <w:pStyle w:val="Corpodetexto"/>
        <w:spacing w:after="100"/>
        <w:jc w:val="both"/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</w:pPr>
      <w:r w:rsidRPr="0009257C">
        <w:rPr>
          <w:rStyle w:val="nfaseforte"/>
          <w:rFonts w:ascii="Times New Roman" w:hAnsi="Times New Roman" w:cs="Times New Roman"/>
          <w:color w:val="000000" w:themeColor="text1"/>
          <w:sz w:val="24"/>
          <w:szCs w:val="24"/>
        </w:rPr>
        <w:t xml:space="preserve">REFERÊNCIAS: </w:t>
      </w:r>
    </w:p>
    <w:p w14:paraId="0959B7D5" w14:textId="77777777" w:rsidR="009F52B2" w:rsidRDefault="009F52B2" w:rsidP="00B8507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t xml:space="preserve">Brasil. Ministério da Saúde. Secretaria de Ciência, Tecnologia, Inovação e Insumos Estratégicos em Saúde. </w:t>
      </w:r>
      <w:r>
        <w:rPr>
          <w:rStyle w:val="nfase"/>
          <w:rFonts w:eastAsiaTheme="majorEastAsia"/>
        </w:rPr>
        <w:t>Protocolo clínico e diretrizes terapêuticas da hanseníase</w:t>
      </w:r>
      <w:r>
        <w:t>. Brasília: Ministério da Saúde; 2022.</w:t>
      </w:r>
      <w:r>
        <w:rPr>
          <w:color w:val="000000"/>
        </w:rPr>
        <w:t xml:space="preserve"> </w:t>
      </w:r>
    </w:p>
    <w:p w14:paraId="38E69B43" w14:textId="77777777" w:rsidR="009F52B2" w:rsidRDefault="009F52B2" w:rsidP="009F52B2">
      <w:pPr>
        <w:pStyle w:val="NormalWeb"/>
        <w:spacing w:before="0" w:beforeAutospacing="0" w:after="0" w:afterAutospacing="0"/>
        <w:ind w:left="720"/>
        <w:jc w:val="both"/>
        <w:textAlignment w:val="baseline"/>
        <w:rPr>
          <w:color w:val="000000"/>
        </w:rPr>
      </w:pPr>
    </w:p>
    <w:p w14:paraId="358A94D7" w14:textId="199C2575" w:rsidR="00B85070" w:rsidRPr="009F52B2" w:rsidRDefault="00B85070" w:rsidP="00B85070">
      <w:pPr>
        <w:pStyle w:val="NormalWeb"/>
        <w:numPr>
          <w:ilvl w:val="0"/>
          <w:numId w:val="2"/>
        </w:numPr>
        <w:spacing w:before="0" w:beforeAutospacing="0" w:after="0" w:afterAutospacing="0"/>
        <w:jc w:val="both"/>
        <w:textAlignment w:val="baseline"/>
        <w:rPr>
          <w:color w:val="000000"/>
        </w:rPr>
      </w:pPr>
      <w:r>
        <w:rPr>
          <w:color w:val="000000"/>
        </w:rPr>
        <w:lastRenderedPageBreak/>
        <w:t xml:space="preserve">Miranda BV, Beltrão JF. Entre registros amarelados: aspectos de vida dos indivíduos isolados na </w:t>
      </w:r>
      <w:proofErr w:type="spellStart"/>
      <w:r>
        <w:rPr>
          <w:color w:val="000000"/>
        </w:rPr>
        <w:t>Lazarópolis</w:t>
      </w:r>
      <w:proofErr w:type="spellEnd"/>
      <w:r>
        <w:rPr>
          <w:color w:val="000000"/>
        </w:rPr>
        <w:t xml:space="preserve"> do Prata no século XX – Igarapé-</w:t>
      </w:r>
      <w:proofErr w:type="spellStart"/>
      <w:r>
        <w:rPr>
          <w:color w:val="000000"/>
        </w:rPr>
        <w:t>Açú</w:t>
      </w:r>
      <w:proofErr w:type="spellEnd"/>
      <w:r>
        <w:rPr>
          <w:color w:val="000000"/>
        </w:rPr>
        <w:t xml:space="preserve"> (PA). In: Sociedade Brasileira para o Progresso da Ciência (SBPC). </w:t>
      </w:r>
      <w:r>
        <w:rPr>
          <w:i/>
          <w:iCs/>
          <w:color w:val="000000"/>
        </w:rPr>
        <w:t>Anais da 76ª Reunião Anual da SBPC</w:t>
      </w:r>
      <w:r>
        <w:rPr>
          <w:color w:val="000000"/>
        </w:rPr>
        <w:t xml:space="preserve"> [Internet]. 2024 [acesso em 2026 </w:t>
      </w:r>
      <w:r w:rsidR="009F52B2">
        <w:rPr>
          <w:color w:val="000000"/>
        </w:rPr>
        <w:t>abril</w:t>
      </w:r>
      <w:r>
        <w:rPr>
          <w:color w:val="000000"/>
        </w:rPr>
        <w:t xml:space="preserve"> 27]. Disponível em:</w:t>
      </w:r>
      <w:hyperlink r:id="rId7" w:history="1">
        <w:r w:rsidRPr="00B85070">
          <w:rPr>
            <w:rStyle w:val="Hyperlink"/>
            <w:rFonts w:eastAsiaTheme="majorEastAsia"/>
            <w:color w:val="000000" w:themeColor="text1"/>
            <w:u w:val="none"/>
          </w:rPr>
          <w:t xml:space="preserve"> https://reunioes.sbpcnet.org.br/76RA/inscritos/resumos/3111_1c7831ca620d5f1161bea4610fdfe8153.pdf</w:t>
        </w:r>
      </w:hyperlink>
      <w:r w:rsidRPr="00B85070">
        <w:rPr>
          <w:color w:val="000000" w:themeColor="text1"/>
        </w:rPr>
        <w:t> </w:t>
      </w:r>
    </w:p>
    <w:p w14:paraId="228A101F" w14:textId="77777777" w:rsidR="009F52B2" w:rsidRDefault="009F52B2" w:rsidP="009F52B2">
      <w:pPr>
        <w:pStyle w:val="NormalWeb"/>
        <w:spacing w:before="0" w:beforeAutospacing="0" w:after="0" w:afterAutospacing="0"/>
        <w:jc w:val="both"/>
        <w:textAlignment w:val="baseline"/>
        <w:rPr>
          <w:color w:val="000000"/>
        </w:rPr>
      </w:pPr>
    </w:p>
    <w:p w14:paraId="207CBFD8" w14:textId="72804C55" w:rsidR="00B85070" w:rsidRDefault="00B85070" w:rsidP="00B85070">
      <w:pPr>
        <w:pStyle w:val="NormalWeb"/>
        <w:numPr>
          <w:ilvl w:val="0"/>
          <w:numId w:val="2"/>
        </w:numPr>
        <w:spacing w:before="0" w:beforeAutospacing="0" w:after="160" w:afterAutospacing="0"/>
        <w:jc w:val="both"/>
        <w:textAlignment w:val="baseline"/>
        <w:rPr>
          <w:color w:val="000000"/>
        </w:rPr>
      </w:pPr>
      <w:r>
        <w:rPr>
          <w:color w:val="000000"/>
        </w:rPr>
        <w:t xml:space="preserve">Prates EJS, Prates MLS, Santos GR de AC, Leite MT de S. Abordagens educativas: a hanseníase no âmbito escolar. </w:t>
      </w:r>
      <w:proofErr w:type="spellStart"/>
      <w:r>
        <w:rPr>
          <w:color w:val="000000"/>
        </w:rPr>
        <w:t>CiPraxis</w:t>
      </w:r>
      <w:proofErr w:type="spellEnd"/>
      <w:r>
        <w:rPr>
          <w:color w:val="000000"/>
        </w:rPr>
        <w:t xml:space="preserve"> [Internet]. 29º de novembro de 2017 [acesso em 27 de abr</w:t>
      </w:r>
      <w:r w:rsidR="009F52B2">
        <w:rPr>
          <w:color w:val="000000"/>
        </w:rPr>
        <w:t>il</w:t>
      </w:r>
      <w:r>
        <w:rPr>
          <w:color w:val="000000"/>
        </w:rPr>
        <w:t xml:space="preserve"> de 2026];9(18):29-34. Disponível em: https://revista.uemg.br/praxys/article/view/2468</w:t>
      </w:r>
    </w:p>
    <w:p w14:paraId="62BA77ED" w14:textId="5648CC7B" w:rsidR="00212EC8" w:rsidRPr="0013299F" w:rsidRDefault="00212EC8" w:rsidP="0013299F">
      <w:pPr>
        <w:pStyle w:val="Corpodetexto"/>
        <w:spacing w:after="10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212EC8" w:rsidRPr="0013299F" w:rsidSect="0013299F">
      <w:headerReference w:type="default" r:id="rId8"/>
      <w:footerReference w:type="defaul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97318E" w14:textId="77777777" w:rsidR="00634A23" w:rsidRDefault="00634A23" w:rsidP="0068569C">
      <w:pPr>
        <w:spacing w:before="0" w:after="0" w:line="240" w:lineRule="auto"/>
      </w:pPr>
      <w:r>
        <w:separator/>
      </w:r>
    </w:p>
  </w:endnote>
  <w:endnote w:type="continuationSeparator" w:id="0">
    <w:p w14:paraId="7FF691B7" w14:textId="77777777" w:rsidR="00634A23" w:rsidRDefault="00634A23" w:rsidP="0068569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6A6F" w14:textId="068E8347" w:rsidR="007958B3" w:rsidRPr="007958B3" w:rsidRDefault="007958B3" w:rsidP="007958B3">
    <w:pPr>
      <w:pStyle w:val="Rodap"/>
    </w:pPr>
    <w:r w:rsidRPr="007958B3">
      <w:rPr>
        <w:noProof/>
      </w:rPr>
      <w:drawing>
        <wp:inline distT="0" distB="0" distL="0" distR="0" wp14:anchorId="44F87CA4" wp14:editId="0988274D">
          <wp:extent cx="5676900" cy="830367"/>
          <wp:effectExtent l="0" t="0" r="0" b="8255"/>
          <wp:docPr id="193522519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86426"/>
                  <a:stretch>
                    <a:fillRect/>
                  </a:stretch>
                </pic:blipFill>
                <pic:spPr bwMode="auto">
                  <a:xfrm>
                    <a:off x="0" y="0"/>
                    <a:ext cx="5785808" cy="84629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5D3F7BF" w14:textId="77777777" w:rsidR="007958B3" w:rsidRDefault="007958B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A8DD1" w14:textId="77777777" w:rsidR="00634A23" w:rsidRDefault="00634A23" w:rsidP="0068569C">
      <w:pPr>
        <w:spacing w:before="0" w:after="0" w:line="240" w:lineRule="auto"/>
      </w:pPr>
      <w:r>
        <w:separator/>
      </w:r>
    </w:p>
  </w:footnote>
  <w:footnote w:type="continuationSeparator" w:id="0">
    <w:p w14:paraId="77A91D4C" w14:textId="77777777" w:rsidR="00634A23" w:rsidRDefault="00634A23" w:rsidP="0068569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748B1" w14:textId="4BF7574D" w:rsidR="0068569C" w:rsidRDefault="0068569C">
    <w:pPr>
      <w:pStyle w:val="Cabealho"/>
    </w:pPr>
    <w:r w:rsidRPr="0068569C">
      <w:rPr>
        <w:noProof/>
      </w:rPr>
      <w:drawing>
        <wp:inline distT="0" distB="0" distL="0" distR="0" wp14:anchorId="6ADCF6A4" wp14:editId="13AB00BE">
          <wp:extent cx="5762625" cy="959940"/>
          <wp:effectExtent l="0" t="0" r="0" b="0"/>
          <wp:docPr id="482130830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213083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876678" cy="978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D84F8F"/>
    <w:multiLevelType w:val="hybridMultilevel"/>
    <w:tmpl w:val="1AE4F302"/>
    <w:lvl w:ilvl="0" w:tplc="28A0C6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F24537"/>
    <w:multiLevelType w:val="multilevel"/>
    <w:tmpl w:val="AFD03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2976C32"/>
    <w:multiLevelType w:val="multilevel"/>
    <w:tmpl w:val="25FC9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094"/>
    <w:rsid w:val="0013299F"/>
    <w:rsid w:val="00163137"/>
    <w:rsid w:val="00212EC8"/>
    <w:rsid w:val="002177C6"/>
    <w:rsid w:val="002671E9"/>
    <w:rsid w:val="00391753"/>
    <w:rsid w:val="004431AA"/>
    <w:rsid w:val="00483094"/>
    <w:rsid w:val="005246DC"/>
    <w:rsid w:val="0052763D"/>
    <w:rsid w:val="00541FBA"/>
    <w:rsid w:val="00634A23"/>
    <w:rsid w:val="0068569C"/>
    <w:rsid w:val="006F20F9"/>
    <w:rsid w:val="007436FB"/>
    <w:rsid w:val="007958B3"/>
    <w:rsid w:val="00867A4B"/>
    <w:rsid w:val="009008ED"/>
    <w:rsid w:val="009E251C"/>
    <w:rsid w:val="009F52B2"/>
    <w:rsid w:val="00B10BE2"/>
    <w:rsid w:val="00B42C0E"/>
    <w:rsid w:val="00B85070"/>
    <w:rsid w:val="00D36A32"/>
    <w:rsid w:val="00DB33A4"/>
    <w:rsid w:val="00DC1799"/>
    <w:rsid w:val="00DE4AC0"/>
    <w:rsid w:val="00F42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FFF119"/>
  <w15:chartTrackingRefBased/>
  <w15:docId w15:val="{FD5DBA8C-C9D1-4FE3-9B78-6B7BE94B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94"/>
    <w:pPr>
      <w:spacing w:before="100" w:after="200" w:line="276" w:lineRule="auto"/>
    </w:pPr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830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830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830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830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830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830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830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830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830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830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830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830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8309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83094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83094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83094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83094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8309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830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83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830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830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83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83094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83094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83094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83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83094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83094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rsid w:val="00483094"/>
    <w:pPr>
      <w:spacing w:after="140"/>
    </w:pPr>
  </w:style>
  <w:style w:type="character" w:customStyle="1" w:styleId="CorpodetextoChar">
    <w:name w:val="Corpo de texto Char"/>
    <w:basedOn w:val="Fontepargpadro"/>
    <w:link w:val="Corpodetexto"/>
    <w:rsid w:val="00483094"/>
    <w:rPr>
      <w:rFonts w:eastAsiaTheme="minorEastAsia"/>
      <w:kern w:val="0"/>
      <w:sz w:val="20"/>
      <w:szCs w:val="20"/>
      <w:lang w:eastAsia="pt-BR"/>
      <w14:ligatures w14:val="none"/>
    </w:rPr>
  </w:style>
  <w:style w:type="character" w:customStyle="1" w:styleId="nfaseforte">
    <w:name w:val="Ênfase forte"/>
    <w:rsid w:val="00483094"/>
    <w:rPr>
      <w:b/>
      <w:bCs/>
    </w:rPr>
  </w:style>
  <w:style w:type="paragraph" w:styleId="Cabealho">
    <w:name w:val="header"/>
    <w:basedOn w:val="Normal"/>
    <w:link w:val="Cabealho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68569C"/>
    <w:pPr>
      <w:tabs>
        <w:tab w:val="center" w:pos="4252"/>
        <w:tab w:val="right" w:pos="8504"/>
      </w:tabs>
      <w:spacing w:before="0"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569C"/>
    <w:rPr>
      <w:rFonts w:eastAsiaTheme="minorEastAsia"/>
      <w:kern w:val="0"/>
      <w:sz w:val="20"/>
      <w:szCs w:val="20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13299F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13299F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B33A4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9F52B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0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eunioes.sbpcnet.org.br/76RA/inscritos/resumos/3111_1c7831ca620d5f1161bea4610fdfe8153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538</Words>
  <Characters>2911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Borges</dc:creator>
  <cp:keywords/>
  <dc:description/>
  <cp:lastModifiedBy>Kawany Pessoa</cp:lastModifiedBy>
  <cp:revision>5</cp:revision>
  <dcterms:created xsi:type="dcterms:W3CDTF">2026-05-01T14:51:00Z</dcterms:created>
  <dcterms:modified xsi:type="dcterms:W3CDTF">2026-05-08T20:42:00Z</dcterms:modified>
</cp:coreProperties>
</file>