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5839" w14:textId="5BC28D1E" w:rsidR="008A5436" w:rsidRDefault="00A720DB" w:rsidP="00BA4B2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RINCIPAIS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CAUSAS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CONDENAÇÃO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CARCAÇAS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BOVINAS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SOB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NSPEÇÃO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EDERAL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STADO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OCANTINS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2025</w:t>
      </w:r>
    </w:p>
    <w:p w14:paraId="6DE06828" w14:textId="4824A083" w:rsidR="008A5436" w:rsidRPr="00296691" w:rsidRDefault="00CC441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Lucas Vin</w:t>
      </w:r>
      <w:r w:rsidR="007729D6"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cius da Costa </w:t>
      </w:r>
      <w:r w:rsidRPr="00CC441F">
        <w:rPr>
          <w:rFonts w:ascii="Times New Roman" w:eastAsia="Times New Roman" w:hAnsi="Times New Roman" w:cs="Times New Roman"/>
          <w:b/>
          <w:bCs/>
          <w:sz w:val="24"/>
          <w:szCs w:val="24"/>
        </w:rPr>
        <w:t>SOARES</w:t>
      </w:r>
      <w:r w:rsidR="00A720DB">
        <w:rPr>
          <w:rFonts w:ascii="Times New Roman" w:eastAsia="Times New Roman" w:hAnsi="Times New Roman" w:cs="Times New Roman"/>
          <w:b/>
          <w:bCs/>
          <w:sz w:val="24"/>
          <w:szCs w:val="24"/>
        </w:rPr>
        <w:t>¹</w:t>
      </w:r>
      <w:r w:rsidR="00A720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C3FB9">
        <w:rPr>
          <w:rFonts w:ascii="Times New Roman" w:eastAsia="Times New Roman" w:hAnsi="Times New Roman" w:cs="Times New Roman"/>
          <w:sz w:val="24"/>
          <w:szCs w:val="24"/>
        </w:rPr>
        <w:t xml:space="preserve">David Batista </w:t>
      </w:r>
      <w:r w:rsidR="00FC3FB9" w:rsidRPr="00FC3FB9">
        <w:rPr>
          <w:rFonts w:ascii="Times New Roman" w:eastAsia="Times New Roman" w:hAnsi="Times New Roman" w:cs="Times New Roman"/>
          <w:b/>
          <w:bCs/>
          <w:sz w:val="24"/>
          <w:szCs w:val="24"/>
        </w:rPr>
        <w:t>FARIA</w:t>
      </w:r>
      <w:r w:rsidR="00A720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¹; </w:t>
      </w:r>
      <w:r w:rsidR="00B73890" w:rsidRPr="00B73890">
        <w:rPr>
          <w:rFonts w:ascii="Times New Roman" w:eastAsia="Times New Roman" w:hAnsi="Times New Roman" w:cs="Times New Roman"/>
          <w:sz w:val="24"/>
          <w:szCs w:val="24"/>
        </w:rPr>
        <w:t>Felipe Nóbrega</w:t>
      </w:r>
      <w:r w:rsidR="00B738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SANTOS</w:t>
      </w:r>
      <w:r w:rsidR="00707D48">
        <w:rPr>
          <w:rFonts w:ascii="Times New Roman" w:eastAsia="Times New Roman" w:hAnsi="Times New Roman" w:cs="Times New Roman"/>
          <w:b/>
          <w:bCs/>
          <w:sz w:val="24"/>
          <w:szCs w:val="24"/>
        </w:rPr>
        <w:t>¹</w:t>
      </w:r>
      <w:r w:rsidR="00A720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73890">
        <w:rPr>
          <w:rFonts w:ascii="Times New Roman" w:eastAsia="Times New Roman" w:hAnsi="Times New Roman" w:cs="Times New Roman"/>
          <w:sz w:val="24"/>
          <w:szCs w:val="24"/>
        </w:rPr>
        <w:t xml:space="preserve">Igor Formiga </w:t>
      </w:r>
      <w:r w:rsidR="00B73890" w:rsidRPr="00B73890">
        <w:rPr>
          <w:rFonts w:ascii="Times New Roman" w:eastAsia="Times New Roman" w:hAnsi="Times New Roman" w:cs="Times New Roman"/>
          <w:b/>
          <w:bCs/>
          <w:sz w:val="24"/>
          <w:szCs w:val="24"/>
        </w:rPr>
        <w:t>NÓBREGA</w:t>
      </w:r>
      <w:r w:rsidR="00707D48">
        <w:rPr>
          <w:rFonts w:ascii="Times New Roman" w:eastAsia="Times New Roman" w:hAnsi="Times New Roman" w:cs="Times New Roman"/>
          <w:b/>
          <w:bCs/>
          <w:sz w:val="24"/>
          <w:szCs w:val="24"/>
        </w:rPr>
        <w:t>¹</w:t>
      </w:r>
      <w:r w:rsidR="00A720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73890">
        <w:rPr>
          <w:rFonts w:ascii="Times New Roman" w:eastAsia="Times New Roman" w:hAnsi="Times New Roman" w:cs="Times New Roman"/>
          <w:sz w:val="24"/>
          <w:szCs w:val="24"/>
        </w:rPr>
        <w:t xml:space="preserve">Antonielson dos </w:t>
      </w:r>
      <w:r w:rsidR="00B73890" w:rsidRPr="00B73890">
        <w:rPr>
          <w:rFonts w:ascii="Times New Roman" w:eastAsia="Times New Roman" w:hAnsi="Times New Roman" w:cs="Times New Roman"/>
          <w:b/>
          <w:bCs/>
          <w:sz w:val="24"/>
          <w:szCs w:val="24"/>
        </w:rPr>
        <w:t>SANTOS</w:t>
      </w:r>
      <w:r w:rsidR="00707D4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B7C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 w:rsidR="00D72501" w:rsidRPr="007729D6">
        <w:rPr>
          <w:rFonts w:ascii="Times New Roman" w:eastAsia="Times New Roman" w:hAnsi="Times New Roman" w:cs="Times New Roman"/>
          <w:sz w:val="24"/>
          <w:szCs w:val="24"/>
        </w:rPr>
        <w:t>Tha</w:t>
      </w:r>
      <w:r w:rsidR="007729D6">
        <w:rPr>
          <w:rFonts w:ascii="Times New Roman" w:eastAsia="Times New Roman" w:hAnsi="Times New Roman" w:cs="Times New Roman"/>
          <w:sz w:val="24"/>
          <w:szCs w:val="24"/>
        </w:rPr>
        <w:t>í</w:t>
      </w:r>
      <w:r w:rsidR="00D72501" w:rsidRPr="007729D6">
        <w:rPr>
          <w:rFonts w:ascii="Times New Roman" w:eastAsia="Times New Roman" w:hAnsi="Times New Roman" w:cs="Times New Roman"/>
          <w:sz w:val="24"/>
          <w:szCs w:val="24"/>
        </w:rPr>
        <w:t>s</w:t>
      </w:r>
      <w:r w:rsidR="007729D6" w:rsidRPr="007729D6">
        <w:rPr>
          <w:rFonts w:ascii="Times New Roman" w:eastAsia="Times New Roman" w:hAnsi="Times New Roman" w:cs="Times New Roman"/>
          <w:sz w:val="24"/>
          <w:szCs w:val="24"/>
        </w:rPr>
        <w:t xml:space="preserve"> Ferreira </w:t>
      </w:r>
      <w:r w:rsidR="007729D6">
        <w:rPr>
          <w:rFonts w:ascii="Times New Roman" w:eastAsia="Times New Roman" w:hAnsi="Times New Roman" w:cs="Times New Roman"/>
          <w:b/>
          <w:bCs/>
          <w:sz w:val="24"/>
          <w:szCs w:val="24"/>
        </w:rPr>
        <w:t>FEITOSA</w:t>
      </w:r>
      <w:r w:rsidR="00707D4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³</w:t>
      </w:r>
    </w:p>
    <w:p w14:paraId="5508C4A2" w14:textId="1D3C9C84" w:rsidR="008A5436" w:rsidRDefault="00A720DB" w:rsidP="0029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73890" w:rsidRPr="00B73890">
        <w:rPr>
          <w:rFonts w:ascii="Times New Roman" w:eastAsia="Times New Roman" w:hAnsi="Times New Roman" w:cs="Times New Roman"/>
          <w:color w:val="000000"/>
          <w:sz w:val="20"/>
          <w:szCs w:val="20"/>
        </w:rPr>
        <w:t>Graduando, Bacharelado em Medicina Veterinária, Instituto Federal de Educação, Ciência e Tecnologia da Paraíba (IFPB), Campus Sousa.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E-mail: </w:t>
      </w:r>
      <w:hyperlink r:id="rId6" w:history="1">
        <w:r w:rsidR="00540F78"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lucasviniciusdacostasoares871@gmail.com</w:t>
        </w:r>
      </w:hyperlink>
      <w:r w:rsidR="00540F7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; </w:t>
      </w:r>
      <w:hyperlink r:id="rId7" w:history="1">
        <w:r w:rsidR="00540F78"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davidbfaria15@gmail.com</w:t>
        </w:r>
      </w:hyperlink>
      <w:r w:rsidR="00540F7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; </w:t>
      </w:r>
      <w:hyperlink r:id="rId8" w:history="1">
        <w:r w:rsidR="00540F78"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felipe.santos@academico.ifpb.edu.br</w:t>
        </w:r>
      </w:hyperlink>
      <w:r w:rsidR="00540F7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; </w:t>
      </w:r>
      <w:hyperlink r:id="rId9" w:history="1">
        <w:r w:rsidR="00540F78"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igorformiga10@hotmail.com</w:t>
        </w:r>
      </w:hyperlink>
      <w:r w:rsidR="00540F7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; </w:t>
      </w:r>
    </w:p>
    <w:p w14:paraId="5909F53C" w14:textId="63D6CEAC" w:rsidR="00A42D08" w:rsidRPr="00A42D08" w:rsidRDefault="00540F78" w:rsidP="0029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²</w:t>
      </w:r>
      <w:r w:rsidR="00707D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Médico Veterinário</w:t>
      </w:r>
      <w:r w:rsidR="00707D4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pelo</w:t>
      </w:r>
      <w:r w:rsidR="00A42D08" w:rsidRPr="00A42D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Instituto Federal de Educação, Ciência e Tecnologia da Paraíba (IFPB), Campus Sousa. </w:t>
      </w:r>
      <w:r w:rsidR="00025A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0" w:history="1">
        <w:r w:rsidR="00707D48"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antonielson.santos@academico.ifpb.edu.br</w:t>
        </w:r>
      </w:hyperlink>
      <w:r w:rsidR="00707D4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4B7ECF6C" w14:textId="1692472A" w:rsidR="00A42D08" w:rsidRDefault="00707D48" w:rsidP="00296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Professora Doutora do curso de Medicina Veterinária do IFPB, Campus Sousa. </w:t>
      </w:r>
      <w:r w:rsidR="00025A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1" w:history="1">
        <w:r w:rsidRPr="00AA4D30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thais.feitosa@ifpb.edu.br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66578292" w14:textId="77777777" w:rsidR="00BA4B20" w:rsidRDefault="00BA4B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3A8F421" w14:textId="3DEFFDBC" w:rsidR="008A5436" w:rsidRDefault="00A720D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</w:rPr>
        <w:t>A inspeção sanitária em abatedouros é fundamental para garantir a segurança alimentar e a saúde pública. O estado do Tocantins, possu</w:t>
      </w:r>
      <w:r w:rsidR="001C0FCA"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</w:rPr>
        <w:t xml:space="preserve"> um expressivo rebanho bovino</w:t>
      </w:r>
      <w:r w:rsidR="001C0FCA"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</w:rPr>
        <w:t xml:space="preserve">demanda um controle rigoroso de seus serviços de inspeção. </w:t>
      </w:r>
      <w:r w:rsidR="001C0FCA">
        <w:rPr>
          <w:rFonts w:ascii="Times New Roman" w:eastAsia="Times New Roman" w:hAnsi="Times New Roman" w:cs="Times New Roman"/>
        </w:rPr>
        <w:t>Portanto, e</w:t>
      </w:r>
      <w:r>
        <w:rPr>
          <w:rFonts w:ascii="Times New Roman" w:eastAsia="Times New Roman" w:hAnsi="Times New Roman" w:cs="Times New Roman"/>
        </w:rPr>
        <w:t xml:space="preserve">ste trabalho objetivou analisar as principais causas de condenação total de carcaças bovinas no estado de Tocantins, em estabelecimentos sob Inspeção Federal (SIF), durante o ano de 2025. Realizou-se um estudo quantitativo transversal com dados secundários do Sistema de Informações Gerenciais do SIF (SIGSIF). Os resultados apontaram um total de 387 condenações distribuídas em 22 causas. A neoplasia foi a principal ocorrência </w:t>
      </w:r>
      <w:r w:rsidR="00E87D02">
        <w:rPr>
          <w:rFonts w:ascii="Times New Roman" w:eastAsia="Times New Roman" w:hAnsi="Times New Roman" w:cs="Times New Roman"/>
        </w:rPr>
        <w:t xml:space="preserve">com </w:t>
      </w:r>
      <w:r>
        <w:rPr>
          <w:rFonts w:ascii="Times New Roman" w:eastAsia="Times New Roman" w:hAnsi="Times New Roman" w:cs="Times New Roman"/>
        </w:rPr>
        <w:t>44,70%</w:t>
      </w:r>
      <w:r w:rsidR="00E87D02">
        <w:rPr>
          <w:rFonts w:ascii="Times New Roman" w:eastAsia="Times New Roman" w:hAnsi="Times New Roman" w:cs="Times New Roman"/>
        </w:rPr>
        <w:t xml:space="preserve"> </w:t>
      </w:r>
      <w:r w:rsidR="00707D48">
        <w:rPr>
          <w:rFonts w:ascii="Times New Roman" w:eastAsia="Times New Roman" w:hAnsi="Times New Roman" w:cs="Times New Roman"/>
        </w:rPr>
        <w:t>dos casos (173/387)</w:t>
      </w:r>
      <w:r>
        <w:rPr>
          <w:rFonts w:ascii="Times New Roman" w:eastAsia="Times New Roman" w:hAnsi="Times New Roman" w:cs="Times New Roman"/>
        </w:rPr>
        <w:t xml:space="preserve">, seguida por lesões inflamatórias </w:t>
      </w:r>
      <w:r w:rsidR="00707D48">
        <w:rPr>
          <w:rFonts w:ascii="Times New Roman" w:eastAsia="Times New Roman" w:hAnsi="Times New Roman" w:cs="Times New Roman"/>
        </w:rPr>
        <w:t xml:space="preserve">com </w:t>
      </w:r>
      <w:r>
        <w:rPr>
          <w:rFonts w:ascii="Times New Roman" w:eastAsia="Times New Roman" w:hAnsi="Times New Roman" w:cs="Times New Roman"/>
        </w:rPr>
        <w:t>11,89%</w:t>
      </w:r>
      <w:r w:rsidR="00707D48">
        <w:rPr>
          <w:rFonts w:ascii="Times New Roman" w:eastAsia="Times New Roman" w:hAnsi="Times New Roman" w:cs="Times New Roman"/>
        </w:rPr>
        <w:t xml:space="preserve"> (</w:t>
      </w:r>
      <w:r w:rsidR="008B599C">
        <w:rPr>
          <w:rFonts w:ascii="Times New Roman" w:eastAsia="Times New Roman" w:hAnsi="Times New Roman" w:cs="Times New Roman"/>
        </w:rPr>
        <w:t>46/387)</w:t>
      </w:r>
      <w:r>
        <w:rPr>
          <w:rFonts w:ascii="Times New Roman" w:eastAsia="Times New Roman" w:hAnsi="Times New Roman" w:cs="Times New Roman"/>
        </w:rPr>
        <w:t xml:space="preserve">, traumáticas </w:t>
      </w:r>
      <w:r w:rsidR="008B599C"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</w:rPr>
        <w:t>8,01%</w:t>
      </w:r>
      <w:r w:rsidR="008B599C">
        <w:rPr>
          <w:rFonts w:ascii="Times New Roman" w:eastAsia="Times New Roman" w:hAnsi="Times New Roman" w:cs="Times New Roman"/>
        </w:rPr>
        <w:t xml:space="preserve"> (30/387)</w:t>
      </w:r>
      <w:r>
        <w:rPr>
          <w:rFonts w:ascii="Times New Roman" w:eastAsia="Times New Roman" w:hAnsi="Times New Roman" w:cs="Times New Roman"/>
        </w:rPr>
        <w:t xml:space="preserve"> e tuberculosas</w:t>
      </w:r>
      <w:r w:rsidR="008B599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6,98%</w:t>
      </w:r>
      <w:r w:rsidR="008B599C">
        <w:rPr>
          <w:rFonts w:ascii="Times New Roman" w:eastAsia="Times New Roman" w:hAnsi="Times New Roman" w:cs="Times New Roman"/>
        </w:rPr>
        <w:t xml:space="preserve"> (72/387)</w:t>
      </w:r>
      <w:r>
        <w:rPr>
          <w:rFonts w:ascii="Times New Roman" w:eastAsia="Times New Roman" w:hAnsi="Times New Roman" w:cs="Times New Roman"/>
        </w:rPr>
        <w:t xml:space="preserve">. O pico de condenações ocorreu em fevereiro (118 registros), apresentando estabilidade nos meses subsequentes. </w:t>
      </w:r>
      <w:r w:rsidR="001C0FCA">
        <w:rPr>
          <w:rFonts w:ascii="Times New Roman" w:eastAsia="Times New Roman" w:hAnsi="Times New Roman" w:cs="Times New Roman"/>
        </w:rPr>
        <w:t>Concluí-se que as neoplasias são as principais causas de condenação de carcaça seguidas por lesões inflamatórias.</w:t>
      </w:r>
    </w:p>
    <w:p w14:paraId="73AA66E8" w14:textId="77777777" w:rsidR="008A5436" w:rsidRDefault="00A72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>
        <w:rPr>
          <w:rFonts w:ascii="Times New Roman" w:eastAsia="Times New Roman" w:hAnsi="Times New Roman" w:cs="Times New Roman"/>
        </w:rPr>
        <w:t>inspeção de carne; patologia animal; Saúde pública; abate de bovinos.</w:t>
      </w:r>
    </w:p>
    <w:p w14:paraId="6B3AD913" w14:textId="77777777" w:rsidR="008A5436" w:rsidRDefault="008A54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4BA6A56A" w14:textId="077BA9F0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  <w:r w:rsidR="001C0F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Conforme preconizado pelo Ministério da Agricultura (BRASIL, 2022), a inspeção industrial e sanitária visa garantir a qualidade sanitária dos alimentos. </w:t>
      </w:r>
      <w:r w:rsidR="001C0FCA">
        <w:rPr>
          <w:rFonts w:ascii="Times New Roman" w:eastAsia="Times New Roman" w:hAnsi="Times New Roman" w:cs="Times New Roman"/>
          <w:sz w:val="24"/>
          <w:szCs w:val="24"/>
        </w:rPr>
        <w:t xml:space="preserve">Essa </w:t>
      </w:r>
      <w:r>
        <w:rPr>
          <w:rFonts w:ascii="Times New Roman" w:eastAsia="Times New Roman" w:hAnsi="Times New Roman" w:cs="Times New Roman"/>
          <w:sz w:val="24"/>
          <w:szCs w:val="24"/>
        </w:rPr>
        <w:t>atividade é um pilar da saúde pública, assegurando que os produtos de origem animal estejam isentos de patógenos nocivos e resíduos biológicos ou químicos. Com um efetivo de 11 milhões de cabeças, a pecuária do Tocantins apresenta um crescimento contínuo para atender às demandas de mercado (TOCANTINS, 2023). Devido a essa grande produção, torna-se indispensável o controle sanitário rigoroso dos serviços de inspeção oficial para assegurar a saúde do consumidor (SANTOS, 2022). Neste sentido, este trabalho objetivou analisar as principais causas de condenação de carcaças no estado do Tocantins, em 2025, em estabelecimentos sob inspeção federal.</w:t>
      </w:r>
    </w:p>
    <w:p w14:paraId="5324A28E" w14:textId="7D3BBB0A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Material e métodos: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Trata-se de um estudo quantitativo transversal realizado com dados secundários oriundos do Sistema de Informações Gerenciais do SIF (SIGSIF). Para a seleção dos dados, foram escolhidas as seguintes variáveis: espécie (bovina); Unidade Federativa (Tocantins); ano (2025); parte animal (carcaça) e tipo de condenação </w:t>
      </w:r>
      <w:r w:rsidR="006F637B"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(post mortem). Após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obtenção das taxas, aplicou-se análise descritiva simples com o intuito de identificar as causas com maior proporção de casos no período.</w:t>
      </w:r>
    </w:p>
    <w:p w14:paraId="3F7D13A1" w14:textId="77777777" w:rsidR="008A5436" w:rsidRDefault="008A54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66CC7F" w14:textId="4381EDA3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discussão:</w:t>
      </w:r>
      <w:r w:rsidR="001C0F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C0FCA">
        <w:rPr>
          <w:rFonts w:ascii="Times New Roman" w:eastAsia="Times New Roman" w:hAnsi="Times New Roman" w:cs="Times New Roman"/>
          <w:sz w:val="24"/>
          <w:szCs w:val="24"/>
        </w:rPr>
        <w:t xml:space="preserve">No ano de </w:t>
      </w:r>
      <w:r>
        <w:rPr>
          <w:rFonts w:ascii="Times New Roman" w:eastAsia="Times New Roman" w:hAnsi="Times New Roman" w:cs="Times New Roman"/>
          <w:sz w:val="24"/>
          <w:szCs w:val="24"/>
        </w:rPr>
        <w:t>2025, registraram-se 387 condenações totais (distribuídas em 22 causas) em 8 estabelecimentos. A neoplasia foi a principal causa (44,70%), seguida por lesões inflamatórias (11,89%), traumáticas (8,01%) e tuberculosas (6,98%). Outras causas, como abscessos, septicemia e caquexia, apresentaram índices inferiores a 5%. Ao longo do ano, as condenações iniciaram com 28 registros em janeiro, atingindo seu pico máximo em fevereiro, com 118 ocorrências. Nos meses seguintes, os números apresentaram queda e estabilidade: 24 em março, 19 em abril, 16 em maio (menor índice do ano) e 26 em junho. No segundo semestre, os registros mantiveram uma média constante, variando entre 20 e 37 ocorrências mensais (FIGURA 1).</w:t>
      </w:r>
    </w:p>
    <w:p w14:paraId="4EC00924" w14:textId="77777777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E1DF847" wp14:editId="3ECA9A34">
            <wp:extent cx="4762500" cy="2857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B7E39" w14:textId="77777777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Fonte:Produção do autor, 2026.</w:t>
      </w:r>
    </w:p>
    <w:p w14:paraId="779629DE" w14:textId="095D0262" w:rsidR="008A5436" w:rsidRDefault="00A720D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elevada prevalência de neoplasias como causa de condenação diverge do padrão observado em outras unidades federativas. Enquanto no Amapá a tuberculose figura como a principal causa de descarte (CREÃO, 2025), assim como no Maranhão, o estado analisado apresenta um cenário distinto. Essa predominância neoplásica sugere que a idade média dos animais abatidos localmente é superior, visto que tais processos são patologias crônico-degenerativas que demandam tempo prolongado para desenvolvimento e disseminação (DAMASCENO NETO, 2021; ZACHARY, 2018). Um fator que corrobora essa situação é a reduzida prevalência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tuberculose no estado. Segundo dados oficiais (TOCANTINS, 2020), no biênio 2014/2015, a ocorrência da enfermidade foi de apenas 0,16% [IC 95%: 0,023-1,15%]. Esse status sanitário favorável permite que o perfil de condenações seja deslocado para processos patológicos tempo-dependentes, como as neoplasias, predominantes em animais com maior longevidade no rebanho.</w:t>
      </w:r>
    </w:p>
    <w:p w14:paraId="5231DEDC" w14:textId="77777777" w:rsidR="008B599C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</w:p>
    <w:p w14:paraId="08644157" w14:textId="0BBFA537" w:rsidR="003D7011" w:rsidRPr="003D7011" w:rsidRDefault="003D70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011">
        <w:rPr>
          <w:rFonts w:ascii="Times New Roman" w:eastAsia="Times New Roman" w:hAnsi="Times New Roman" w:cs="Times New Roman"/>
          <w:sz w:val="24"/>
          <w:szCs w:val="24"/>
        </w:rPr>
        <w:t>Conclui-se que a principal causa de condenação total de carcaças no estado de Tocantins são as neoplasias, respondendo por quase metade das causas totais de descarte total de carcaças.</w:t>
      </w:r>
    </w:p>
    <w:p w14:paraId="321F97DB" w14:textId="77777777" w:rsidR="008A5436" w:rsidRDefault="008A54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117E62" w14:textId="77777777" w:rsidR="008A5436" w:rsidRDefault="00A72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Referências Bibliográficas:</w:t>
      </w:r>
    </w:p>
    <w:p w14:paraId="5468F256" w14:textId="59259D57" w:rsidR="001970DF" w:rsidRDefault="00A720D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BRASIL. Ministério da Agricultura, Pecuária e Abastecimento. Secretaria de Defesa Agropecuária. Departamento de Inspeção de Produtos de Origem Animal.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Perguntas e Respostas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 Decreto nº 9.013, de 2017: RIISPOA - Regulamento de Inspeção Industrial e Sanitária de Produtos de Origem Animal. Versão 5. Brasília, DF: MAPA, 23 fev. 2022. 52 p.</w:t>
      </w:r>
    </w:p>
    <w:p w14:paraId="497C1EA9" w14:textId="77777777" w:rsidR="008A5436" w:rsidRDefault="00A720D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CREÃO, Camilo Pantoja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et al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Principais causas de condenação total de carcaças bovídeas em abatedouro frigorífico sob inspeção estadual no Amapá, Brasil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S. l.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s. n.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], 2025.</w:t>
      </w:r>
    </w:p>
    <w:p w14:paraId="39B11166" w14:textId="77777777" w:rsidR="008A5436" w:rsidRDefault="00A720D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DAMASCENO NETO, Manoel Soares; NUNES, Emília do Socorro Conceição de Lima; SILVA, Welligton Conceição da. Análise retrospectiva das causas de condenações de carcaças e vísceras de bovinos abatidos em abatedouros frigoríficos na Região Norte da Amazônia Oriental.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CES Medicina Veterinaria y Zootecnia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16, n. 3, p. 28-46, 2021.</w:t>
      </w:r>
    </w:p>
    <w:p w14:paraId="58F549AC" w14:textId="77777777" w:rsidR="008A5436" w:rsidRDefault="00A720D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SANTOS, Isabela Rodrigues dos.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A importância da inspeção federal no controle da brucelose e tuberculose em abatedouros frigoríficos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2022. 51 f. Trabalho de Conclusão de Curso (Bacharelado em Medicina Veterinária) – Centro Universitário do Planalto Central Apparecido dos Santos, Luziânia, GO, 2022.</w:t>
      </w:r>
    </w:p>
    <w:p w14:paraId="55184099" w14:textId="77777777" w:rsidR="008A5436" w:rsidRDefault="00A720D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TOCANTINS. Agência de Defesa Agropecuária (ADAPEC).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Programa Estadual de Controle e Erradicação da Brucelose e Tuberculose (PECEBT)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Palmas: Governo do Estado do Tocantins, [202-]. Disponível em:</w:t>
      </w:r>
      <w:hyperlink r:id="rId13">
        <w:r>
          <w:rPr>
            <w:rFonts w:ascii="Times New Roman" w:eastAsia="Times New Roman" w:hAnsi="Times New Roman" w:cs="Times New Roman"/>
            <w:color w:val="222222"/>
            <w:sz w:val="24"/>
            <w:szCs w:val="24"/>
            <w:highlight w:val="white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https://www.to.gov.br/adapec/programa-estadual-de-controle-e-erradicacao-da-brucelose-e-tuberculose-pecebt/15d4os07cdkb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Acesso em: 11 abr. 2026.</w:t>
      </w:r>
    </w:p>
    <w:p w14:paraId="1E7303C0" w14:textId="77777777" w:rsidR="008A5436" w:rsidRDefault="00A720DB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TOCANTINS. Secretaria de Comunicação (SECOM).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Rebanho bovino do Tocantins é o sexto que mais cresceu no Brasil com 3,92%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Palmas: Governo do Estado do Tocantins, 2023. Disponível em:</w:t>
      </w:r>
      <w:hyperlink r:id="rId15">
        <w:r>
          <w:rPr>
            <w:rFonts w:ascii="Times New Roman" w:eastAsia="Times New Roman" w:hAnsi="Times New Roman" w:cs="Times New Roman"/>
            <w:color w:val="222222"/>
            <w:sz w:val="24"/>
            <w:szCs w:val="24"/>
            <w:highlight w:val="white"/>
          </w:rPr>
          <w:t xml:space="preserve"> </w:t>
        </w:r>
      </w:hyperlink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https://www.to.gov.br/secom/noticias/rebanho-bovino-do-tocantins-e-o-sexto-que-mais-cresceu-no-brasil-com-392/e0fvhb2zotj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Acesso em: 11 abr. 2026.</w:t>
      </w:r>
    </w:p>
    <w:p w14:paraId="60F2CFE2" w14:textId="26859C1D" w:rsidR="008A5436" w:rsidRPr="001C0FCA" w:rsidRDefault="00A720DB" w:rsidP="001C0FCA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ZACHARY, James F.; MCGAVIN, M. Donald.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Bases da patologia em veterinária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Rio de Janeiro: Elsevier Brasil, 2018</w:t>
      </w:r>
    </w:p>
    <w:sectPr w:rsidR="008A5436" w:rsidRPr="001C0FCA">
      <w:headerReference w:type="default" r:id="rId17"/>
      <w:pgSz w:w="11906" w:h="16838"/>
      <w:pgMar w:top="2159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B17BF" w14:textId="77777777" w:rsidR="00A50EC5" w:rsidRDefault="00A50EC5">
      <w:pPr>
        <w:spacing w:after="0" w:line="240" w:lineRule="auto"/>
      </w:pPr>
      <w:r>
        <w:separator/>
      </w:r>
    </w:p>
  </w:endnote>
  <w:endnote w:type="continuationSeparator" w:id="0">
    <w:p w14:paraId="28111390" w14:textId="77777777" w:rsidR="00A50EC5" w:rsidRDefault="00A5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548038-5D86-45E2-A529-867D7434D156}"/>
    <w:embedBold r:id="rId2" w:fontKey="{24FD9179-90C1-4BF7-B237-65F278F8B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E71BCC4-B389-4410-9572-8D6CA981C098}"/>
  </w:font>
  <w:font w:name="Helvetica Neue">
    <w:altName w:val="Arial"/>
    <w:charset w:val="00"/>
    <w:family w:val="auto"/>
    <w:pitch w:val="default"/>
    <w:embedRegular r:id="rId4" w:fontKey="{D4ED7603-875D-4A83-A2FA-3CA749C48A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B8879A-B3B1-458C-AA3F-9F51F9315F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D716" w14:textId="77777777" w:rsidR="00A50EC5" w:rsidRDefault="00A50EC5">
      <w:pPr>
        <w:spacing w:after="0" w:line="240" w:lineRule="auto"/>
      </w:pPr>
      <w:r>
        <w:separator/>
      </w:r>
    </w:p>
  </w:footnote>
  <w:footnote w:type="continuationSeparator" w:id="0">
    <w:p w14:paraId="760D246B" w14:textId="77777777" w:rsidR="00A50EC5" w:rsidRDefault="00A5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0CE16" w14:textId="77777777" w:rsidR="008A5436" w:rsidRDefault="00A720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10A3D0" wp14:editId="3C694EFC">
          <wp:simplePos x="0" y="0"/>
          <wp:positionH relativeFrom="column">
            <wp:posOffset>-30479</wp:posOffset>
          </wp:positionH>
          <wp:positionV relativeFrom="paragraph">
            <wp:posOffset>-417829</wp:posOffset>
          </wp:positionV>
          <wp:extent cx="5934075" cy="114585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075" cy="11458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4EFF80" w14:textId="77777777" w:rsidR="008A5436" w:rsidRDefault="008A5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5AACC5B6" w14:textId="77777777" w:rsidR="008A5436" w:rsidRDefault="00A720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C441F">
      <w:rPr>
        <w:noProof/>
        <w:color w:val="000000"/>
      </w:rPr>
      <w:t>1</w:t>
    </w:r>
    <w:r>
      <w:rPr>
        <w:color w:val="000000"/>
      </w:rPr>
      <w:fldChar w:fldCharType="end"/>
    </w:r>
  </w:p>
  <w:p w14:paraId="3129CCD5" w14:textId="77777777" w:rsidR="008A5436" w:rsidRDefault="008A5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436"/>
    <w:rsid w:val="00025AEF"/>
    <w:rsid w:val="001242CD"/>
    <w:rsid w:val="00182DB0"/>
    <w:rsid w:val="001970DF"/>
    <w:rsid w:val="001C0FCA"/>
    <w:rsid w:val="00296691"/>
    <w:rsid w:val="003A2E45"/>
    <w:rsid w:val="003D7011"/>
    <w:rsid w:val="00540F78"/>
    <w:rsid w:val="006E59A6"/>
    <w:rsid w:val="006F637B"/>
    <w:rsid w:val="0070358E"/>
    <w:rsid w:val="00707D48"/>
    <w:rsid w:val="007729D6"/>
    <w:rsid w:val="008050A7"/>
    <w:rsid w:val="00861EC1"/>
    <w:rsid w:val="008A5436"/>
    <w:rsid w:val="008B599C"/>
    <w:rsid w:val="00936A6F"/>
    <w:rsid w:val="009B64C5"/>
    <w:rsid w:val="00A42D08"/>
    <w:rsid w:val="00A50EC5"/>
    <w:rsid w:val="00A720DB"/>
    <w:rsid w:val="00AB7C1F"/>
    <w:rsid w:val="00B73890"/>
    <w:rsid w:val="00BA4B20"/>
    <w:rsid w:val="00CC441F"/>
    <w:rsid w:val="00D72501"/>
    <w:rsid w:val="00E16268"/>
    <w:rsid w:val="00E73657"/>
    <w:rsid w:val="00E87D02"/>
    <w:rsid w:val="00EE0258"/>
    <w:rsid w:val="00FC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F7980"/>
  <w15:docId w15:val="{409C5A3E-22B9-4496-AE44-9A59C6E1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A42D0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2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lipe.santos@academico.ifpb.edu.br" TargetMode="External"/><Relationship Id="rId13" Type="http://schemas.openxmlformats.org/officeDocument/2006/relationships/hyperlink" Target="https://www.to.gov.br/adapec/programa-estadual-de-controle-e-erradicacao-da-brucelose-e-tuberculose-pecebt/15d4os07cdkb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vidbfaria15@gmail.com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to.gov.br/secom/noticias/rebanho-bovino-do-tocantins-e-o-sexto-que-mais-cresceu-no-brasil-com-392/e0fvhb2zotj" TargetMode="External"/><Relationship Id="rId1" Type="http://schemas.openxmlformats.org/officeDocument/2006/relationships/styles" Target="styles.xml"/><Relationship Id="rId6" Type="http://schemas.openxmlformats.org/officeDocument/2006/relationships/hyperlink" Target="mailto:lucasviniciusdacostasoares871@gmail.com" TargetMode="External"/><Relationship Id="rId11" Type="http://schemas.openxmlformats.org/officeDocument/2006/relationships/hyperlink" Target="mailto:thais.feitosa@ifpb.edu.b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o.gov.br/secom/noticias/rebanho-bovino-do-tocantins-e-o-sexto-que-mais-cresceu-no-brasil-com-392/e0fvhb2zotj" TargetMode="External"/><Relationship Id="rId10" Type="http://schemas.openxmlformats.org/officeDocument/2006/relationships/hyperlink" Target="mailto:antonielson.santos@academico.ifpb.edu.br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igorformiga10@hotmail.com" TargetMode="External"/><Relationship Id="rId14" Type="http://schemas.openxmlformats.org/officeDocument/2006/relationships/hyperlink" Target="https://www.to.gov.br/adapec/programa-estadual-de-controle-e-erradicacao-da-brucelose-e-tuberculose-pecebt/15d4os07cdk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1260</Words>
  <Characters>6807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Usuário</cp:lastModifiedBy>
  <cp:revision>3</cp:revision>
  <dcterms:created xsi:type="dcterms:W3CDTF">2026-05-07T01:18:00Z</dcterms:created>
  <dcterms:modified xsi:type="dcterms:W3CDTF">2026-05-07T18:15:00Z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