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MEDICINA VETERINÁRIA NA SAÚDE ÚNICA: LEVANTAMENTO DE ZOONOSES EM CÃES E GATOS DE UNIDADE PRISIONAL 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Pedro Vitor Alves dos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SANTOS¹</w:t>
      </w:r>
      <w:r w:rsidDel="00000000" w:rsidR="00000000" w:rsidRPr="00000000">
        <w:rPr>
          <w:color w:val="000000"/>
          <w:rtl w:val="0"/>
        </w:rPr>
        <w:t xml:space="preserve">; Kailane Bezerra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SILVA²</w:t>
      </w:r>
      <w:r w:rsidDel="00000000" w:rsidR="00000000" w:rsidRPr="00000000">
        <w:rPr>
          <w:color w:val="000000"/>
          <w:rtl w:val="0"/>
        </w:rPr>
        <w:t xml:space="preserve">; Ana Virginia 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NASCIMENTO³</w:t>
      </w:r>
      <w:r w:rsidDel="00000000" w:rsidR="00000000" w:rsidRPr="00000000">
        <w:rPr>
          <w:color w:val="000000"/>
          <w:rtl w:val="0"/>
        </w:rPr>
        <w:t xml:space="preserve">; Rafael Henrique do Nascimento Moura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FERNANDES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; Bolarinwa Faedollah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OLORODE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; Evandro Cosmo Tomaz de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ABREU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; Roseane de Araujo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PORTELA</w:t>
      </w:r>
      <w:r w:rsidDel="00000000" w:rsidR="00000000" w:rsidRPr="00000000">
        <w:rPr>
          <w:b w:val="1"/>
          <w:bCs w:val="1"/>
          <w:color w:val="000000"/>
          <w:vertAlign w:val="superscript"/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Discente do curso de Medicina Veterinária – Instituto Federal da Paraíba - IFPB, Sousa - PB. pedro.santos.15@academico.ifpb.edu.br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Discente do curso de Medicina Veterinária – Instituto Federal da Paraíba - IFPB, Sousa - PB.</w:t>
      </w:r>
      <w:r w:rsidDel="00000000" w:rsidR="00000000" w:rsidRPr="00000000">
        <w:rPr>
          <w:sz w:val="20"/>
          <w:szCs w:val="20"/>
          <w:rtl w:val="0"/>
        </w:rPr>
        <w:t xml:space="preserve"> bezerra.kailane@academico.ifpb.edu.br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Discente do curso de Medicina Veterinária – Instituto Federal da Paraíba - IFPB, Sousa - PB.</w:t>
      </w:r>
      <w:r w:rsidDel="00000000" w:rsidR="00000000" w:rsidRPr="00000000">
        <w:rPr>
          <w:sz w:val="20"/>
          <w:szCs w:val="20"/>
          <w:rtl w:val="0"/>
        </w:rPr>
        <w:t xml:space="preserve"> virginia.ana@academico.ifpb.edu.br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  <w:u w:val="single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Discente do curso de Medicina Veterinária – Instituto Federal da Paraíba - IFPB, Sousa - PB. rafaelhmnb@gmail.com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5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Discente do curso de Medicina Veterinária – Instituto Federal da Paraíba - IFPB, Sousa - PB. faedololorode@gmail.com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6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Discente do curso de Medicina Veterinária – Instituto Federal da Paraíba - IFPB, Sousa - PB. evandrocosmodeabreu@gmail.com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7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Docente do curso de Medicina Veterinária – Instituto Federal da Paraíba - IFPB, Sousa - PB. roseane.portela@ifpb.edu.br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4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Este estudo avaliou a ocorrência de zoonoses em cães e gatos de uma unidade prisional no sertão da Paraíba, sob a perspectiva da Saúde Única. Foram avaliados 5 cães e 13 gatos por meio de exames sorológicos e coproparasitológicos. Observou-se frequência de 30,77% para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Toxoplasma gondii</w:t>
      </w:r>
      <w:r w:rsidDel="00000000" w:rsidR="00000000" w:rsidRPr="00000000">
        <w:rPr>
          <w:sz w:val="22"/>
          <w:szCs w:val="22"/>
          <w:rtl w:val="0"/>
        </w:rPr>
        <w:t xml:space="preserve"> em felinos e 20% para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Leishmania</w:t>
      </w:r>
      <w:r w:rsidDel="00000000" w:rsidR="00000000" w:rsidRPr="00000000">
        <w:rPr>
          <w:sz w:val="22"/>
          <w:szCs w:val="22"/>
          <w:rtl w:val="0"/>
        </w:rPr>
        <w:t xml:space="preserve"> spp. em cães. Identificou-se ainda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Ancylostoma</w:t>
      </w:r>
      <w:r w:rsidDel="00000000" w:rsidR="00000000" w:rsidRPr="00000000">
        <w:rPr>
          <w:sz w:val="22"/>
          <w:szCs w:val="22"/>
          <w:rtl w:val="0"/>
        </w:rPr>
        <w:t xml:space="preserve"> spp. em ambas as espécies e, nos gatos,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Trichuris</w:t>
      </w:r>
      <w:r w:rsidDel="00000000" w:rsidR="00000000" w:rsidRPr="00000000">
        <w:rPr>
          <w:sz w:val="22"/>
          <w:szCs w:val="22"/>
          <w:rtl w:val="0"/>
        </w:rPr>
        <w:t xml:space="preserve"> spp. e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Spirometra</w:t>
      </w:r>
      <w:r w:rsidDel="00000000" w:rsidR="00000000" w:rsidRPr="00000000">
        <w:rPr>
          <w:sz w:val="22"/>
          <w:szCs w:val="22"/>
          <w:rtl w:val="0"/>
        </w:rPr>
        <w:t xml:space="preserve"> spp. Os achados indicam circulação de agentes zoonóticos e risco à saúde humana, reforçando a necessidade de vigilância e manejo sanitário adequados.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PALAVRAS-CHAVES: </w:t>
      </w:r>
      <w:r w:rsidDel="00000000" w:rsidR="00000000" w:rsidRPr="00000000">
        <w:rPr>
          <w:sz w:val="22"/>
          <w:szCs w:val="22"/>
          <w:rtl w:val="0"/>
        </w:rPr>
        <w:t xml:space="preserve">antropozoonose; animais; parasitoses; população carcerária.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atuação do médico-veterinário no contexto da Saúde Única é fundamental para a vigilância, prevenção e controle de zoonoses, integrando saúde animal, humana e ambiental. Em ambientes com intensa interação entre espécies, como unidades prisionais, esse papel torna-se ainda mais relevante.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Entre as principais zoonoses de importância em saúde pública destacam-se a toxoplasmose, causada por </w:t>
      </w:r>
      <w:r w:rsidDel="00000000" w:rsidR="00000000" w:rsidRPr="00000000">
        <w:rPr>
          <w:i w:val="1"/>
          <w:iCs w:val="1"/>
          <w:rtl w:val="0"/>
        </w:rPr>
        <w:t xml:space="preserve">Toxoplasma gondii</w:t>
      </w:r>
      <w:r w:rsidDel="00000000" w:rsidR="00000000" w:rsidRPr="00000000">
        <w:rPr>
          <w:rtl w:val="0"/>
        </w:rPr>
        <w:t xml:space="preserve">, e a leishmaniose visceral, associada à </w:t>
      </w:r>
      <w:r w:rsidDel="00000000" w:rsidR="00000000" w:rsidRPr="00000000">
        <w:rPr>
          <w:i w:val="1"/>
          <w:iCs w:val="1"/>
          <w:rtl w:val="0"/>
        </w:rPr>
        <w:t xml:space="preserve">Leishmania</w:t>
      </w:r>
      <w:r w:rsidDel="00000000" w:rsidR="00000000" w:rsidRPr="00000000">
        <w:rPr>
          <w:rtl w:val="0"/>
        </w:rPr>
        <w:t xml:space="preserve"> spp. Essas enfermidades estão relacionadas à contaminação ambiental, presença de animais errantes e ausência de manejo sanitário adequado. A leishmaniose visceral canina apresenta elevada relevância epidemiológica, uma vez que os cães atuam como importantes reservatórios da infecção, enquanto a toxoplasmose possui ampla distribuição no Brasil e potencial risco à saúde humana (Torigoe et al., 2025; Fiocruz, 2023).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presença desses animais em ambientes prisionais, associada às condições sanitárias inadequadas, pode favorecer a manutenção e disseminação de agentes zoonóticos, representando risco à saúde coletiva. Diante disso, este estudo teve como objetivo avaliar o perfil zoonótico de cães e gatos em uma unidade prisional no sertão da Paraíba, sob a perspectiva da Saúde Única.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MATERIAIS E MÉTODOS</w:t>
      </w:r>
    </w:p>
    <w:p w:rsidR="00000000" w:rsidDel="00000000" w:rsidP="00000000" w:rsidRDefault="00000000" w:rsidRPr="00000000" w14:paraId="00000013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 pesquisa foi realizada na penitenciária padrão regional de Cajazeiras, no sertão da Paraíba, com aprovação do CEUA sob nº 2300000979.2025-88. Foram realizadas visitas técnicas para avaliação clínica de cães e gatos, sendo incluídos no estudo os animais presentes durante as visitas.</w:t>
      </w:r>
    </w:p>
    <w:p w:rsidR="00000000" w:rsidDel="00000000" w:rsidP="00000000" w:rsidRDefault="00000000" w:rsidRPr="00000000" w14:paraId="00000014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Amostras de sangue e fezes foram coletadas em 5 cães e 13 gatos. O sangue foi obtido por venopunção da veia cefálica em cães e jugular em felinos, sendo o soro utilizado nas análises. O diagnóstico de leishmaniose nos cães foi realizado por Ensaio Imunoenzimático (ELISA), enquanto a toxoplasmose em felinos foi investigada por Reação de Imunofluorescência Indireta (RIFI) (Camargo, 1974).</w:t>
      </w:r>
    </w:p>
    <w:p w:rsidR="00000000" w:rsidDel="00000000" w:rsidP="00000000" w:rsidRDefault="00000000" w:rsidRPr="00000000" w14:paraId="0000001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As fezes foram coletadas por estimulação retal e analisadas pelas técnicas de sedimentação espontânea (Lutz, 1919) e flutuação (Willis, 1921). Os resultados foram submetidos à análise descritiva.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E DISCUSSÃO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No total, foram identificados 5 cães e 13 gatos. Apenas um cão apresentava emagrecimento e lesões crostosas em diferentes regiões da pele. Dentre os 13 gatos avaliados, um apresentava gengivite acentuada, enquanto os demais animais apresentaram escore corporal regular e comportamento dócil. O maior número de felinos pode estar associado à adaptabilidade da espécie a ambientes confinados, além da interação frequente com os indivíduos privados de liberdade. A permanência desses animais pode estar associada ao fornecimento de alimento e cuidados, conforme Reichmann (1999).</w:t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Dentre os achados, destacou-se a toxoplasmose em felinos, com soropositividade de 30,77% (4/13) para </w:t>
      </w:r>
      <w:r w:rsidDel="00000000" w:rsidR="00000000" w:rsidRPr="00000000">
        <w:rPr>
          <w:i w:val="1"/>
          <w:iCs w:val="1"/>
          <w:rtl w:val="0"/>
        </w:rPr>
        <w:t xml:space="preserve">Toxoplasma gondii </w:t>
      </w:r>
      <w:r w:rsidDel="00000000" w:rsidR="00000000" w:rsidRPr="00000000">
        <w:rPr>
          <w:rtl w:val="0"/>
        </w:rPr>
        <w:t xml:space="preserve">em felinos, reforçando o risco de contaminação ambiental devido ao papel dos gatos na eliminação de oocistos, especialmente em locais com alta densidade animal. A leishmaniose foi detectada em um dos cinco cães avaliados (20%), o qual apresentava sinais clínicos compatíveis, reforçando a relevância epidemiológica dos cães como reservatórios do agente (Fiocruz, 2023).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No exame parasitológico, observou-se positividade em 20% (1/5) dos cães e 15,3% (2/13) dos gatos. Identificou-se </w:t>
      </w:r>
      <w:r w:rsidDel="00000000" w:rsidR="00000000" w:rsidRPr="00000000">
        <w:rPr>
          <w:i w:val="1"/>
          <w:iCs w:val="1"/>
          <w:rtl w:val="0"/>
        </w:rPr>
        <w:t xml:space="preserve">Ancylostoma</w:t>
      </w:r>
      <w:r w:rsidDel="00000000" w:rsidR="00000000" w:rsidRPr="00000000">
        <w:rPr>
          <w:rtl w:val="0"/>
        </w:rPr>
        <w:t xml:space="preserve"> spp. em ambas as espécies e, nos felinos, </w:t>
      </w:r>
      <w:r w:rsidDel="00000000" w:rsidR="00000000" w:rsidRPr="00000000">
        <w:rPr>
          <w:i w:val="1"/>
          <w:iCs w:val="1"/>
          <w:rtl w:val="0"/>
        </w:rPr>
        <w:t xml:space="preserve">Trichuris</w:t>
      </w:r>
      <w:r w:rsidDel="00000000" w:rsidR="00000000" w:rsidRPr="00000000">
        <w:rPr>
          <w:rtl w:val="0"/>
        </w:rPr>
        <w:t xml:space="preserve"> spp. e </w:t>
      </w:r>
      <w:r w:rsidDel="00000000" w:rsidR="00000000" w:rsidRPr="00000000">
        <w:rPr>
          <w:i w:val="1"/>
          <w:iCs w:val="1"/>
          <w:rtl w:val="0"/>
        </w:rPr>
        <w:t xml:space="preserve">Spirometra</w:t>
      </w:r>
      <w:r w:rsidDel="00000000" w:rsidR="00000000" w:rsidRPr="00000000">
        <w:rPr>
          <w:rtl w:val="0"/>
        </w:rPr>
        <w:t xml:space="preserve"> spp., indicando circulação de parasitos de relevância em saúde pública. Destaca-se </w:t>
      </w:r>
      <w:r w:rsidDel="00000000" w:rsidR="00000000" w:rsidRPr="00000000">
        <w:rPr>
          <w:i w:val="1"/>
          <w:iCs w:val="1"/>
          <w:rtl w:val="0"/>
        </w:rPr>
        <w:t xml:space="preserve">Ancylostoma</w:t>
      </w:r>
      <w:r w:rsidDel="00000000" w:rsidR="00000000" w:rsidRPr="00000000">
        <w:rPr>
          <w:rtl w:val="0"/>
        </w:rPr>
        <w:t xml:space="preserve"> spp., associado à larva migrans cutânea em humanos, enquanto </w:t>
      </w:r>
      <w:r w:rsidDel="00000000" w:rsidR="00000000" w:rsidRPr="00000000">
        <w:rPr>
          <w:i w:val="1"/>
          <w:iCs w:val="1"/>
          <w:rtl w:val="0"/>
        </w:rPr>
        <w:t xml:space="preserve">Spirometra</w:t>
      </w:r>
      <w:r w:rsidDel="00000000" w:rsidR="00000000" w:rsidRPr="00000000">
        <w:rPr>
          <w:rtl w:val="0"/>
        </w:rPr>
        <w:t xml:space="preserve"> spp. está relacionado à esparganose em infecções acidentais (Traversa, 2012).</w:t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Os resultados evidenciam um ambiente que contribui para a persistência do ciclo de transmissão de patógenos na interface entre animais, humanos e meio ambiente.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CONCLUSÃO</w:t>
      </w:r>
    </w:p>
    <w:p w:rsidR="00000000" w:rsidDel="00000000" w:rsidP="00000000" w:rsidRDefault="00000000" w:rsidRPr="00000000" w14:paraId="0000001C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Os resultados demonstram a ocorrência de toxoplasmose, leishmaniose e enteroparasitos zoonóticos em cães e gatos presentes na unidade prisional, evidenciando potencial risco à saúde coletiva. A ausência de manejo sanitário adequado favorece a disseminação desses agentes, reforçando a importância da vigilância epidemiológica, do controle populacional e da educação em saúde sob a perspectiva da Saúde Única.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CAMARGO, M. E. Introdução às técnicas de imunofluorescência. Revista Brasileira de Patologia Clínica, v. 10, n. 3, p. 87–107, 1974.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FIOCRUZ. Aumento do número de casos de leishmaniose em cães acende alerta para doença em humanos. Rio de Janeiro, 2023. Disponível em: </w:t>
      </w:r>
      <w:r w:rsidDel="00000000" w:rsidR="00000000" w:rsidRPr="00000000">
        <w:rPr>
          <w:rtl w:val="0"/>
        </w:rPr>
        <w:t xml:space="preserve">https://agencia.fiocruz.br/aumento-do-numero-de-casos-de-leishmaniose-em-caes-acende-alerta-para-doenca-em-humanos</w:t>
      </w:r>
      <w:r w:rsidDel="00000000" w:rsidR="00000000" w:rsidRPr="00000000">
        <w:rPr>
          <w:rtl w:val="0"/>
        </w:rPr>
        <w:t xml:space="preserve">. Acesso em: 19 mar. 2026.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LUTZ, A. O </w:t>
      </w:r>
      <w:r w:rsidDel="00000000" w:rsidR="00000000" w:rsidRPr="00000000">
        <w:rPr>
          <w:i w:val="1"/>
          <w:iCs w:val="1"/>
          <w:rtl w:val="0"/>
        </w:rPr>
        <w:t xml:space="preserve">Schistosomum mansoni</w:t>
      </w:r>
      <w:r w:rsidDel="00000000" w:rsidR="00000000" w:rsidRPr="00000000">
        <w:rPr>
          <w:rtl w:val="0"/>
        </w:rPr>
        <w:t xml:space="preserve"> e a esquistossomose segundo observações feitas no Brasil. Memórias do Instituto Oswaldo Cruz, v. 11, p. 121–144, 1919.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REICHMANN, M. L. A. B. Manual Técnico do Instituto Pasteur: Profilaxia da raiva humana. São Paulo: Instituto Pasteur, 1999. Disponível em: </w:t>
      </w:r>
      <w:r w:rsidDel="00000000" w:rsidR="00000000" w:rsidRPr="00000000">
        <w:rPr>
          <w:rtl w:val="0"/>
        </w:rPr>
        <w:t xml:space="preserve">https://bvsms.saude.gov.br/bvs/publicacoes/manual_pasteur03.pdf</w:t>
      </w:r>
      <w:r w:rsidDel="00000000" w:rsidR="00000000" w:rsidRPr="00000000">
        <w:rPr>
          <w:rtl w:val="0"/>
        </w:rPr>
        <w:t xml:space="preserve">. Acesso em: 15 mar. 2026.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TORIGOE, L. S. S. et al. Toxoplasmose em felinos: aspectos epidemiológicos e medidas preventivas. Pubvet, v. 19, n. 7, p. e1799, 2025.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TRAVERSA, D. Pet roundworms and hookworms: a continuing need for global worming. Parasites &amp; Vectors, v. 5, p. 91, 2012.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WILLIS, H. H. A simple flotation method for the detection of hookworm ova. Medical Journal of Australia, v. 2, p. 375–376, 1921.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405" w:top="255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869951</wp:posOffset>
          </wp:positionH>
          <wp:positionV relativeFrom="page">
            <wp:posOffset>31751</wp:posOffset>
          </wp:positionV>
          <wp:extent cx="5930900" cy="1482725"/>
          <wp:effectExtent b="0" l="0" r="0" t="0"/>
          <wp:wrapNone/>
          <wp:docPr descr="image1.png" id="1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482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160" w:line="259" w:lineRule="auto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58fh3ml7IwFv3tvPJ1BpYgpfw==">CgMxLjA4AHIhMXdpVFUzV0diUGtRM2JnUjhaRHdHc1pJc1NwOXVVVjh5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