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Default="000526E1" w:rsidP="00F4375E">
      <w:pPr>
        <w:rPr>
          <w:rFonts w:ascii="Times New Roman" w:hAnsi="Times New Roman" w:cs="Times New Roman"/>
          <w:sz w:val="24"/>
          <w:szCs w:val="24"/>
        </w:rPr>
      </w:pPr>
    </w:p>
    <w:p w14:paraId="6976566B" w14:textId="27FFC05F" w:rsidR="00981A3D" w:rsidRPr="00F4375E" w:rsidRDefault="004A4A88" w:rsidP="004A4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7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VALIAÇÃO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POTENCIAL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ACARICIDA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LINALOL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ISOLADO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E EM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>ASSOCIAÇÃO</w:t>
      </w:r>
      <w:r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75E" w:rsidRPr="00F4375E">
        <w:rPr>
          <w:rFonts w:ascii="Times New Roman" w:hAnsi="Times New Roman" w:cs="Times New Roman"/>
          <w:b/>
          <w:bCs/>
          <w:sz w:val="24"/>
          <w:szCs w:val="24"/>
        </w:rPr>
        <w:t xml:space="preserve">COM IVERMECTINA NO CONTROLE DE </w:t>
      </w:r>
      <w:r w:rsidRPr="00F437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Rhipicephalus microplus</w:t>
      </w:r>
    </w:p>
    <w:p w14:paraId="395D3B12" w14:textId="6D3A8E64" w:rsidR="00C4304D" w:rsidRPr="004A4A88" w:rsidRDefault="004A4A88" w:rsidP="004A4A88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Maria dos Santos Lima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F545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75E">
        <w:rPr>
          <w:rFonts w:ascii="Times New Roman" w:hAnsi="Times New Roman" w:cs="Times New Roman"/>
          <w:sz w:val="24"/>
          <w:szCs w:val="24"/>
        </w:rPr>
        <w:t>Larissa Claudino Ferreira</w:t>
      </w:r>
      <w:r w:rsidR="00E71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F4375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Jessian</w:t>
      </w:r>
      <w:r w:rsidR="006651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Diniz Alves</w:t>
      </w:r>
      <w:r w:rsidR="00E71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4A4A88">
        <w:rPr>
          <w:rFonts w:ascii="Times New Roman" w:hAnsi="Times New Roman" w:cs="Times New Roman"/>
          <w:bCs/>
          <w:sz w:val="24"/>
          <w:szCs w:val="24"/>
        </w:rPr>
        <w:t>Janielton</w:t>
      </w:r>
      <w:proofErr w:type="spellEnd"/>
      <w:r w:rsidRPr="004A4A88">
        <w:rPr>
          <w:rFonts w:ascii="Times New Roman" w:hAnsi="Times New Roman" w:cs="Times New Roman"/>
          <w:bCs/>
          <w:sz w:val="24"/>
          <w:szCs w:val="24"/>
        </w:rPr>
        <w:t xml:space="preserve"> Albuquerque</w:t>
      </w:r>
      <w:r w:rsidR="008D711B">
        <w:rPr>
          <w:rFonts w:ascii="Times New Roman" w:hAnsi="Times New Roman" w:cs="Times New Roman"/>
          <w:bCs/>
          <w:sz w:val="24"/>
          <w:szCs w:val="24"/>
        </w:rPr>
        <w:t xml:space="preserve"> Lima</w:t>
      </w:r>
      <w:r w:rsidR="00E718A4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052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2D8" w:rsidRPr="000522D8">
        <w:rPr>
          <w:rFonts w:ascii="Times New Roman" w:hAnsi="Times New Roman" w:cs="Times New Roman"/>
          <w:bCs/>
          <w:sz w:val="24"/>
          <w:szCs w:val="24"/>
        </w:rPr>
        <w:t>Basilio Felizardo de Lima Neto</w:t>
      </w:r>
      <w:r w:rsidR="00E718A4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0522D8">
        <w:rPr>
          <w:rFonts w:ascii="Times New Roman" w:hAnsi="Times New Roman" w:cs="Times New Roman"/>
          <w:b/>
          <w:sz w:val="24"/>
          <w:szCs w:val="24"/>
        </w:rPr>
        <w:t>;</w:t>
      </w:r>
      <w:r w:rsidR="006E23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Thais Ferreira Feitosa</w:t>
      </w:r>
      <w:r w:rsidR="00E718A4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A4A88">
        <w:rPr>
          <w:rFonts w:ascii="Times New Roman" w:hAnsi="Times New Roman" w:cs="Times New Roman"/>
          <w:sz w:val="24"/>
          <w:szCs w:val="24"/>
        </w:rPr>
        <w:t>Vinicius Longo Ribeiro Vilela</w:t>
      </w:r>
      <w:r w:rsidR="00E718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</w:p>
    <w:p w14:paraId="7B8C9DDE" w14:textId="39B8E38E" w:rsidR="007D2141" w:rsidRDefault="00981A3D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7D2141">
        <w:rPr>
          <w:rFonts w:ascii="Times New Roman" w:hAnsi="Times New Roman" w:cs="Times New Roman"/>
          <w:color w:val="000000"/>
          <w:sz w:val="20"/>
          <w:szCs w:val="20"/>
        </w:rPr>
        <w:t>Mestranda, Programa de Pós-Graduação em Ciência e Saúde animal-UFCG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7" w:history="1">
        <w:r w:rsidR="0064788F" w:rsidRPr="008869D8">
          <w:rPr>
            <w:rStyle w:val="Hyperlink"/>
            <w:rFonts w:ascii="Times New Roman" w:hAnsi="Times New Roman" w:cs="Times New Roman"/>
            <w:sz w:val="20"/>
            <w:szCs w:val="20"/>
          </w:rPr>
          <w:t>analimaal372@gmail.com</w:t>
        </w:r>
      </w:hyperlink>
      <w:r w:rsidR="00F437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B173087" w14:textId="187DD3A4" w:rsidR="007D2141" w:rsidRPr="007D2141" w:rsidRDefault="007D2141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D21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Mestre, 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utoranda pelo Programa de Pós- Graduação em Ciência e Saúde animal -UFCG. E-mail: </w:t>
      </w:r>
      <w:hyperlink r:id="rId8" w:history="1">
        <w:r w:rsidRPr="008169F0">
          <w:rPr>
            <w:rStyle w:val="Hyperlink"/>
            <w:rFonts w:ascii="Times New Roman" w:hAnsi="Times New Roman" w:cs="Times New Roman"/>
            <w:sz w:val="20"/>
            <w:szCs w:val="20"/>
          </w:rPr>
          <w:t>Larissaclaudino.f@gmail.com</w:t>
        </w:r>
      </w:hyperlink>
    </w:p>
    <w:p w14:paraId="4E598F23" w14:textId="7B8AFEFB" w:rsidR="007D2141" w:rsidRDefault="007D2141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</w:rPr>
        <w:t>Mestranda, Programa de Pós-Graduação em Ciência e Saúde animal -UFCG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9" w:history="1">
        <w:r w:rsidRPr="008169F0">
          <w:rPr>
            <w:rStyle w:val="Hyperlink"/>
            <w:rFonts w:ascii="Times New Roman" w:hAnsi="Times New Roman" w:cs="Times New Roman"/>
            <w:sz w:val="20"/>
            <w:szCs w:val="20"/>
          </w:rPr>
          <w:t>jessianny.diniz@gmail.com</w:t>
        </w:r>
      </w:hyperlink>
    </w:p>
    <w:p w14:paraId="26277EE5" w14:textId="77777777" w:rsidR="007D2141" w:rsidRDefault="007D2141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4 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Graduand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em Medicina Veterinária - IFPB, campus Sous</w:t>
      </w:r>
      <w:r>
        <w:rPr>
          <w:rFonts w:ascii="Times New Roman" w:hAnsi="Times New Roman" w:cs="Times New Roman"/>
          <w:color w:val="000000"/>
          <w:sz w:val="20"/>
          <w:szCs w:val="20"/>
        </w:rPr>
        <w:t>a. E-mail:</w:t>
      </w:r>
    </w:p>
    <w:p w14:paraId="667BB082" w14:textId="0D8EC325" w:rsidR="007D2141" w:rsidRDefault="007D2141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hyperlink r:id="rId10" w:history="1">
        <w:r w:rsidRPr="00BE2049">
          <w:rPr>
            <w:rStyle w:val="Hyperlink"/>
            <w:rFonts w:ascii="Times New Roman" w:hAnsi="Times New Roman" w:cs="Times New Roman"/>
            <w:sz w:val="20"/>
            <w:szCs w:val="20"/>
          </w:rPr>
          <w:t>janielton.albuquerque@academico.ifpb.edu.br</w:t>
        </w:r>
      </w:hyperlink>
    </w:p>
    <w:p w14:paraId="4DD3E55F" w14:textId="4F21D0EA" w:rsidR="00197666" w:rsidRPr="007D2141" w:rsidRDefault="007D2141" w:rsidP="00847670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5 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Mestre, 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utorando pelo Programa de Pós-Graduação em Ciência e Saúde animal -UFCG. E-mail: </w:t>
      </w:r>
      <w:hyperlink r:id="rId11" w:history="1">
        <w:r w:rsidRPr="00BE2049">
          <w:rPr>
            <w:rStyle w:val="Hyperlink"/>
            <w:rFonts w:ascii="Times New Roman" w:hAnsi="Times New Roman" w:cs="Times New Roman"/>
            <w:sz w:val="20"/>
            <w:szCs w:val="20"/>
          </w:rPr>
          <w:t>felizardobasilio95@gmail.com</w:t>
        </w:r>
      </w:hyperlink>
      <w:r w:rsidR="00F437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9BC580" w14:textId="7E38ABD9" w:rsidR="00197666" w:rsidRDefault="007D2141" w:rsidP="00847670">
      <w:pPr>
        <w:pStyle w:val="SemEspaamento"/>
        <w:jc w:val="both"/>
        <w:rPr>
          <w:rFonts w:ascii="Times New Roman" w:hAnsi="Times New Roman" w:cs="Times New Roman"/>
        </w:rPr>
      </w:pPr>
      <w:r w:rsidRPr="007D21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Pós-Doutor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 xml:space="preserve">, docente em Medicina Veterinária – IFPB, campus Sousa; 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ocente do Programa de Pós-Graduação em Ciência e Saúde Animal, UFCG, campus Patos. E-mail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F4375E">
        <w:t xml:space="preserve"> </w:t>
      </w:r>
      <w:hyperlink r:id="rId12" w:history="1">
        <w:r w:rsidR="00847670" w:rsidRPr="008A3F50">
          <w:rPr>
            <w:rStyle w:val="Hyperlink"/>
            <w:rFonts w:ascii="Times New Roman" w:hAnsi="Times New Roman" w:cs="Times New Roman"/>
          </w:rPr>
          <w:t>thais.feitosa@ifpb.edu.br</w:t>
        </w:r>
      </w:hyperlink>
      <w:r w:rsidR="00F4375E">
        <w:rPr>
          <w:rFonts w:ascii="Times New Roman" w:hAnsi="Times New Roman" w:cs="Times New Roman"/>
        </w:rPr>
        <w:t xml:space="preserve"> </w:t>
      </w:r>
    </w:p>
    <w:p w14:paraId="686E3E5B" w14:textId="22875DF1" w:rsidR="007D2141" w:rsidRDefault="007D2141" w:rsidP="00847670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 xml:space="preserve">Pós-Doutor, docente em Medicina Veterinária – IFPB, campus Sousa; 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D2141">
        <w:rPr>
          <w:rFonts w:ascii="Times New Roman" w:hAnsi="Times New Roman" w:cs="Times New Roman"/>
          <w:color w:val="000000"/>
          <w:sz w:val="20"/>
          <w:szCs w:val="20"/>
        </w:rPr>
        <w:t>ocente do Programa de Pós-Graduação em Ciência e Saúde Animal, UFCG, campus Patos. E-mail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E718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3" w:history="1">
        <w:r w:rsidR="00E718A4" w:rsidRPr="008169F0">
          <w:rPr>
            <w:rStyle w:val="Hyperlink"/>
            <w:rFonts w:ascii="Times New Roman" w:hAnsi="Times New Roman" w:cs="Times New Roman"/>
          </w:rPr>
          <w:t>vinicius.vilela@ifpb.edu.br</w:t>
        </w:r>
      </w:hyperlink>
    </w:p>
    <w:p w14:paraId="566834D0" w14:textId="77777777" w:rsidR="000522D8" w:rsidRDefault="000522D8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37AB23F2" w14:textId="2FD741B5" w:rsidR="0081157E" w:rsidRPr="00014A93" w:rsidRDefault="00096391" w:rsidP="00F94F0A">
      <w:pPr>
        <w:spacing w:line="240" w:lineRule="auto"/>
        <w:jc w:val="both"/>
        <w:rPr>
          <w:rFonts w:ascii="Times New Roman" w:hAnsi="Times New Roman" w:cs="Times New Roman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F94F0A" w:rsidRPr="00F94F0A">
        <w:rPr>
          <w:i/>
          <w:iCs/>
        </w:rPr>
        <w:t xml:space="preserve"> </w:t>
      </w:r>
      <w:r w:rsidR="00592C84">
        <w:rPr>
          <w:rFonts w:ascii="Times New Roman" w:hAnsi="Times New Roman" w:cs="Times New Roman"/>
        </w:rPr>
        <w:t>O</w:t>
      </w:r>
      <w:r w:rsidR="00014A93" w:rsidRPr="00014A93">
        <w:rPr>
          <w:rFonts w:ascii="Times New Roman" w:hAnsi="Times New Roman" w:cs="Times New Roman"/>
        </w:rPr>
        <w:t xml:space="preserve"> presente estudo teve como objetivo avaliar a atividade acaricida do linalol, isoladamente e em associação com a ivermectina, em populações de </w:t>
      </w:r>
      <w:proofErr w:type="spellStart"/>
      <w:r w:rsidR="00014A93" w:rsidRPr="00014A93">
        <w:rPr>
          <w:rFonts w:ascii="Times New Roman" w:hAnsi="Times New Roman" w:cs="Times New Roman"/>
          <w:i/>
          <w:iCs/>
        </w:rPr>
        <w:t>R</w:t>
      </w:r>
      <w:r w:rsidR="00CA6A30">
        <w:rPr>
          <w:rFonts w:ascii="Times New Roman" w:hAnsi="Times New Roman" w:cs="Times New Roman"/>
          <w:i/>
          <w:iCs/>
        </w:rPr>
        <w:t>hipicephalus</w:t>
      </w:r>
      <w:proofErr w:type="spellEnd"/>
      <w:r w:rsidR="00014A93" w:rsidRPr="00014A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14A93" w:rsidRPr="00014A93">
        <w:rPr>
          <w:rFonts w:ascii="Times New Roman" w:hAnsi="Times New Roman" w:cs="Times New Roman"/>
          <w:i/>
          <w:iCs/>
        </w:rPr>
        <w:t>microplus</w:t>
      </w:r>
      <w:proofErr w:type="spellEnd"/>
      <w:r w:rsidR="00014A93" w:rsidRPr="00014A93">
        <w:rPr>
          <w:rFonts w:ascii="Times New Roman" w:hAnsi="Times New Roman" w:cs="Times New Roman"/>
        </w:rPr>
        <w:t xml:space="preserve"> resistentes a esse fármaco. Foram </w:t>
      </w:r>
      <w:r w:rsidR="00014A93" w:rsidRPr="00847670">
        <w:rPr>
          <w:rFonts w:ascii="Times New Roman" w:hAnsi="Times New Roman" w:cs="Times New Roman"/>
        </w:rPr>
        <w:t>avaliadas quatro populações de campo provenientes do Semiárido da Paraíba, nos municípios de Sousa, Nazarezinho e São José de Piranhas</w:t>
      </w:r>
      <w:r w:rsidR="00014A93" w:rsidRPr="00014A93">
        <w:rPr>
          <w:rFonts w:ascii="Times New Roman" w:hAnsi="Times New Roman" w:cs="Times New Roman"/>
        </w:rPr>
        <w:t>, além da cepa suscetível Porto Alegre (POA), utilizada como referência. Os bioensaios foram realizados por meio do teste de pacote larval, com determinação das concentrações letais para 50% e 90% das larvas (CL</w:t>
      </w:r>
      <w:r w:rsidR="00014A93" w:rsidRPr="00F94F0A">
        <w:rPr>
          <w:rFonts w:ascii="Times New Roman" w:hAnsi="Times New Roman" w:cs="Times New Roman"/>
          <w:vertAlign w:val="subscript"/>
        </w:rPr>
        <w:t>50</w:t>
      </w:r>
      <w:r w:rsidR="00014A93" w:rsidRPr="00014A93">
        <w:rPr>
          <w:rFonts w:ascii="Times New Roman" w:hAnsi="Times New Roman" w:cs="Times New Roman"/>
        </w:rPr>
        <w:t xml:space="preserve"> e CL</w:t>
      </w:r>
      <w:r w:rsidR="00014A93" w:rsidRPr="00F94F0A">
        <w:rPr>
          <w:rFonts w:ascii="Times New Roman" w:hAnsi="Times New Roman" w:cs="Times New Roman"/>
          <w:vertAlign w:val="subscript"/>
        </w:rPr>
        <w:t>90</w:t>
      </w:r>
      <w:r w:rsidR="00014A93" w:rsidRPr="00014A93">
        <w:rPr>
          <w:rFonts w:ascii="Times New Roman" w:hAnsi="Times New Roman" w:cs="Times New Roman"/>
        </w:rPr>
        <w:t>). Como resultado, o linalol testado isoladamente, apresentou atividade acaricida em todas as populações avaliadas, com valores de CL</w:t>
      </w:r>
      <w:r w:rsidR="00014A93" w:rsidRPr="00F94F0A">
        <w:rPr>
          <w:rFonts w:ascii="Times New Roman" w:hAnsi="Times New Roman" w:cs="Times New Roman"/>
          <w:vertAlign w:val="subscript"/>
        </w:rPr>
        <w:t>50</w:t>
      </w:r>
      <w:r w:rsidR="00014A93" w:rsidRPr="00014A93">
        <w:rPr>
          <w:rFonts w:ascii="Times New Roman" w:hAnsi="Times New Roman" w:cs="Times New Roman"/>
        </w:rPr>
        <w:t xml:space="preserve"> variando de 0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941% a 1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865% e de CL</w:t>
      </w:r>
      <w:r w:rsidR="00014A93" w:rsidRPr="00F94F0A">
        <w:rPr>
          <w:rFonts w:ascii="Times New Roman" w:hAnsi="Times New Roman" w:cs="Times New Roman"/>
          <w:vertAlign w:val="subscript"/>
        </w:rPr>
        <w:t>90</w:t>
      </w:r>
      <w:r w:rsidR="00014A93" w:rsidRPr="00014A93">
        <w:rPr>
          <w:rFonts w:ascii="Times New Roman" w:hAnsi="Times New Roman" w:cs="Times New Roman"/>
        </w:rPr>
        <w:t xml:space="preserve"> entre 1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244% e 4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850%. A ivermectina, quando testada isoladamente, apresentou elevados níveis de resistência, com CL</w:t>
      </w:r>
      <w:r w:rsidR="00014A93" w:rsidRPr="00F94F0A">
        <w:rPr>
          <w:rFonts w:ascii="Times New Roman" w:hAnsi="Times New Roman" w:cs="Times New Roman"/>
          <w:vertAlign w:val="subscript"/>
        </w:rPr>
        <w:t>50</w:t>
      </w:r>
      <w:r w:rsidR="00014A93" w:rsidRPr="00014A93">
        <w:rPr>
          <w:rFonts w:ascii="Times New Roman" w:hAnsi="Times New Roman" w:cs="Times New Roman"/>
        </w:rPr>
        <w:t xml:space="preserve"> entre 345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637ppm e 14622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967ppm e fatores de resistência variando de 13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70 a 579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70 em relação à cepa POA. Por outro lado, quando associada à CL</w:t>
      </w:r>
      <w:r w:rsidR="00014A93" w:rsidRPr="00F94F0A">
        <w:rPr>
          <w:rFonts w:ascii="Times New Roman" w:hAnsi="Times New Roman" w:cs="Times New Roman"/>
          <w:vertAlign w:val="subscript"/>
        </w:rPr>
        <w:t>50</w:t>
      </w:r>
      <w:r w:rsidR="00014A93" w:rsidRPr="00014A93">
        <w:rPr>
          <w:rFonts w:ascii="Times New Roman" w:hAnsi="Times New Roman" w:cs="Times New Roman"/>
        </w:rPr>
        <w:t xml:space="preserve"> de linalol, a ivermectina apresentou expressiva redução em suas concentrações letais, evidenciando efeito sinérgico em todas as populações testadas, com valores de CL</w:t>
      </w:r>
      <w:r w:rsidR="00014A93" w:rsidRPr="00F94F0A">
        <w:rPr>
          <w:rFonts w:ascii="Times New Roman" w:hAnsi="Times New Roman" w:cs="Times New Roman"/>
          <w:vertAlign w:val="subscript"/>
        </w:rPr>
        <w:t>50</w:t>
      </w:r>
      <w:r w:rsidR="00014A93" w:rsidRPr="00014A93">
        <w:rPr>
          <w:rFonts w:ascii="Times New Roman" w:hAnsi="Times New Roman" w:cs="Times New Roman"/>
        </w:rPr>
        <w:t xml:space="preserve"> variando de 0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643 a 8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998 e um fator de sinergismo entre 1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>625 e 537</w:t>
      </w:r>
      <w:r w:rsidR="00F94F0A">
        <w:rPr>
          <w:rFonts w:ascii="Times New Roman" w:hAnsi="Times New Roman" w:cs="Times New Roman"/>
        </w:rPr>
        <w:t>,</w:t>
      </w:r>
      <w:r w:rsidR="00014A93" w:rsidRPr="00014A93">
        <w:rPr>
          <w:rFonts w:ascii="Times New Roman" w:hAnsi="Times New Roman" w:cs="Times New Roman"/>
        </w:rPr>
        <w:t xml:space="preserve">53. </w:t>
      </w:r>
      <w:r w:rsidR="00DA560A" w:rsidRPr="00DA560A">
        <w:rPr>
          <w:rFonts w:ascii="Times New Roman" w:hAnsi="Times New Roman" w:cs="Times New Roman"/>
        </w:rPr>
        <w:t xml:space="preserve">Esses resultados indicam que a associação entre linalol e ivermectina é promissora no controle de populações resistentes de </w:t>
      </w:r>
      <w:r w:rsidR="00DA560A" w:rsidRPr="00DA560A">
        <w:rPr>
          <w:rFonts w:ascii="Times New Roman" w:hAnsi="Times New Roman" w:cs="Times New Roman"/>
          <w:i/>
          <w:iCs/>
        </w:rPr>
        <w:t>R. microplus</w:t>
      </w:r>
      <w:r w:rsidR="00DA560A" w:rsidRPr="00DA560A">
        <w:rPr>
          <w:rFonts w:ascii="Times New Roman" w:hAnsi="Times New Roman" w:cs="Times New Roman"/>
        </w:rPr>
        <w:t xml:space="preserve"> e pode contribuir para estratégias de manejo mais sustentáveis.</w:t>
      </w:r>
    </w:p>
    <w:p w14:paraId="1F5E7661" w14:textId="72AE0766" w:rsidR="00E23D07" w:rsidRDefault="0081157E" w:rsidP="00E23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E23D07">
        <w:rPr>
          <w:rFonts w:ascii="Times New Roman" w:eastAsia="Times New Roman" w:hAnsi="Times New Roman" w:cs="Times New Roman"/>
          <w:color w:val="00000A"/>
        </w:rPr>
        <w:t xml:space="preserve"> </w:t>
      </w:r>
      <w:r w:rsidR="00E23D07" w:rsidRPr="00E23D07">
        <w:rPr>
          <w:rFonts w:ascii="Times New Roman" w:hAnsi="Times New Roman" w:cs="Times New Roman"/>
          <w:sz w:val="24"/>
          <w:szCs w:val="24"/>
        </w:rPr>
        <w:t xml:space="preserve">carrapato bovino; </w:t>
      </w:r>
      <w:r w:rsidR="00CA6A30">
        <w:rPr>
          <w:rFonts w:ascii="Times New Roman" w:hAnsi="Times New Roman" w:cs="Times New Roman"/>
          <w:sz w:val="24"/>
          <w:szCs w:val="24"/>
        </w:rPr>
        <w:t>atividade</w:t>
      </w:r>
      <w:r w:rsidR="00E23D07" w:rsidRPr="00E23D07">
        <w:rPr>
          <w:rFonts w:ascii="Times New Roman" w:hAnsi="Times New Roman" w:cs="Times New Roman"/>
          <w:sz w:val="24"/>
          <w:szCs w:val="24"/>
        </w:rPr>
        <w:t xml:space="preserve"> acaricida; monoterpeno; sinergismo</w:t>
      </w:r>
    </w:p>
    <w:p w14:paraId="742C7BAE" w14:textId="77777777" w:rsidR="00511814" w:rsidRPr="00E23D07" w:rsidRDefault="00511814" w:rsidP="00E23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5EA0B0E" w14:textId="419BFADC" w:rsidR="00BF2050" w:rsidRDefault="00BE61DE" w:rsidP="00137F41">
      <w:pPr>
        <w:spacing w:after="0" w:line="30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AB4E49A" w14:textId="214CD4D3" w:rsidR="00412AAF" w:rsidRPr="00821CF5" w:rsidRDefault="008A6AD3" w:rsidP="008A6AD3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Cs/>
          <w:spacing w:val="2"/>
          <w:sz w:val="24"/>
          <w:szCs w:val="24"/>
        </w:rPr>
      </w:pPr>
      <w:r w:rsidRPr="008A6AD3">
        <w:rPr>
          <w:rFonts w:ascii="Times New Roman" w:eastAsia="Arial" w:hAnsi="Times New Roman" w:cs="Times New Roman"/>
          <w:bCs/>
          <w:i/>
          <w:iCs/>
          <w:spacing w:val="2"/>
          <w:sz w:val="24"/>
          <w:szCs w:val="24"/>
        </w:rPr>
        <w:t>Rhipicephalus microplus</w:t>
      </w:r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 é um importante ectoparasito bovino, responsável por prejuízos à pecuária devido ao </w:t>
      </w:r>
      <w:proofErr w:type="spellStart"/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>hematofagismo</w:t>
      </w:r>
      <w:proofErr w:type="spellEnd"/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 e à transmissão de </w:t>
      </w:r>
      <w:proofErr w:type="spellStart"/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>hemoparasitos</w:t>
      </w:r>
      <w:proofErr w:type="spellEnd"/>
      <w:r w:rsidRPr="008A6AD3">
        <w:t xml:space="preserve"> </w:t>
      </w:r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>(Gupta et al., 2016). Seu controle baseia-se principalmente no uso de acaricidas químicos, como a ivermectina, cuja utilização frequente tem favorecido a resistência, inclusive no Semiárido nordestino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 </w:t>
      </w:r>
      <w:r>
        <w:t>(</w:t>
      </w:r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Klafke et al., 2024; Vilela et al., 2020). Nesse cenário, o linalol surge como alternativa promissora, isolado ou em associação com ivermectina. Assim, este estudo avaliou sua eficácia no controle de populações de </w:t>
      </w:r>
      <w:r w:rsidRPr="00EB132C">
        <w:rPr>
          <w:rFonts w:ascii="Times New Roman" w:eastAsia="Arial" w:hAnsi="Times New Roman" w:cs="Times New Roman"/>
          <w:bCs/>
          <w:i/>
          <w:iCs/>
          <w:spacing w:val="2"/>
          <w:sz w:val="24"/>
          <w:szCs w:val="24"/>
        </w:rPr>
        <w:t>R. microplus</w:t>
      </w:r>
      <w:r w:rsidRPr="008A6AD3">
        <w:rPr>
          <w:rFonts w:ascii="Times New Roman" w:eastAsia="Arial" w:hAnsi="Times New Roman" w:cs="Times New Roman"/>
          <w:bCs/>
          <w:spacing w:val="2"/>
          <w:sz w:val="24"/>
          <w:szCs w:val="24"/>
        </w:rPr>
        <w:t xml:space="preserve"> do Semiárido da Paraíba.</w:t>
      </w:r>
    </w:p>
    <w:p w14:paraId="662607C6" w14:textId="77777777" w:rsidR="00DA560A" w:rsidRDefault="00FC01C7" w:rsidP="00DA560A">
      <w:pPr>
        <w:spacing w:after="0" w:line="36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21CF5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Material e métodos</w:t>
      </w:r>
      <w:r w:rsidR="005F545F" w:rsidRPr="00821CF5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="00DA56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</w:t>
      </w:r>
    </w:p>
    <w:p w14:paraId="3B2E19D1" w14:textId="77777777" w:rsidR="008A6AD3" w:rsidRPr="008A6AD3" w:rsidRDefault="008A6AD3" w:rsidP="008A6AD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Foram avaliadas quatro populações de </w:t>
      </w:r>
      <w:r w:rsidRPr="00CA6A30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R. microplus</w:t>
      </w: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dos municípios paraibanos de Sousa, Nazarezinho e São José de Piranhas, além da cepa suscetível Porto Alegre (POA). Cerca de 100 </w:t>
      </w:r>
      <w:proofErr w:type="spellStart"/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>teleóginas</w:t>
      </w:r>
      <w:proofErr w:type="spellEnd"/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ingurgitadas por localidade foram coletadas e incubadas no LPV/IFPB a 27–28 °C e 85–90% de umidade relativa para obtenção das larvas.</w:t>
      </w:r>
    </w:p>
    <w:p w14:paraId="72A14183" w14:textId="6E46133E" w:rsidR="008A6AD3" w:rsidRPr="008A6AD3" w:rsidRDefault="008A6AD3" w:rsidP="008A6AD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Os bioensaios foram realizados pelo teste de pacote larval, com papel </w:t>
      </w:r>
      <w:proofErr w:type="spellStart"/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>Whatman</w:t>
      </w:r>
      <w:proofErr w:type="spellEnd"/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nº 1 (6 × 6 cm). O linalol foi testado em concentrações de 0,0975 a 50%</w:t>
      </w:r>
      <w:r w:rsidR="0084767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(Senra et al., 2013)</w:t>
      </w: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>, e a ivermectina, preparada a partir de solução estoque em álcool 70%, em concentrações de 0,78 a 100%. O álcool 70% foi utilizado como controle negativo.</w:t>
      </w:r>
    </w:p>
    <w:p w14:paraId="2F5B2F95" w14:textId="77777777" w:rsidR="008A6AD3" w:rsidRPr="008A6AD3" w:rsidRDefault="008A6AD3" w:rsidP="008A6AD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>Em seguida, a CL50 do linalol de cada população foi associada à ivermectina para determinação das CL50 e CL90 das combinações. Cerca de 100 larvas foram colocadas em cada pacote, com aplicação externa de 90 µL das soluções. Após 2 horas de evaporação, os pacotes foram incubados em BOD por 24 horas para avaliação da mortalidade.</w:t>
      </w:r>
    </w:p>
    <w:p w14:paraId="583D3DAC" w14:textId="77777777" w:rsidR="008A6AD3" w:rsidRPr="008A6AD3" w:rsidRDefault="008A6AD3" w:rsidP="008A6AD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8A6AD3">
        <w:rPr>
          <w:rFonts w:ascii="Times New Roman" w:hAnsi="Times New Roman" w:cs="Times New Roman"/>
          <w:bCs/>
          <w:spacing w:val="-2"/>
          <w:sz w:val="24"/>
          <w:szCs w:val="24"/>
        </w:rPr>
        <w:t>As CL50 e CL90 foram estimadas no Polo-Plus, e a significância das comparações foi definida pela não sobreposição dos intervalos de confiança de 95%.</w:t>
      </w:r>
    </w:p>
    <w:p w14:paraId="14D43280" w14:textId="2F135120" w:rsidR="00596292" w:rsidRDefault="00C34A7D" w:rsidP="00137F41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264DF51C" w14:textId="22EB9899" w:rsidR="00412AAF" w:rsidRDefault="00EB132C" w:rsidP="00EB132C">
      <w:pPr>
        <w:pStyle w:val="Legenda"/>
        <w:keepNext/>
        <w:spacing w:line="360" w:lineRule="auto"/>
        <w:ind w:firstLine="720"/>
        <w:jc w:val="both"/>
        <w:rPr>
          <w:b/>
          <w:bCs/>
          <w:i w:val="0"/>
          <w:iCs w:val="0"/>
          <w:color w:val="000000" w:themeColor="text1"/>
          <w:sz w:val="20"/>
          <w:szCs w:val="20"/>
        </w:rPr>
      </w:pPr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>O linalol apresentou atividade acaricida em todas as populações, com CL50 entre 0,941% e 1,865% e CL90 de 1,244% a 4,850%. Já a ivermectina isolada evidenciou altos níveis de resistência</w:t>
      </w:r>
      <w:r w:rsidR="00CA6A30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nas populações de </w:t>
      </w:r>
      <w:r w:rsidR="00CA6A30" w:rsidRPr="00CA6A30">
        <w:rPr>
          <w:rFonts w:ascii="Helvetica Neue" w:eastAsia="Helvetica Neue" w:hAnsi="Helvetica Neue" w:cs="Helvetica Neue"/>
          <w:color w:val="000000"/>
          <w:spacing w:val="2"/>
          <w:sz w:val="24"/>
          <w:szCs w:val="24"/>
          <w:lang w:eastAsia="pt-BR"/>
        </w:rPr>
        <w:t xml:space="preserve">R. </w:t>
      </w:r>
      <w:proofErr w:type="spellStart"/>
      <w:r w:rsidR="00CA6A30" w:rsidRPr="00CA6A30">
        <w:rPr>
          <w:rFonts w:ascii="Helvetica Neue" w:eastAsia="Helvetica Neue" w:hAnsi="Helvetica Neue" w:cs="Helvetica Neue"/>
          <w:color w:val="000000"/>
          <w:spacing w:val="2"/>
          <w:sz w:val="24"/>
          <w:szCs w:val="24"/>
          <w:lang w:eastAsia="pt-BR"/>
        </w:rPr>
        <w:t>microplus</w:t>
      </w:r>
      <w:proofErr w:type="spellEnd"/>
      <w:r w:rsidR="00CA6A30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avaliadas</w:t>
      </w:r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, com CL50 de 345,637 a 14622,967 </w:t>
      </w:r>
      <w:proofErr w:type="spellStart"/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>ppm</w:t>
      </w:r>
      <w:proofErr w:type="spellEnd"/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e fator de resistência entre 13,70 e 579,70 em relação à cepa POA, corroborando</w:t>
      </w:r>
      <w:r w:rsidR="00847670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com</w:t>
      </w:r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achados prévios</w:t>
      </w:r>
      <w:r w:rsidR="00847670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(Vilela et al., 2020)</w:t>
      </w:r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. Quando associada à CL50 de linalol, a ivermectina apresentou acentuada redução nas concentrações letais, com CL50 entre 0,643 e 8,998 </w:t>
      </w:r>
      <w:proofErr w:type="spellStart"/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>ppm</w:t>
      </w:r>
      <w:proofErr w:type="spellEnd"/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e fatores de sinergismo de 1,625 a 537,53</w:t>
      </w:r>
      <w:r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 xml:space="preserve"> (Tabela 1)</w:t>
      </w:r>
      <w:r w:rsidRPr="00EB132C">
        <w:rPr>
          <w:rFonts w:ascii="Helvetica Neue" w:eastAsia="Helvetica Neue" w:hAnsi="Helvetica Neue" w:cs="Helvetica Neue"/>
          <w:i w:val="0"/>
          <w:iCs w:val="0"/>
          <w:color w:val="000000"/>
          <w:spacing w:val="2"/>
          <w:sz w:val="24"/>
          <w:szCs w:val="24"/>
          <w:lang w:eastAsia="pt-BR"/>
        </w:rPr>
        <w:t>.</w:t>
      </w:r>
    </w:p>
    <w:p w14:paraId="32355659" w14:textId="55187F4B" w:rsidR="00ED3707" w:rsidRPr="00ED3707" w:rsidRDefault="00ED3707" w:rsidP="00EB132C">
      <w:pPr>
        <w:pStyle w:val="Legenda"/>
        <w:keepNext/>
        <w:spacing w:after="0"/>
        <w:jc w:val="both"/>
        <w:rPr>
          <w:sz w:val="20"/>
          <w:szCs w:val="20"/>
        </w:rPr>
      </w:pPr>
      <w:r w:rsidRPr="00ED3707">
        <w:rPr>
          <w:b/>
          <w:bCs/>
          <w:i w:val="0"/>
          <w:iCs w:val="0"/>
          <w:color w:val="000000" w:themeColor="text1"/>
          <w:sz w:val="20"/>
          <w:szCs w:val="20"/>
        </w:rPr>
        <w:t xml:space="preserve">Tabela </w:t>
      </w:r>
      <w:r>
        <w:rPr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Pr="00ED3707">
        <w:rPr>
          <w:i w:val="0"/>
          <w:iCs w:val="0"/>
          <w:color w:val="000000" w:themeColor="text1"/>
          <w:sz w:val="20"/>
          <w:szCs w:val="20"/>
        </w:rPr>
        <w:t xml:space="preserve"> – Concentrações letais (CL</w:t>
      </w:r>
      <w:r w:rsidRPr="00ED3707">
        <w:rPr>
          <w:i w:val="0"/>
          <w:iCs w:val="0"/>
          <w:color w:val="000000" w:themeColor="text1"/>
          <w:sz w:val="20"/>
          <w:szCs w:val="20"/>
          <w:vertAlign w:val="subscript"/>
        </w:rPr>
        <w:t>50</w:t>
      </w:r>
      <w:r w:rsidRPr="00ED3707">
        <w:rPr>
          <w:i w:val="0"/>
          <w:iCs w:val="0"/>
          <w:color w:val="000000" w:themeColor="text1"/>
          <w:sz w:val="20"/>
          <w:szCs w:val="20"/>
        </w:rPr>
        <w:t>) de Ivermectina (IVM) testada isoladamente e em associação com as CL</w:t>
      </w:r>
      <w:r w:rsidRPr="00ED3707">
        <w:rPr>
          <w:i w:val="0"/>
          <w:iCs w:val="0"/>
          <w:color w:val="000000" w:themeColor="text1"/>
          <w:sz w:val="20"/>
          <w:szCs w:val="20"/>
          <w:vertAlign w:val="subscript"/>
        </w:rPr>
        <w:t>50</w:t>
      </w:r>
      <w:r w:rsidRPr="00ED3707">
        <w:rPr>
          <w:i w:val="0"/>
          <w:iCs w:val="0"/>
          <w:color w:val="000000" w:themeColor="text1"/>
          <w:sz w:val="20"/>
          <w:szCs w:val="20"/>
        </w:rPr>
        <w:t xml:space="preserve"> de Linalol (LIN) em quatro populações de</w:t>
      </w:r>
      <w:r w:rsidRPr="00ED3707">
        <w:rPr>
          <w:color w:val="000000" w:themeColor="text1"/>
          <w:sz w:val="20"/>
          <w:szCs w:val="20"/>
        </w:rPr>
        <w:t xml:space="preserve"> </w:t>
      </w:r>
      <w:proofErr w:type="spellStart"/>
      <w:r w:rsidRPr="00ED3707">
        <w:rPr>
          <w:color w:val="000000" w:themeColor="text1"/>
          <w:sz w:val="20"/>
          <w:szCs w:val="20"/>
        </w:rPr>
        <w:t>R</w:t>
      </w:r>
      <w:r w:rsidR="00CA6A30">
        <w:rPr>
          <w:color w:val="000000" w:themeColor="text1"/>
          <w:sz w:val="20"/>
          <w:szCs w:val="20"/>
        </w:rPr>
        <w:t>hipicephalus</w:t>
      </w:r>
      <w:proofErr w:type="spellEnd"/>
      <w:r w:rsidRPr="00ED3707">
        <w:rPr>
          <w:color w:val="000000" w:themeColor="text1"/>
          <w:sz w:val="20"/>
          <w:szCs w:val="20"/>
        </w:rPr>
        <w:t xml:space="preserve"> </w:t>
      </w:r>
      <w:proofErr w:type="spellStart"/>
      <w:r w:rsidRPr="00ED3707">
        <w:rPr>
          <w:color w:val="000000" w:themeColor="text1"/>
          <w:sz w:val="20"/>
          <w:szCs w:val="20"/>
        </w:rPr>
        <w:t>microplus</w:t>
      </w:r>
      <w:proofErr w:type="spellEnd"/>
      <w:r w:rsidRPr="00ED3707">
        <w:rPr>
          <w:color w:val="000000" w:themeColor="text1"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254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063"/>
        <w:gridCol w:w="2126"/>
        <w:gridCol w:w="992"/>
        <w:gridCol w:w="1701"/>
        <w:gridCol w:w="709"/>
      </w:tblGrid>
      <w:tr w:rsidR="00ED3707" w:rsidRPr="00806EBF" w14:paraId="49913C56" w14:textId="77777777" w:rsidTr="00ED3707">
        <w:trPr>
          <w:trHeight w:val="20"/>
        </w:trPr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C8C60" w14:textId="77777777" w:rsidR="00ED3707" w:rsidRPr="00847670" w:rsidRDefault="00ED3707" w:rsidP="00EB13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34D0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IVM </w:t>
            </w: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vertAlign w:val="subscript"/>
                <w:lang w:eastAsia="en-US"/>
              </w:rPr>
              <w:t>CL50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E5A8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IC</w:t>
            </w: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vertAlign w:val="subscript"/>
                <w:lang w:eastAsia="en-US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2C8F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IVM+LIN </w:t>
            </w: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vertAlign w:val="superscript"/>
                <w:lang w:eastAsia="en-US"/>
              </w:rPr>
              <w:t>CL50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52B37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IC</w:t>
            </w: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vertAlign w:val="subscript"/>
                <w:lang w:eastAsia="en-US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A79879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FS</w:t>
            </w:r>
          </w:p>
        </w:tc>
      </w:tr>
      <w:tr w:rsidR="00ED3707" w:rsidRPr="00806EBF" w14:paraId="76B4CC60" w14:textId="77777777" w:rsidTr="00ED3707">
        <w:trPr>
          <w:trHeight w:val="20"/>
        </w:trPr>
        <w:tc>
          <w:tcPr>
            <w:tcW w:w="1489" w:type="dxa"/>
            <w:tcBorders>
              <w:top w:val="single" w:sz="4" w:space="0" w:color="auto"/>
              <w:left w:val="nil"/>
            </w:tcBorders>
            <w:vAlign w:val="center"/>
          </w:tcPr>
          <w:p w14:paraId="63C49C09" w14:textId="606B7D04" w:rsidR="00ED3707" w:rsidRPr="00847670" w:rsidRDefault="0020473D" w:rsidP="00EB1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Sousa</w:t>
            </w:r>
            <w:r w:rsidR="00ED3707"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 1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8A2FB96" w14:textId="2A52CA18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525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F9A55B3" w14:textId="356A6B8F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268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196 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–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 4415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929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ED69450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</w:p>
          <w:p w14:paraId="59048446" w14:textId="73B0CFA8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193</w:t>
            </w:r>
          </w:p>
          <w:p w14:paraId="1D5348A6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W w:w="64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11"/>
              <w:gridCol w:w="1611"/>
              <w:gridCol w:w="1611"/>
              <w:gridCol w:w="1611"/>
            </w:tblGrid>
            <w:tr w:rsidR="00ED3707" w:rsidRPr="00847670" w14:paraId="76AA2A28" w14:textId="77777777">
              <w:trPr>
                <w:trHeight w:val="248"/>
              </w:trPr>
              <w:tc>
                <w:tcPr>
                  <w:tcW w:w="16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6CC44" w14:textId="01877D75" w:rsidR="00ED3707" w:rsidRPr="00847670" w:rsidRDefault="00ED3707" w:rsidP="00CA6A30">
                  <w:pPr>
                    <w:framePr w:hSpace="141" w:wrap="around" w:vAnchor="text" w:hAnchor="margin" w:xAlign="center" w:y="2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</w:pPr>
                  <w:r w:rsidRPr="0084767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>1</w:t>
                  </w:r>
                  <w:r w:rsidR="00963BB2" w:rsidRPr="0084767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>,</w:t>
                  </w:r>
                  <w:r w:rsidRPr="0084767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>859 – 2</w:t>
                  </w:r>
                  <w:r w:rsidR="00963BB2" w:rsidRPr="0084767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>,</w:t>
                  </w:r>
                  <w:r w:rsidRPr="0084767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>557*</w:t>
                  </w:r>
                </w:p>
              </w:tc>
              <w:tc>
                <w:tcPr>
                  <w:tcW w:w="1611" w:type="dxa"/>
                </w:tcPr>
                <w:p w14:paraId="48A71CE0" w14:textId="77777777" w:rsidR="00ED3707" w:rsidRPr="00847670" w:rsidRDefault="00ED3707" w:rsidP="00CA6A30">
                  <w:pPr>
                    <w:framePr w:hSpace="141" w:wrap="around" w:vAnchor="text" w:hAnchor="margin" w:xAlign="center" w:y="2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</w:tcPr>
                <w:p w14:paraId="4E0BA4DA" w14:textId="77777777" w:rsidR="00ED3707" w:rsidRPr="00847670" w:rsidRDefault="00ED3707" w:rsidP="00CA6A30">
                  <w:pPr>
                    <w:framePr w:hSpace="141" w:wrap="around" w:vAnchor="text" w:hAnchor="margin" w:xAlign="center" w:y="2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</w:tcPr>
                <w:p w14:paraId="2FC0131E" w14:textId="77777777" w:rsidR="00ED3707" w:rsidRPr="00847670" w:rsidRDefault="00ED3707" w:rsidP="00CA6A30">
                  <w:pPr>
                    <w:framePr w:hSpace="141" w:wrap="around" w:vAnchor="text" w:hAnchor="margin" w:xAlign="center" w:y="2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</w:pPr>
                </w:p>
              </w:tc>
            </w:tr>
          </w:tbl>
          <w:p w14:paraId="79202C93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25B00E8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  <w:p w14:paraId="583EA7B6" w14:textId="7DB762DB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239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46</w:t>
            </w:r>
          </w:p>
        </w:tc>
      </w:tr>
      <w:tr w:rsidR="00ED3707" w:rsidRPr="00806EBF" w14:paraId="4F18791C" w14:textId="77777777" w:rsidTr="00ED3707">
        <w:trPr>
          <w:trHeight w:val="20"/>
        </w:trPr>
        <w:tc>
          <w:tcPr>
            <w:tcW w:w="1489" w:type="dxa"/>
            <w:tcBorders>
              <w:left w:val="nil"/>
            </w:tcBorders>
            <w:vAlign w:val="center"/>
          </w:tcPr>
          <w:p w14:paraId="11118839" w14:textId="09E07627" w:rsidR="00ED3707" w:rsidRPr="00847670" w:rsidRDefault="0020473D" w:rsidP="00ED3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Sousa</w:t>
            </w:r>
            <w:r w:rsidR="00ED3707"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063" w:type="dxa"/>
            <w:vAlign w:val="center"/>
          </w:tcPr>
          <w:p w14:paraId="68A3A43C" w14:textId="6E7582C9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345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637</w:t>
            </w:r>
          </w:p>
        </w:tc>
        <w:tc>
          <w:tcPr>
            <w:tcW w:w="2126" w:type="dxa"/>
            <w:vAlign w:val="center"/>
          </w:tcPr>
          <w:p w14:paraId="68E06E1B" w14:textId="0EC1E4DA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192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470 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–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 5191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992" w:type="dxa"/>
            <w:vAlign w:val="center"/>
          </w:tcPr>
          <w:p w14:paraId="68866C37" w14:textId="77777777" w:rsidR="0020473D" w:rsidRPr="00847670" w:rsidRDefault="0020473D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0,643</w:t>
            </w:r>
          </w:p>
          <w:p w14:paraId="04ECF99F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</w:p>
          <w:p w14:paraId="7ED60479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37686F2" w14:textId="28B4FB3C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308 – 0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974*</w:t>
            </w:r>
          </w:p>
        </w:tc>
        <w:tc>
          <w:tcPr>
            <w:tcW w:w="709" w:type="dxa"/>
            <w:tcBorders>
              <w:right w:val="nil"/>
            </w:tcBorders>
          </w:tcPr>
          <w:p w14:paraId="2523EED2" w14:textId="21BB803F" w:rsidR="00ED3707" w:rsidRPr="00847670" w:rsidRDefault="0020473D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537,53</w:t>
            </w:r>
          </w:p>
          <w:p w14:paraId="6E8DC055" w14:textId="7BB67536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</w:tr>
      <w:tr w:rsidR="00ED3707" w:rsidRPr="00806EBF" w14:paraId="0F2BCD3B" w14:textId="77777777" w:rsidTr="00ED3707">
        <w:trPr>
          <w:trHeight w:val="20"/>
        </w:trPr>
        <w:tc>
          <w:tcPr>
            <w:tcW w:w="1489" w:type="dxa"/>
            <w:tcBorders>
              <w:left w:val="nil"/>
            </w:tcBorders>
            <w:vAlign w:val="center"/>
          </w:tcPr>
          <w:p w14:paraId="78EB074D" w14:textId="52BF1F62" w:rsidR="00ED3707" w:rsidRPr="00847670" w:rsidRDefault="0020473D" w:rsidP="00ED3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Nazarezinho</w:t>
            </w:r>
            <w:r w:rsidR="00ED3707"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14:paraId="6B8416E5" w14:textId="58E19986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14622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967</w:t>
            </w:r>
          </w:p>
        </w:tc>
        <w:tc>
          <w:tcPr>
            <w:tcW w:w="2126" w:type="dxa"/>
            <w:vAlign w:val="center"/>
          </w:tcPr>
          <w:p w14:paraId="456F4E32" w14:textId="11927AB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2057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138 - 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27187,686</w:t>
            </w:r>
          </w:p>
        </w:tc>
        <w:tc>
          <w:tcPr>
            <w:tcW w:w="992" w:type="dxa"/>
            <w:vAlign w:val="center"/>
          </w:tcPr>
          <w:p w14:paraId="5A17A982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</w:p>
          <w:p w14:paraId="58CEB5CB" w14:textId="75F2462D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8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998</w:t>
            </w:r>
          </w:p>
          <w:p w14:paraId="0D211739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9849D74" w14:textId="4216E3CB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5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151 -12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057*</w:t>
            </w:r>
          </w:p>
        </w:tc>
        <w:tc>
          <w:tcPr>
            <w:tcW w:w="709" w:type="dxa"/>
            <w:tcBorders>
              <w:right w:val="nil"/>
            </w:tcBorders>
          </w:tcPr>
          <w:p w14:paraId="7F994A5F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  <w:p w14:paraId="36C7198B" w14:textId="3CD38048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1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625</w:t>
            </w:r>
          </w:p>
        </w:tc>
      </w:tr>
      <w:tr w:rsidR="00ED3707" w:rsidRPr="00806EBF" w14:paraId="09459E51" w14:textId="77777777" w:rsidTr="00ED3707">
        <w:trPr>
          <w:trHeight w:val="20"/>
        </w:trPr>
        <w:tc>
          <w:tcPr>
            <w:tcW w:w="1489" w:type="dxa"/>
            <w:tcBorders>
              <w:left w:val="nil"/>
              <w:bottom w:val="single" w:sz="4" w:space="0" w:color="auto"/>
            </w:tcBorders>
            <w:vAlign w:val="center"/>
          </w:tcPr>
          <w:p w14:paraId="1E6CFAD8" w14:textId="42421B5D" w:rsidR="00ED3707" w:rsidRPr="00847670" w:rsidRDefault="0020473D" w:rsidP="00ED3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>São José de Piranhas</w:t>
            </w:r>
            <w:r w:rsidR="00ED3707" w:rsidRPr="00847670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5E002F7" w14:textId="5BD9C4F0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929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616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DE970C" w14:textId="08DD6F11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502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745 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–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 xml:space="preserve"> 2424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577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556E9E" w14:textId="0FBFADB3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2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en-US"/>
              </w:rPr>
              <w:t>683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7B817345" w14:textId="032DC90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1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905 – 3</w:t>
            </w:r>
            <w:r w:rsidR="00963BB2"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,</w:t>
            </w: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118*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30301009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  <w:p w14:paraId="3EE3E763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4767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346.48</w:t>
            </w:r>
          </w:p>
          <w:p w14:paraId="48308AB2" w14:textId="77777777" w:rsidR="00ED3707" w:rsidRPr="00847670" w:rsidRDefault="00ED3707" w:rsidP="00EB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</w:tr>
    </w:tbl>
    <w:p w14:paraId="1A235E9E" w14:textId="59F195B5" w:rsidR="00ED3707" w:rsidRPr="00ED3707" w:rsidRDefault="00ED3707" w:rsidP="00ED3707">
      <w:pPr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ED3707">
        <w:rPr>
          <w:rFonts w:ascii="Times New Roman" w:hAnsi="Times New Roman" w:cs="Times New Roman"/>
          <w:sz w:val="20"/>
          <w:szCs w:val="20"/>
          <w:lang w:val="pt-PT"/>
        </w:rPr>
        <w:lastRenderedPageBreak/>
        <w:t>Diferença estatística se os intervalos de confiança (IC) não se sobrepõem na mesma população; IVM: Ivermectina; LIN: Linalol; IC: Intervalo de confiança de 95%; FS: Fator de sinergismo (CL</w:t>
      </w:r>
      <w:r w:rsidRPr="00ED3707">
        <w:rPr>
          <w:rFonts w:ascii="Times New Roman" w:hAnsi="Times New Roman" w:cs="Times New Roman"/>
          <w:sz w:val="20"/>
          <w:szCs w:val="20"/>
          <w:vertAlign w:val="subscript"/>
          <w:lang w:val="pt-PT"/>
        </w:rPr>
        <w:t>50</w:t>
      </w:r>
      <w:r w:rsidRPr="00ED3707">
        <w:rPr>
          <w:rFonts w:ascii="Times New Roman" w:hAnsi="Times New Roman" w:cs="Times New Roman"/>
          <w:sz w:val="20"/>
          <w:szCs w:val="20"/>
          <w:lang w:val="pt-PT"/>
        </w:rPr>
        <w:t>IVM/CL</w:t>
      </w:r>
      <w:r w:rsidRPr="00ED3707">
        <w:rPr>
          <w:rFonts w:ascii="Times New Roman" w:hAnsi="Times New Roman" w:cs="Times New Roman"/>
          <w:sz w:val="20"/>
          <w:szCs w:val="20"/>
          <w:vertAlign w:val="subscript"/>
          <w:lang w:val="pt-PT"/>
        </w:rPr>
        <w:t>50</w:t>
      </w:r>
      <w:r w:rsidRPr="00ED3707">
        <w:rPr>
          <w:rFonts w:ascii="Times New Roman" w:hAnsi="Times New Roman" w:cs="Times New Roman"/>
          <w:sz w:val="20"/>
          <w:szCs w:val="20"/>
          <w:lang w:val="pt-PT"/>
        </w:rPr>
        <w:t xml:space="preserve"> IVM + LIN).</w:t>
      </w:r>
    </w:p>
    <w:p w14:paraId="75DBE025" w14:textId="40155739" w:rsidR="00806EBF" w:rsidRDefault="00EB132C" w:rsidP="00EB132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567"/>
        <w:jc w:val="both"/>
        <w:rPr>
          <w:b/>
          <w:color w:val="000000"/>
          <w:spacing w:val="-2"/>
        </w:rPr>
      </w:pPr>
      <w:r w:rsidRPr="00EB132C">
        <w:rPr>
          <w:rFonts w:ascii="Helvetica Neue" w:eastAsia="Helvetica Neue" w:hAnsi="Helvetica Neue" w:cs="Helvetica Neue"/>
          <w:color w:val="000000"/>
          <w:spacing w:val="-2"/>
          <w:lang w:val="pt-BR"/>
        </w:rPr>
        <w:t>Os resultados indicam sinergismo entre linalol e ivermectina, sugerindo que o monoterpeno potencializa a ação do acaricida mesmo em populações resistentes, possivelmente por atuar em múltiplos alvos</w:t>
      </w:r>
      <w:r>
        <w:rPr>
          <w:rFonts w:ascii="Helvetica Neue" w:eastAsia="Helvetica Neue" w:hAnsi="Helvetica Neue" w:cs="Helvetica Neue"/>
          <w:color w:val="000000"/>
          <w:spacing w:val="-2"/>
          <w:lang w:val="pt-BR"/>
        </w:rPr>
        <w:t xml:space="preserve">, </w:t>
      </w:r>
      <w:r w:rsidRPr="00EB132C">
        <w:rPr>
          <w:rFonts w:ascii="Helvetica Neue" w:eastAsia="Helvetica Neue" w:hAnsi="Helvetica Neue" w:cs="Helvetica Neue"/>
          <w:color w:val="000000"/>
          <w:spacing w:val="-2"/>
          <w:lang w:val="pt-BR"/>
        </w:rPr>
        <w:t>como os receptores GABA (</w:t>
      </w:r>
      <w:proofErr w:type="spellStart"/>
      <w:r w:rsidRPr="00EB132C">
        <w:rPr>
          <w:rFonts w:ascii="Helvetica Neue" w:eastAsia="Helvetica Neue" w:hAnsi="Helvetica Neue" w:cs="Helvetica Neue"/>
          <w:color w:val="000000"/>
          <w:spacing w:val="-2"/>
          <w:lang w:val="pt-BR"/>
        </w:rPr>
        <w:t>Blenau</w:t>
      </w:r>
      <w:proofErr w:type="spellEnd"/>
      <w:r w:rsidRPr="00EB132C">
        <w:rPr>
          <w:rFonts w:ascii="Helvetica Neue" w:eastAsia="Helvetica Neue" w:hAnsi="Helvetica Neue" w:cs="Helvetica Neue"/>
          <w:color w:val="000000"/>
          <w:spacing w:val="-2"/>
          <w:lang w:val="pt-BR"/>
        </w:rPr>
        <w:t xml:space="preserve"> et al., 2012) e a acetilcolinesterase (Cardoso et al., 2020). Assim, a associação entre composto natural e molécula sintética mostra-se promissora como estratégia de manejo.</w:t>
      </w:r>
    </w:p>
    <w:p w14:paraId="2BCC95A0" w14:textId="58F108D3" w:rsidR="00806EBF" w:rsidRPr="00821CF5" w:rsidRDefault="00096391" w:rsidP="00EB132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  <w:spacing w:val="-2"/>
        </w:rPr>
      </w:pPr>
      <w:r w:rsidRPr="00821CF5">
        <w:rPr>
          <w:b/>
          <w:color w:val="000000"/>
          <w:spacing w:val="-2"/>
        </w:rPr>
        <w:t>Conclusão</w:t>
      </w:r>
      <w:r w:rsidR="005F545F" w:rsidRPr="00821CF5">
        <w:rPr>
          <w:rFonts w:ascii="Helvetica Neue" w:eastAsia="Helvetica Neue" w:hAnsi="Helvetica Neue" w:cs="Helvetica Neue"/>
          <w:color w:val="000000"/>
          <w:spacing w:val="-2"/>
        </w:rPr>
        <w:t>:</w:t>
      </w:r>
    </w:p>
    <w:p w14:paraId="5896F279" w14:textId="44497B74" w:rsidR="005F545F" w:rsidRPr="00821CF5" w:rsidRDefault="00B1769A" w:rsidP="00EB132C">
      <w:pPr>
        <w:spacing w:line="360" w:lineRule="auto"/>
        <w:ind w:left="10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21CF5">
        <w:rPr>
          <w:rFonts w:ascii="Times New Roman" w:hAnsi="Times New Roman" w:cs="Times New Roman"/>
          <w:spacing w:val="-2"/>
          <w:sz w:val="24"/>
          <w:szCs w:val="24"/>
        </w:rPr>
        <w:t xml:space="preserve">A associação entre linalol e ivermectina promoveu um </w:t>
      </w:r>
      <w:r w:rsidRPr="00821CF5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efeito acaricida sinérgico contra as populações de </w:t>
      </w:r>
      <w:r w:rsidRPr="00821CF5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</w:rPr>
        <w:t xml:space="preserve">R. microplus </w:t>
      </w:r>
      <w:r w:rsidRPr="00821CF5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resistentes, </w:t>
      </w:r>
      <w:r w:rsidRPr="00821CF5">
        <w:rPr>
          <w:rFonts w:ascii="Times New Roman" w:hAnsi="Times New Roman" w:cs="Times New Roman"/>
          <w:spacing w:val="-2"/>
          <w:sz w:val="24"/>
          <w:szCs w:val="24"/>
        </w:rPr>
        <w:t xml:space="preserve">resultando em expressivas reduções das concentrações letais da ivermectina em todas as populações avaliadas, sendo uma alternativa promissora na integração de estratégias de manejo mais sustentáveis para reduzir a dependência exclusiva de acaricidas sintéticos. </w:t>
      </w:r>
    </w:p>
    <w:p w14:paraId="516E067C" w14:textId="5ED67554" w:rsidR="003D561B" w:rsidRDefault="00771BAA" w:rsidP="008D711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2DDE94E2" w14:textId="77777777" w:rsidR="00412AAF" w:rsidRPr="00412AAF" w:rsidRDefault="00412AAF" w:rsidP="006E2328">
      <w:pPr>
        <w:pStyle w:val="NormalWeb"/>
        <w:spacing w:line="240" w:lineRule="auto"/>
        <w:ind w:left="360"/>
        <w:jc w:val="both"/>
        <w:rPr>
          <w:lang w:val="en-US"/>
        </w:rPr>
      </w:pPr>
      <w:proofErr w:type="spellStart"/>
      <w:r w:rsidRPr="00412AAF">
        <w:rPr>
          <w:lang w:val="en-US"/>
        </w:rPr>
        <w:t>Blenau</w:t>
      </w:r>
      <w:proofErr w:type="spellEnd"/>
      <w:r w:rsidRPr="00412AAF">
        <w:rPr>
          <w:lang w:val="en-US"/>
        </w:rPr>
        <w:t xml:space="preserve">, W. et al., 2012. Plant essential oils and formamidines as insecticides/acaricides: what are the molecular targets? </w:t>
      </w:r>
      <w:proofErr w:type="spellStart"/>
      <w:r w:rsidRPr="00412AAF">
        <w:rPr>
          <w:rStyle w:val="nfase"/>
          <w:rFonts w:eastAsiaTheme="majorEastAsia"/>
          <w:lang w:val="en-US"/>
        </w:rPr>
        <w:t>Apidologie</w:t>
      </w:r>
      <w:proofErr w:type="spellEnd"/>
      <w:r w:rsidRPr="00412AAF">
        <w:rPr>
          <w:lang w:val="en-US"/>
        </w:rPr>
        <w:t xml:space="preserve"> 43, 334-347. </w:t>
      </w:r>
      <w:r w:rsidRPr="00412AAF">
        <w:rPr>
          <w:rFonts w:eastAsiaTheme="majorEastAsia"/>
          <w:lang w:val="en-US"/>
        </w:rPr>
        <w:t>https://doi.org/10.1007/s13592-011-0108-7</w:t>
      </w:r>
    </w:p>
    <w:p w14:paraId="4F02665C" w14:textId="77777777" w:rsidR="00412AAF" w:rsidRPr="00412AAF" w:rsidRDefault="00412AAF" w:rsidP="006E2328">
      <w:pPr>
        <w:pStyle w:val="NormalWeb"/>
        <w:spacing w:line="240" w:lineRule="auto"/>
        <w:ind w:left="360"/>
        <w:jc w:val="both"/>
        <w:rPr>
          <w:lang w:val="en-US"/>
        </w:rPr>
      </w:pPr>
      <w:r w:rsidRPr="00412AAF">
        <w:t xml:space="preserve">Cardoso, A.D.S. et al., 2020. </w:t>
      </w:r>
      <w:r w:rsidRPr="00412AAF">
        <w:rPr>
          <w:lang w:val="en-US"/>
        </w:rPr>
        <w:t xml:space="preserve">Terpenes on </w:t>
      </w:r>
      <w:r w:rsidRPr="00412AAF">
        <w:rPr>
          <w:rStyle w:val="nfase"/>
          <w:rFonts w:eastAsiaTheme="majorEastAsia"/>
          <w:lang w:val="en-US"/>
        </w:rPr>
        <w:t>Rhipicephalus (</w:t>
      </w:r>
      <w:proofErr w:type="spellStart"/>
      <w:r w:rsidRPr="00412AAF">
        <w:rPr>
          <w:rStyle w:val="nfase"/>
          <w:rFonts w:eastAsiaTheme="majorEastAsia"/>
          <w:lang w:val="en-US"/>
        </w:rPr>
        <w:t>Boophilus</w:t>
      </w:r>
      <w:proofErr w:type="spellEnd"/>
      <w:r w:rsidRPr="00412AAF">
        <w:rPr>
          <w:rStyle w:val="nfase"/>
          <w:rFonts w:eastAsiaTheme="majorEastAsia"/>
          <w:lang w:val="en-US"/>
        </w:rPr>
        <w:t xml:space="preserve">) </w:t>
      </w:r>
      <w:proofErr w:type="spellStart"/>
      <w:r w:rsidRPr="00412AAF">
        <w:rPr>
          <w:rStyle w:val="nfase"/>
          <w:rFonts w:eastAsiaTheme="majorEastAsia"/>
          <w:lang w:val="en-US"/>
        </w:rPr>
        <w:t>microplus</w:t>
      </w:r>
      <w:proofErr w:type="spellEnd"/>
      <w:r w:rsidRPr="00412AAF">
        <w:rPr>
          <w:lang w:val="en-US"/>
        </w:rPr>
        <w:t xml:space="preserve">: Acaricidal activity and acetylcholinesterase inhibition. </w:t>
      </w:r>
      <w:r w:rsidRPr="00412AAF">
        <w:rPr>
          <w:rStyle w:val="nfase"/>
          <w:rFonts w:eastAsiaTheme="majorEastAsia"/>
          <w:lang w:val="en-US"/>
        </w:rPr>
        <w:t>Veterinary Parasitology</w:t>
      </w:r>
      <w:r w:rsidRPr="00412AAF">
        <w:rPr>
          <w:lang w:val="en-US"/>
        </w:rPr>
        <w:t xml:space="preserve"> 280, 109090. </w:t>
      </w:r>
      <w:r w:rsidRPr="00412AAF">
        <w:rPr>
          <w:rFonts w:eastAsiaTheme="majorEastAsia"/>
          <w:lang w:val="en-US"/>
        </w:rPr>
        <w:t>https://doi.org/10.1016/j.vetpar.2020.109090</w:t>
      </w:r>
    </w:p>
    <w:p w14:paraId="2A1DC378" w14:textId="77777777" w:rsidR="00412AAF" w:rsidRPr="00412AAF" w:rsidRDefault="00412AAF" w:rsidP="006E2328">
      <w:pPr>
        <w:pStyle w:val="NormalWeb"/>
        <w:spacing w:line="240" w:lineRule="auto"/>
        <w:ind w:left="360"/>
        <w:jc w:val="both"/>
        <w:rPr>
          <w:lang w:val="en-US"/>
        </w:rPr>
      </w:pPr>
      <w:r w:rsidRPr="00412AAF">
        <w:rPr>
          <w:lang w:val="en-US"/>
        </w:rPr>
        <w:t xml:space="preserve">Gupta, S. et al., 2016. Esterase mediated resistance in deltamethrin resistant reference tick colony of </w:t>
      </w:r>
      <w:r w:rsidRPr="00412AAF">
        <w:rPr>
          <w:rStyle w:val="nfase"/>
          <w:rFonts w:eastAsiaTheme="majorEastAsia"/>
          <w:lang w:val="en-US"/>
        </w:rPr>
        <w:t>Rhipicephalus (</w:t>
      </w:r>
      <w:proofErr w:type="spellStart"/>
      <w:r w:rsidRPr="00412AAF">
        <w:rPr>
          <w:rStyle w:val="nfase"/>
          <w:rFonts w:eastAsiaTheme="majorEastAsia"/>
          <w:lang w:val="en-US"/>
        </w:rPr>
        <w:t>Boophilus</w:t>
      </w:r>
      <w:proofErr w:type="spellEnd"/>
      <w:r w:rsidRPr="00412AAF">
        <w:rPr>
          <w:rStyle w:val="nfase"/>
          <w:rFonts w:eastAsiaTheme="majorEastAsia"/>
          <w:lang w:val="en-US"/>
        </w:rPr>
        <w:t xml:space="preserve">) </w:t>
      </w:r>
      <w:proofErr w:type="spellStart"/>
      <w:r w:rsidRPr="00412AAF">
        <w:rPr>
          <w:rStyle w:val="nfase"/>
          <w:rFonts w:eastAsiaTheme="majorEastAsia"/>
          <w:lang w:val="en-US"/>
        </w:rPr>
        <w:t>microplus</w:t>
      </w:r>
      <w:proofErr w:type="spellEnd"/>
      <w:r w:rsidRPr="00412AAF">
        <w:rPr>
          <w:lang w:val="en-US"/>
        </w:rPr>
        <w:t xml:space="preserve">. </w:t>
      </w:r>
      <w:r w:rsidRPr="00412AAF">
        <w:rPr>
          <w:rStyle w:val="nfase"/>
          <w:rFonts w:eastAsiaTheme="majorEastAsia"/>
          <w:lang w:val="en-US"/>
        </w:rPr>
        <w:t>Experimental and Applied Acarology</w:t>
      </w:r>
      <w:r w:rsidRPr="00412AAF">
        <w:rPr>
          <w:lang w:val="en-US"/>
        </w:rPr>
        <w:t xml:space="preserve"> 69, 239-248. https://doi.org/10.1007/s10493-016-0032-7</w:t>
      </w:r>
    </w:p>
    <w:p w14:paraId="52E0A996" w14:textId="77777777" w:rsidR="00412AAF" w:rsidRDefault="00412AAF" w:rsidP="006E2328">
      <w:pPr>
        <w:pStyle w:val="NormalWeb"/>
        <w:spacing w:line="240" w:lineRule="auto"/>
        <w:ind w:left="360"/>
        <w:jc w:val="both"/>
      </w:pPr>
      <w:proofErr w:type="spellStart"/>
      <w:r w:rsidRPr="00412AAF">
        <w:rPr>
          <w:lang w:val="en-US"/>
        </w:rPr>
        <w:t>Klafke</w:t>
      </w:r>
      <w:proofErr w:type="spellEnd"/>
      <w:r w:rsidRPr="00412AAF">
        <w:rPr>
          <w:lang w:val="en-US"/>
        </w:rPr>
        <w:t xml:space="preserve">, G.M. et al., 2024. Brazil's battle against </w:t>
      </w:r>
      <w:r w:rsidRPr="00412AAF">
        <w:rPr>
          <w:rStyle w:val="nfase"/>
          <w:rFonts w:eastAsiaTheme="majorEastAsia"/>
          <w:lang w:val="en-US"/>
        </w:rPr>
        <w:t>Rhipicephalus (</w:t>
      </w:r>
      <w:proofErr w:type="spellStart"/>
      <w:r w:rsidRPr="00412AAF">
        <w:rPr>
          <w:rStyle w:val="nfase"/>
          <w:rFonts w:eastAsiaTheme="majorEastAsia"/>
          <w:lang w:val="en-US"/>
        </w:rPr>
        <w:t>Boophilus</w:t>
      </w:r>
      <w:proofErr w:type="spellEnd"/>
      <w:r w:rsidRPr="00412AAF">
        <w:rPr>
          <w:rStyle w:val="nfase"/>
          <w:rFonts w:eastAsiaTheme="majorEastAsia"/>
          <w:lang w:val="en-US"/>
        </w:rPr>
        <w:t xml:space="preserve">) </w:t>
      </w:r>
      <w:proofErr w:type="spellStart"/>
      <w:r w:rsidRPr="00412AAF">
        <w:rPr>
          <w:rStyle w:val="nfase"/>
          <w:rFonts w:eastAsiaTheme="majorEastAsia"/>
          <w:lang w:val="en-US"/>
        </w:rPr>
        <w:t>microplus</w:t>
      </w:r>
      <w:proofErr w:type="spellEnd"/>
      <w:r w:rsidRPr="00412AAF">
        <w:rPr>
          <w:lang w:val="en-US"/>
        </w:rPr>
        <w:t xml:space="preserve"> ticks: current strategies and future directions. </w:t>
      </w:r>
      <w:r w:rsidRPr="00881C0F">
        <w:rPr>
          <w:rStyle w:val="nfase"/>
          <w:rFonts w:eastAsiaTheme="majorEastAsia"/>
        </w:rPr>
        <w:t>Revista Brasileira de Parasitologia Veterinária</w:t>
      </w:r>
      <w:r>
        <w:t xml:space="preserve"> 33, e001423. https://doi.org/10.1590/S1984-29612024026</w:t>
      </w:r>
    </w:p>
    <w:p w14:paraId="0FD6B4EA" w14:textId="77777777" w:rsidR="00412AAF" w:rsidRPr="00412AAF" w:rsidRDefault="00412AAF" w:rsidP="006E2328">
      <w:pPr>
        <w:pStyle w:val="NormalWeb"/>
        <w:spacing w:line="240" w:lineRule="auto"/>
        <w:ind w:left="360"/>
        <w:jc w:val="both"/>
        <w:rPr>
          <w:lang w:val="en-US"/>
        </w:rPr>
      </w:pPr>
      <w:r>
        <w:rPr>
          <w:b/>
          <w:bCs/>
          <w:color w:val="000000"/>
        </w:rPr>
        <w:t xml:space="preserve"> </w:t>
      </w:r>
      <w:r>
        <w:t xml:space="preserve">Senra, T.O.S. et al., 2013. </w:t>
      </w:r>
      <w:r w:rsidRPr="00412AAF">
        <w:rPr>
          <w:lang w:val="en-US"/>
        </w:rPr>
        <w:t xml:space="preserve">Assessment of the acaricidal activity of carvacrol, (E)-cinnamaldehyde, trans-anethole, and linalool on larvae of </w:t>
      </w:r>
      <w:r w:rsidRPr="00412AAF">
        <w:rPr>
          <w:rStyle w:val="nfase"/>
          <w:rFonts w:eastAsiaTheme="majorEastAsia"/>
          <w:lang w:val="en-US"/>
        </w:rPr>
        <w:t>Rhipicephalus microplus</w:t>
      </w:r>
      <w:r w:rsidRPr="00412AAF">
        <w:rPr>
          <w:lang w:val="en-US"/>
        </w:rPr>
        <w:t xml:space="preserve"> and </w:t>
      </w:r>
      <w:r w:rsidRPr="00412AAF">
        <w:rPr>
          <w:rStyle w:val="nfase"/>
          <w:rFonts w:eastAsiaTheme="majorEastAsia"/>
          <w:lang w:val="en-US"/>
        </w:rPr>
        <w:t>Dermacentor nitens</w:t>
      </w:r>
      <w:r w:rsidRPr="00412AAF">
        <w:rPr>
          <w:lang w:val="en-US"/>
        </w:rPr>
        <w:t xml:space="preserve"> (Acari: Ixodidae). </w:t>
      </w:r>
      <w:r w:rsidRPr="00412AAF">
        <w:rPr>
          <w:rStyle w:val="nfase"/>
          <w:rFonts w:eastAsiaTheme="majorEastAsia"/>
          <w:lang w:val="en-US"/>
        </w:rPr>
        <w:t>Parasitology Research</w:t>
      </w:r>
      <w:r w:rsidRPr="00412AAF">
        <w:rPr>
          <w:lang w:val="en-US"/>
        </w:rPr>
        <w:t xml:space="preserve"> 112, 1461-1466. </w:t>
      </w:r>
      <w:r w:rsidRPr="00412AAF">
        <w:rPr>
          <w:rFonts w:eastAsiaTheme="majorEastAsia"/>
          <w:lang w:val="en-US"/>
        </w:rPr>
        <w:t>https://doi.org/10.1007/s00436-013-3289-3</w:t>
      </w:r>
    </w:p>
    <w:p w14:paraId="3AE72B2E" w14:textId="77777777" w:rsidR="00412AAF" w:rsidRPr="00412AAF" w:rsidRDefault="00412AAF" w:rsidP="006E2328">
      <w:pPr>
        <w:pStyle w:val="NormalWeb"/>
        <w:spacing w:line="240" w:lineRule="auto"/>
        <w:ind w:left="360"/>
        <w:jc w:val="both"/>
        <w:rPr>
          <w:lang w:val="en-US"/>
        </w:rPr>
      </w:pPr>
      <w:r w:rsidRPr="00412AAF">
        <w:rPr>
          <w:b/>
          <w:bCs/>
          <w:color w:val="000000"/>
        </w:rPr>
        <w:t xml:space="preserve"> </w:t>
      </w:r>
      <w:r w:rsidRPr="00412AAF">
        <w:t xml:space="preserve">Vilela, V.L.R. et al., 2020. </w:t>
      </w:r>
      <w:r w:rsidRPr="00412AAF">
        <w:rPr>
          <w:lang w:val="en-US"/>
        </w:rPr>
        <w:t xml:space="preserve">Multiple acaricide-resistant </w:t>
      </w:r>
      <w:r w:rsidRPr="00412AAF">
        <w:rPr>
          <w:rStyle w:val="nfase"/>
          <w:rFonts w:eastAsiaTheme="majorEastAsia"/>
          <w:lang w:val="en-US"/>
        </w:rPr>
        <w:t>Rhipicephalus microplus</w:t>
      </w:r>
      <w:r w:rsidRPr="00412AAF">
        <w:rPr>
          <w:lang w:val="en-US"/>
        </w:rPr>
        <w:t xml:space="preserve"> in the semi-arid region of Paraíba State, Brazil. </w:t>
      </w:r>
      <w:r w:rsidRPr="00412AAF">
        <w:rPr>
          <w:rStyle w:val="nfase"/>
          <w:rFonts w:eastAsiaTheme="majorEastAsia"/>
          <w:lang w:val="en-US"/>
        </w:rPr>
        <w:t>Ticks and Tick-Borne Diseases</w:t>
      </w:r>
      <w:r w:rsidRPr="00412AAF">
        <w:rPr>
          <w:lang w:val="en-US"/>
        </w:rPr>
        <w:t xml:space="preserve"> 11, 101413. </w:t>
      </w:r>
      <w:hyperlink r:id="rId14" w:history="1">
        <w:r w:rsidRPr="00412AAF">
          <w:rPr>
            <w:rStyle w:val="Hyperlink"/>
            <w:lang w:val="en-US"/>
          </w:rPr>
          <w:t>https://doi.org/10.1016/j.ttbdis.2020.101413</w:t>
        </w:r>
      </w:hyperlink>
    </w:p>
    <w:p w14:paraId="3CD3EB3A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Sect="000526E1">
      <w:headerReference w:type="default" r:id="rId15"/>
      <w:footerReference w:type="default" r:id="rId16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3155" w14:textId="77777777" w:rsidR="00B36105" w:rsidRDefault="00B36105" w:rsidP="00AB75BD">
      <w:pPr>
        <w:spacing w:after="0" w:line="240" w:lineRule="auto"/>
      </w:pPr>
      <w:r>
        <w:separator/>
      </w:r>
    </w:p>
  </w:endnote>
  <w:endnote w:type="continuationSeparator" w:id="0">
    <w:p w14:paraId="73F8C851" w14:textId="77777777" w:rsidR="00B36105" w:rsidRDefault="00B36105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31A5" w14:textId="77777777" w:rsidR="00B36105" w:rsidRDefault="00B36105" w:rsidP="00AB75BD">
      <w:pPr>
        <w:spacing w:after="0" w:line="240" w:lineRule="auto"/>
      </w:pPr>
      <w:r>
        <w:separator/>
      </w:r>
    </w:p>
  </w:footnote>
  <w:footnote w:type="continuationSeparator" w:id="0">
    <w:p w14:paraId="34CF892A" w14:textId="77777777" w:rsidR="00B36105" w:rsidRDefault="00B36105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14A93"/>
    <w:rsid w:val="000230FA"/>
    <w:rsid w:val="00033942"/>
    <w:rsid w:val="00044F1D"/>
    <w:rsid w:val="00051623"/>
    <w:rsid w:val="000522D8"/>
    <w:rsid w:val="000526E1"/>
    <w:rsid w:val="000738E7"/>
    <w:rsid w:val="00087BA3"/>
    <w:rsid w:val="00096391"/>
    <w:rsid w:val="000C44E9"/>
    <w:rsid w:val="000D200C"/>
    <w:rsid w:val="000D741E"/>
    <w:rsid w:val="000E7CC2"/>
    <w:rsid w:val="000F49A6"/>
    <w:rsid w:val="0010048F"/>
    <w:rsid w:val="00132F53"/>
    <w:rsid w:val="00133F76"/>
    <w:rsid w:val="001359B8"/>
    <w:rsid w:val="00137F41"/>
    <w:rsid w:val="00165AFC"/>
    <w:rsid w:val="00187E72"/>
    <w:rsid w:val="00193F35"/>
    <w:rsid w:val="00197666"/>
    <w:rsid w:val="001D2BFE"/>
    <w:rsid w:val="001D4FBB"/>
    <w:rsid w:val="001F77CF"/>
    <w:rsid w:val="0020473D"/>
    <w:rsid w:val="0020784E"/>
    <w:rsid w:val="00207DD5"/>
    <w:rsid w:val="002241DD"/>
    <w:rsid w:val="00242D1A"/>
    <w:rsid w:val="0024740F"/>
    <w:rsid w:val="00266DF0"/>
    <w:rsid w:val="00270172"/>
    <w:rsid w:val="00270BC3"/>
    <w:rsid w:val="002947DB"/>
    <w:rsid w:val="002A6AA0"/>
    <w:rsid w:val="002B6F88"/>
    <w:rsid w:val="002F117F"/>
    <w:rsid w:val="002F336D"/>
    <w:rsid w:val="00326A9A"/>
    <w:rsid w:val="00332B6E"/>
    <w:rsid w:val="00332CAC"/>
    <w:rsid w:val="003515C2"/>
    <w:rsid w:val="00370237"/>
    <w:rsid w:val="00371349"/>
    <w:rsid w:val="00381700"/>
    <w:rsid w:val="00383A79"/>
    <w:rsid w:val="003A40B1"/>
    <w:rsid w:val="003A6A87"/>
    <w:rsid w:val="003D561B"/>
    <w:rsid w:val="00407C06"/>
    <w:rsid w:val="00412AAF"/>
    <w:rsid w:val="004146B4"/>
    <w:rsid w:val="00421F5B"/>
    <w:rsid w:val="0045468D"/>
    <w:rsid w:val="004656B6"/>
    <w:rsid w:val="00495242"/>
    <w:rsid w:val="0049645F"/>
    <w:rsid w:val="004A4A88"/>
    <w:rsid w:val="004B31C1"/>
    <w:rsid w:val="004C2666"/>
    <w:rsid w:val="00511814"/>
    <w:rsid w:val="00512482"/>
    <w:rsid w:val="0052428A"/>
    <w:rsid w:val="00530FAF"/>
    <w:rsid w:val="005349D6"/>
    <w:rsid w:val="005371F7"/>
    <w:rsid w:val="00581AAE"/>
    <w:rsid w:val="00592C84"/>
    <w:rsid w:val="00594058"/>
    <w:rsid w:val="00596292"/>
    <w:rsid w:val="005A73B4"/>
    <w:rsid w:val="005B4C1A"/>
    <w:rsid w:val="005C2B12"/>
    <w:rsid w:val="005F545F"/>
    <w:rsid w:val="006057C5"/>
    <w:rsid w:val="00622858"/>
    <w:rsid w:val="0064788F"/>
    <w:rsid w:val="00664B38"/>
    <w:rsid w:val="006651E1"/>
    <w:rsid w:val="0067087E"/>
    <w:rsid w:val="006771CB"/>
    <w:rsid w:val="006875EA"/>
    <w:rsid w:val="006C1804"/>
    <w:rsid w:val="006E2328"/>
    <w:rsid w:val="006F5C08"/>
    <w:rsid w:val="0070355F"/>
    <w:rsid w:val="007144E5"/>
    <w:rsid w:val="00720767"/>
    <w:rsid w:val="0075219E"/>
    <w:rsid w:val="00771BAA"/>
    <w:rsid w:val="007B686E"/>
    <w:rsid w:val="007D2141"/>
    <w:rsid w:val="007F1B98"/>
    <w:rsid w:val="00803F99"/>
    <w:rsid w:val="00806EBF"/>
    <w:rsid w:val="0081157E"/>
    <w:rsid w:val="00821CF5"/>
    <w:rsid w:val="00822565"/>
    <w:rsid w:val="0084157E"/>
    <w:rsid w:val="00846746"/>
    <w:rsid w:val="00847670"/>
    <w:rsid w:val="0085652D"/>
    <w:rsid w:val="008636B8"/>
    <w:rsid w:val="008A6AD3"/>
    <w:rsid w:val="008D66ED"/>
    <w:rsid w:val="008D711B"/>
    <w:rsid w:val="0090054B"/>
    <w:rsid w:val="0090092D"/>
    <w:rsid w:val="00904400"/>
    <w:rsid w:val="00906786"/>
    <w:rsid w:val="00906F1D"/>
    <w:rsid w:val="00921FBF"/>
    <w:rsid w:val="00950F5D"/>
    <w:rsid w:val="00953E92"/>
    <w:rsid w:val="00955EF8"/>
    <w:rsid w:val="009621A2"/>
    <w:rsid w:val="00963BB2"/>
    <w:rsid w:val="00981A3D"/>
    <w:rsid w:val="009B69A8"/>
    <w:rsid w:val="009D52B2"/>
    <w:rsid w:val="009E23CD"/>
    <w:rsid w:val="00A046E7"/>
    <w:rsid w:val="00A44AF9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11C45"/>
    <w:rsid w:val="00B1769A"/>
    <w:rsid w:val="00B21C05"/>
    <w:rsid w:val="00B27DA7"/>
    <w:rsid w:val="00B36105"/>
    <w:rsid w:val="00B40F63"/>
    <w:rsid w:val="00B45CB9"/>
    <w:rsid w:val="00BC5E67"/>
    <w:rsid w:val="00BD3E40"/>
    <w:rsid w:val="00BD6EA9"/>
    <w:rsid w:val="00BD7BB4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21E"/>
    <w:rsid w:val="00C963A5"/>
    <w:rsid w:val="00C96F2D"/>
    <w:rsid w:val="00CA6A30"/>
    <w:rsid w:val="00CC086F"/>
    <w:rsid w:val="00D20B04"/>
    <w:rsid w:val="00D25BF7"/>
    <w:rsid w:val="00D401C6"/>
    <w:rsid w:val="00D4484D"/>
    <w:rsid w:val="00D47A25"/>
    <w:rsid w:val="00D540F6"/>
    <w:rsid w:val="00D97BAA"/>
    <w:rsid w:val="00DA0A6C"/>
    <w:rsid w:val="00DA2C3B"/>
    <w:rsid w:val="00DA4EE9"/>
    <w:rsid w:val="00DA54FD"/>
    <w:rsid w:val="00DA560A"/>
    <w:rsid w:val="00DB5F2C"/>
    <w:rsid w:val="00DD45AC"/>
    <w:rsid w:val="00DD6AFE"/>
    <w:rsid w:val="00DD6BDC"/>
    <w:rsid w:val="00E23D07"/>
    <w:rsid w:val="00E331B2"/>
    <w:rsid w:val="00E620CF"/>
    <w:rsid w:val="00E62894"/>
    <w:rsid w:val="00E718A4"/>
    <w:rsid w:val="00E736C0"/>
    <w:rsid w:val="00E8580D"/>
    <w:rsid w:val="00EB132C"/>
    <w:rsid w:val="00EB1855"/>
    <w:rsid w:val="00EB583C"/>
    <w:rsid w:val="00EC1B2E"/>
    <w:rsid w:val="00ED2087"/>
    <w:rsid w:val="00ED3707"/>
    <w:rsid w:val="00ED48BA"/>
    <w:rsid w:val="00EE0517"/>
    <w:rsid w:val="00EE7265"/>
    <w:rsid w:val="00F14DD0"/>
    <w:rsid w:val="00F4375E"/>
    <w:rsid w:val="00F519AF"/>
    <w:rsid w:val="00F56791"/>
    <w:rsid w:val="00F82C46"/>
    <w:rsid w:val="00F94F0A"/>
    <w:rsid w:val="00FA1F4C"/>
    <w:rsid w:val="00FC01C7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2608305D-79A8-42A8-AE50-A382F073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522D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E2328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ED370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saclaudino.f@gmail.com" TargetMode="External"/><Relationship Id="rId13" Type="http://schemas.openxmlformats.org/officeDocument/2006/relationships/hyperlink" Target="mailto:vinicius.vilela@ifpb.edu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limaal372@gmail.com" TargetMode="External"/><Relationship Id="rId12" Type="http://schemas.openxmlformats.org/officeDocument/2006/relationships/hyperlink" Target="mailto:thais.feitosa@ifpb.edu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elizardobasilio95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anielton.albuquerque@academico.ifp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ianny.diniz@gmail.com" TargetMode="External"/><Relationship Id="rId14" Type="http://schemas.openxmlformats.org/officeDocument/2006/relationships/hyperlink" Target="https://doi.org/10.1016/j.ttbdis.2020.1014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1334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aninhasantos56789@gmail.com</cp:lastModifiedBy>
  <cp:revision>3</cp:revision>
  <dcterms:created xsi:type="dcterms:W3CDTF">2026-02-10T13:34:00Z</dcterms:created>
  <dcterms:modified xsi:type="dcterms:W3CDTF">2026-05-08T13:22:00Z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