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009D3" w14:textId="4E5E08D2" w:rsidR="00310135" w:rsidRDefault="0004776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ABORDAGEM CLÍNICA E TERAPÊUTICA DO TÉTANO EM ÉGUA: RELATO DE CASO</w:t>
      </w:r>
    </w:p>
    <w:p w14:paraId="4DCE8097" w14:textId="77777777" w:rsidR="007B1F8E" w:rsidRDefault="007B1F8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B5BEB1" w14:textId="5E232DE9" w:rsidR="00310135" w:rsidRDefault="00166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Maria Eduarda Macedo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ALENCAR</w:t>
      </w:r>
      <w:r w:rsidR="007B1F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B1F8E" w:rsidRPr="007B1F8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Luis Vinícius Limeira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ANDRADE</w:t>
      </w:r>
      <w:r w:rsidR="007B1F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Ana Claudia Siqueira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NUVOL</w:t>
      </w:r>
      <w:r w:rsidRPr="007B1F8E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7B1F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B1F8E" w:rsidRPr="007B1F8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Mayara Kelly Pereira Garcia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ANDRADE</w:t>
      </w:r>
      <w:r w:rsidR="007B1F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B1F8E" w:rsidRPr="007B1F8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Mário César Alves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PEREIRA</w:t>
      </w:r>
      <w:r w:rsidR="007B1F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B1F8E" w:rsidRPr="007B1F8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Lívia Batista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CAMPOS</w:t>
      </w:r>
      <w:r w:rsidRPr="00963842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 xml:space="preserve"> </w:t>
      </w:r>
      <w:r w:rsidR="007B1F8E" w:rsidRPr="00963842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6</w:t>
      </w:r>
    </w:p>
    <w:p w14:paraId="27785C6C" w14:textId="77777777" w:rsidR="00963842" w:rsidRDefault="009638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</w:pPr>
    </w:p>
    <w:p w14:paraId="0C615A61" w14:textId="77777777" w:rsidR="00310135" w:rsidRDefault="0016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Discente Institucional Federal da Paraíba. E-mail: </w:t>
      </w:r>
      <w:hyperlink r:id="rId7">
        <w:r w:rsidR="00310135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mariaeduardamacedo689@gmail.com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0DD4F90F" w14:textId="77777777" w:rsidR="00310135" w:rsidRDefault="00166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Discente Institucional Federal da Paraíba. E-mail: </w:t>
      </w:r>
      <w:hyperlink r:id="rId8">
        <w:r w:rsidR="00310135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luisviniciuscz@gmail.com</w:t>
        </w:r>
      </w:hyperlink>
    </w:p>
    <w:p w14:paraId="3E63624E" w14:textId="13F90D8F" w:rsidR="00310135" w:rsidRDefault="007B1F8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7B1F8E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Discente Institucional Federal da Paraíba.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mayarakellpereiragarcia@gmail.com</w:t>
      </w:r>
    </w:p>
    <w:p w14:paraId="05BF2A79" w14:textId="0239F1B9" w:rsidR="00310135" w:rsidRDefault="007B1F8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B1F8E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Discente Institucional Federal da Paraíba.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ananuvoli06@gmail.com</w:t>
      </w:r>
    </w:p>
    <w:p w14:paraId="044AEC07" w14:textId="1F151E14" w:rsidR="00310135" w:rsidRDefault="007B1F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 w:rsidRPr="007B1F8E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Médico Veterinário Especialista em Clínica e Cirurgia de Equinos. E-mail: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dr.mariocesar@hotmail.com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 </w:t>
      </w:r>
      <w:proofErr w:type="gramStart"/>
      <w:r w:rsidRPr="007B1F8E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Doutora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Médica Veterinária e Docente Instituto Federal da Paraíba. E-mail: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liviacampos86@hotmail.com</w:t>
      </w:r>
    </w:p>
    <w:p w14:paraId="494D6983" w14:textId="77777777" w:rsidR="00310135" w:rsidRDefault="0031013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6473F1" w14:textId="3F928D0F" w:rsidR="00874509" w:rsidRDefault="00166A8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Resumo: </w:t>
      </w:r>
    </w:p>
    <w:p w14:paraId="530572CE" w14:textId="24F08C80" w:rsidR="00310135" w:rsidRDefault="008C141C" w:rsidP="00892D81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>O</w:t>
      </w:r>
      <w:r w:rsidR="00166A89">
        <w:rPr>
          <w:rFonts w:ascii="Times New Roman" w:eastAsia="Times New Roman" w:hAnsi="Times New Roman" w:cs="Times New Roman"/>
          <w:color w:val="00000A"/>
        </w:rPr>
        <w:t>bjetivo</w:t>
      </w:r>
      <w:r>
        <w:rPr>
          <w:rFonts w:ascii="Times New Roman" w:eastAsia="Times New Roman" w:hAnsi="Times New Roman" w:cs="Times New Roman"/>
          <w:color w:val="00000A"/>
        </w:rPr>
        <w:t>u</w:t>
      </w:r>
      <w:r w:rsidR="00166A89">
        <w:rPr>
          <w:rFonts w:ascii="Times New Roman" w:eastAsia="Times New Roman" w:hAnsi="Times New Roman" w:cs="Times New Roman"/>
          <w:color w:val="00000A"/>
        </w:rPr>
        <w:t xml:space="preserve"> relatar um caso d</w:t>
      </w:r>
      <w:r>
        <w:rPr>
          <w:rFonts w:ascii="Times New Roman" w:eastAsia="Times New Roman" w:hAnsi="Times New Roman" w:cs="Times New Roman"/>
          <w:color w:val="00000A"/>
        </w:rPr>
        <w:t xml:space="preserve">e tétano </w:t>
      </w:r>
      <w:r w:rsidR="00166A89">
        <w:rPr>
          <w:rFonts w:ascii="Times New Roman" w:eastAsia="Times New Roman" w:hAnsi="Times New Roman" w:cs="Times New Roman"/>
          <w:color w:val="00000A"/>
        </w:rPr>
        <w:t>em uma égua, destacando a evolução clínica e o tratamento. A metodologia baseou-se na descrição do atendimento de uma égua Quarto de Milha, com sinais típicos como dificuldade de locomoção, protrusão da terceira pálpebra e hipersensibilidade, além da presença de uma ferida como possível porta de entrada. Inicialmente, o tratamento foi inadequado,</w:t>
      </w:r>
      <w:r w:rsidR="004B1F72">
        <w:rPr>
          <w:rFonts w:ascii="Times New Roman" w:eastAsia="Times New Roman" w:hAnsi="Times New Roman" w:cs="Times New Roman"/>
          <w:color w:val="00000A"/>
        </w:rPr>
        <w:t xml:space="preserve"> favorecendo a progressão do</w:t>
      </w:r>
      <w:r w:rsidR="00166A89">
        <w:rPr>
          <w:rFonts w:ascii="Times New Roman" w:eastAsia="Times New Roman" w:hAnsi="Times New Roman" w:cs="Times New Roman"/>
          <w:color w:val="00000A"/>
        </w:rPr>
        <w:t xml:space="preserve"> quadro</w:t>
      </w:r>
      <w:r w:rsidR="004B1F72">
        <w:rPr>
          <w:rFonts w:ascii="Times New Roman" w:eastAsia="Times New Roman" w:hAnsi="Times New Roman" w:cs="Times New Roman"/>
          <w:color w:val="00000A"/>
        </w:rPr>
        <w:t xml:space="preserve"> clínico</w:t>
      </w:r>
      <w:r w:rsidR="00166A89">
        <w:rPr>
          <w:rFonts w:ascii="Times New Roman" w:eastAsia="Times New Roman" w:hAnsi="Times New Roman" w:cs="Times New Roman"/>
          <w:color w:val="00000A"/>
        </w:rPr>
        <w:t>. Após internação, foi instituída terapia intensiva com soro antitetânico, antibióticos, sedativos e suporte clínico. Conclui-se que o tratamento adequado e o manejo intensivo foram essenciais para a recuperação, além de reforçar a importância da vacinação na prevenção da doença.</w:t>
      </w:r>
    </w:p>
    <w:p w14:paraId="2DE565CC" w14:textId="77777777" w:rsidR="00874509" w:rsidRDefault="00874509">
      <w:pPr>
        <w:spacing w:after="0"/>
        <w:jc w:val="both"/>
        <w:rPr>
          <w:rFonts w:ascii="Times New Roman" w:eastAsia="Times New Roman" w:hAnsi="Times New Roman" w:cs="Times New Roman"/>
          <w:color w:val="00000A"/>
        </w:rPr>
      </w:pPr>
    </w:p>
    <w:p w14:paraId="3B6CC5A3" w14:textId="2F9C65F7" w:rsidR="00310135" w:rsidRDefault="00166A89">
      <w:pPr>
        <w:spacing w:after="0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b/>
          <w:bCs/>
          <w:color w:val="00000A"/>
        </w:rPr>
        <w:t>:</w:t>
      </w:r>
      <w:r>
        <w:rPr>
          <w:rFonts w:ascii="Times New Roman" w:eastAsia="Times New Roman" w:hAnsi="Times New Roman" w:cs="Times New Roman"/>
          <w:color w:val="00000A"/>
        </w:rPr>
        <w:t xml:space="preserve"> </w:t>
      </w:r>
      <w:r w:rsidR="00EE449A">
        <w:rPr>
          <w:rFonts w:ascii="Times New Roman" w:eastAsia="Times New Roman" w:hAnsi="Times New Roman" w:cs="Times New Roman"/>
          <w:color w:val="00000A"/>
        </w:rPr>
        <w:t xml:space="preserve">cavalo; </w:t>
      </w:r>
      <w:r>
        <w:rPr>
          <w:rFonts w:ascii="Times New Roman" w:eastAsia="Times New Roman" w:hAnsi="Times New Roman" w:cs="Times New Roman"/>
          <w:i/>
          <w:iCs/>
          <w:color w:val="00000A"/>
        </w:rPr>
        <w:t xml:space="preserve">Clostridium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</w:rPr>
        <w:t>tetani</w:t>
      </w:r>
      <w:proofErr w:type="spellEnd"/>
      <w:r>
        <w:rPr>
          <w:rFonts w:ascii="Times New Roman" w:eastAsia="Times New Roman" w:hAnsi="Times New Roman" w:cs="Times New Roman"/>
          <w:color w:val="00000A"/>
        </w:rPr>
        <w:t>; infecção</w:t>
      </w:r>
      <w:r w:rsidR="00EE449A">
        <w:rPr>
          <w:rFonts w:ascii="Times New Roman" w:eastAsia="Times New Roman" w:hAnsi="Times New Roman" w:cs="Times New Roman"/>
          <w:color w:val="00000A"/>
        </w:rPr>
        <w:t>.</w:t>
      </w:r>
    </w:p>
    <w:p w14:paraId="56E6E3BE" w14:textId="77777777" w:rsidR="00310135" w:rsidRDefault="003101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72BBCE95" w14:textId="77777777" w:rsidR="00310135" w:rsidRDefault="00166A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Introdução: </w:t>
      </w:r>
    </w:p>
    <w:p w14:paraId="29F10CD0" w14:textId="77777777" w:rsidR="00310135" w:rsidRDefault="00166A8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tétano em equinos é uma enfermidade de grande relevância na medicina veterinária, caracterizada como uma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toxi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-infecção frequentemente associada a elevada taxa de mortalidade. A doença é causada pelas toxinas produzidas pela bactéria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Clostridium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tetani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que atuam no sistema nervoso central, desencadeando sinais clínicos típicos como rigidez muscular generalizada, trismo, prolapso da terceira pálpebra e espasmos exacerbados por estímulos, podendo evoluir para comprometimento respiratório e óbito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Thomassian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2005).</w:t>
      </w:r>
    </w:p>
    <w:p w14:paraId="567E718F" w14:textId="369A3524" w:rsidR="00310135" w:rsidRDefault="00166A89" w:rsidP="0087450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4B1F72">
        <w:rPr>
          <w:rFonts w:ascii="Times New Roman" w:eastAsia="Times New Roman" w:hAnsi="Times New Roman" w:cs="Times New Roman"/>
          <w:sz w:val="24"/>
          <w:szCs w:val="24"/>
        </w:rPr>
        <w:t>iante 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gravidade da </w:t>
      </w:r>
      <w:r w:rsidR="00056DC2">
        <w:rPr>
          <w:rFonts w:ascii="Times New Roman" w:eastAsia="Times New Roman" w:hAnsi="Times New Roman" w:cs="Times New Roman"/>
          <w:sz w:val="24"/>
          <w:szCs w:val="24"/>
        </w:rPr>
        <w:t>enfermidade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de sua importância clínica, torna-se essencial o conhecimento acerca de sua evolução, diagnóstico e manejo terapêutico.</w:t>
      </w:r>
      <w:r w:rsidR="004B1F72">
        <w:rPr>
          <w:rFonts w:ascii="Times New Roman" w:eastAsia="Times New Roman" w:hAnsi="Times New Roman" w:cs="Times New Roman"/>
          <w:sz w:val="24"/>
          <w:szCs w:val="24"/>
        </w:rPr>
        <w:t xml:space="preserve"> Assim</w:t>
      </w:r>
      <w:r>
        <w:rPr>
          <w:rFonts w:ascii="Times New Roman" w:eastAsia="Times New Roman" w:hAnsi="Times New Roman" w:cs="Times New Roman"/>
          <w:sz w:val="24"/>
          <w:szCs w:val="24"/>
        </w:rPr>
        <w:t>, o presente estudo objetiv</w:t>
      </w:r>
      <w:r w:rsidR="004B1F72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relatar um caso de tétano em uma égua, abordando a progressão dos sinais clínicos, bem como o tratamento instituído, contribuindo para o aprimoramento das condutas clínicas frente a essa enfermidade.</w:t>
      </w:r>
    </w:p>
    <w:p w14:paraId="22A5D5C5" w14:textId="77777777" w:rsidR="00874509" w:rsidRPr="00874509" w:rsidRDefault="00874509" w:rsidP="0087450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21712D" w14:textId="00391225" w:rsidR="00BC332E" w:rsidRDefault="00166A8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Relato de caso: </w:t>
      </w:r>
    </w:p>
    <w:p w14:paraId="63F0F789" w14:textId="77777777" w:rsidR="00BC332E" w:rsidRDefault="00BC33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20E9EA" w14:textId="7042C622" w:rsidR="00310135" w:rsidRDefault="00166A89" w:rsidP="00EE449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Relata-se o atendimento de uma égua da </w:t>
      </w:r>
      <w:r>
        <w:rPr>
          <w:rFonts w:ascii="Times New Roman" w:eastAsia="Times New Roman" w:hAnsi="Times New Roman" w:cs="Times New Roman"/>
          <w:sz w:val="24"/>
          <w:szCs w:val="24"/>
        </w:rPr>
        <w:t>raç</w:t>
      </w:r>
      <w:r w:rsidR="00BC16B1">
        <w:rPr>
          <w:rFonts w:ascii="Times New Roman" w:eastAsia="Times New Roman" w:hAnsi="Times New Roman" w:cs="Times New Roman"/>
          <w:sz w:val="24"/>
          <w:szCs w:val="24"/>
        </w:rPr>
        <w:t>a Quarto de Milha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pelagem baia, aproximadamente 470 kg e 10 anos de idade, atendida na clínica</w:t>
      </w:r>
      <w:r w:rsidR="00BC3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equinos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332E">
        <w:rPr>
          <w:rFonts w:ascii="Times New Roman" w:eastAsia="Times New Roman" w:hAnsi="Times New Roman" w:cs="Times New Roman"/>
          <w:color w:val="000000"/>
          <w:sz w:val="24"/>
          <w:szCs w:val="24"/>
        </w:rPr>
        <w:t>CLIVEQ</w:t>
      </w:r>
      <w:r w:rsidR="00BC16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Lavras da Mangabeira, Ceará. O animal apresentava protrusão da terceira pálpebra</w:t>
      </w:r>
      <w:r w:rsidR="008C14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rigidez muscular generalizada, cauda em bandeira, orelhas eretas, dificuldade de locomoção e incapacidade de se manter em estação.</w:t>
      </w:r>
    </w:p>
    <w:p w14:paraId="40BA6FED" w14:textId="09C0F71D" w:rsidR="00310135" w:rsidRDefault="00166A89" w:rsidP="00EE449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Durante o exame clínico, estímulos sonoros intensificavam a protrusão da terceira pálpebra, evidenciando hiperexcitabilidade neuromuscular, além de alterações respiratórias e cardíacas. Identificou-se ainda um ferimento no membro posterior esquerdo, </w:t>
      </w:r>
      <w:r w:rsidR="00BC16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considerado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provável porta de entrada do agente. </w:t>
      </w:r>
    </w:p>
    <w:p w14:paraId="4B64C099" w14:textId="30C79707" w:rsidR="00310135" w:rsidRDefault="00BC33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66A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histórico, constatou-se tratamento domiciliar prévio inadequado por dois dias, com </w:t>
      </w:r>
      <w:proofErr w:type="spellStart"/>
      <w:r w:rsidR="00166A89">
        <w:rPr>
          <w:rFonts w:ascii="Times New Roman" w:eastAsia="Times New Roman" w:hAnsi="Times New Roman" w:cs="Times New Roman"/>
          <w:color w:val="000000"/>
          <w:sz w:val="24"/>
          <w:szCs w:val="24"/>
        </w:rPr>
        <w:t>subdoses</w:t>
      </w:r>
      <w:proofErr w:type="spellEnd"/>
      <w:r w:rsidR="00166A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soro antitetânico, totalizando cerca de 20 frascos, além de </w:t>
      </w:r>
      <w:proofErr w:type="spellStart"/>
      <w:r w:rsidR="00166A89">
        <w:rPr>
          <w:rFonts w:ascii="Times New Roman" w:eastAsia="Times New Roman" w:hAnsi="Times New Roman" w:cs="Times New Roman"/>
          <w:color w:val="000000"/>
          <w:sz w:val="24"/>
          <w:szCs w:val="24"/>
        </w:rPr>
        <w:t>fluidoterapia</w:t>
      </w:r>
      <w:proofErr w:type="spellEnd"/>
      <w:r w:rsidR="00166A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penicilina e diclofenaco. Após admissão, o diagnóstico foi baseado nos sinais clínicos e no hemograma, que apresentou </w:t>
      </w:r>
      <w:proofErr w:type="spellStart"/>
      <w:r w:rsidR="00166A89">
        <w:rPr>
          <w:rFonts w:ascii="Times New Roman" w:eastAsia="Times New Roman" w:hAnsi="Times New Roman" w:cs="Times New Roman"/>
          <w:color w:val="000000"/>
          <w:sz w:val="24"/>
          <w:szCs w:val="24"/>
        </w:rPr>
        <w:t>eritrograma</w:t>
      </w:r>
      <w:proofErr w:type="spellEnd"/>
      <w:r w:rsidR="00166A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dentro da normalidade, </w:t>
      </w:r>
      <w:r w:rsidR="00BC16B1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166A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discreta elevação do hematócrito, sugestiva de </w:t>
      </w:r>
      <w:proofErr w:type="spellStart"/>
      <w:r w:rsidR="00166A89">
        <w:rPr>
          <w:rFonts w:ascii="Times New Roman" w:eastAsia="Times New Roman" w:hAnsi="Times New Roman" w:cs="Times New Roman"/>
          <w:color w:val="000000"/>
          <w:sz w:val="24"/>
          <w:szCs w:val="24"/>
        </w:rPr>
        <w:t>hemoconcentração</w:t>
      </w:r>
      <w:proofErr w:type="spellEnd"/>
      <w:r w:rsidR="00166A8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3D7DD4" w14:textId="1812E5B6" w:rsidR="00310135" w:rsidRDefault="00166A89" w:rsidP="00EE449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tratamento instituído incluiu, inicialmente, relaxantes musculares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acepran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D38BE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diazepam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seguido de soro antitetânico (60 frascos em três dias), benzilpenicilina potássica (5.000.000 UI, a cada seis horas por 22 dias), além de terapia de suporte com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Coltrax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® (20 caixas, a cada 48 horas),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fluidoterapia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tratamento local da ferida com curativos e água oxigenada 10 volumes (3%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="00CD38BE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proofErr w:type="gramEnd"/>
      <w:r w:rsidR="00CD3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animal permaneceu internado por 28 dias</w:t>
      </w:r>
    </w:p>
    <w:p w14:paraId="4B420A50" w14:textId="77777777" w:rsidR="00874509" w:rsidRDefault="008745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111C76" w14:textId="77777777" w:rsidR="00310135" w:rsidRDefault="00166A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Resultados e discussão: </w:t>
      </w:r>
    </w:p>
    <w:p w14:paraId="407DAAD1" w14:textId="1F629D27" w:rsidR="00310135" w:rsidRDefault="008C141C" w:rsidP="00EE449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166A89">
        <w:rPr>
          <w:rFonts w:ascii="Times New Roman" w:eastAsia="Times New Roman" w:hAnsi="Times New Roman" w:cs="Times New Roman"/>
          <w:sz w:val="24"/>
          <w:szCs w:val="24"/>
        </w:rPr>
        <w:t xml:space="preserve"> égua acometida por tétano apresentou melhora progressiva ao longo dos 28 dias de internação, com redução</w:t>
      </w:r>
      <w:r w:rsidR="00CD38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6A89">
        <w:rPr>
          <w:rFonts w:ascii="Times New Roman" w:eastAsia="Times New Roman" w:hAnsi="Times New Roman" w:cs="Times New Roman"/>
          <w:sz w:val="24"/>
          <w:szCs w:val="24"/>
        </w:rPr>
        <w:t xml:space="preserve">da rigidez muscular, da hiperexcitabilidade e melhora </w:t>
      </w:r>
      <w:proofErr w:type="gramStart"/>
      <w:r w:rsidR="00166A89">
        <w:rPr>
          <w:rFonts w:ascii="Times New Roman" w:eastAsia="Times New Roman" w:hAnsi="Times New Roman" w:cs="Times New Roman"/>
          <w:sz w:val="24"/>
          <w:szCs w:val="24"/>
        </w:rPr>
        <w:t>da  locomo</w:t>
      </w:r>
      <w:r w:rsidR="00CD38BE">
        <w:rPr>
          <w:rFonts w:ascii="Times New Roman" w:eastAsia="Times New Roman" w:hAnsi="Times New Roman" w:cs="Times New Roman"/>
          <w:sz w:val="24"/>
          <w:szCs w:val="24"/>
        </w:rPr>
        <w:t>ção</w:t>
      </w:r>
      <w:proofErr w:type="gramEnd"/>
      <w:r w:rsidR="00CD38BE">
        <w:rPr>
          <w:rFonts w:ascii="Times New Roman" w:eastAsia="Times New Roman" w:hAnsi="Times New Roman" w:cs="Times New Roman"/>
          <w:sz w:val="24"/>
          <w:szCs w:val="24"/>
        </w:rPr>
        <w:t>, demonstrando</w:t>
      </w:r>
      <w:r w:rsidR="00166A89">
        <w:rPr>
          <w:rFonts w:ascii="Times New Roman" w:eastAsia="Times New Roman" w:hAnsi="Times New Roman" w:cs="Times New Roman"/>
          <w:sz w:val="24"/>
          <w:szCs w:val="24"/>
        </w:rPr>
        <w:t xml:space="preserve"> resposta positiva ao tratamento instituído</w:t>
      </w:r>
      <w:r w:rsidR="00CD38B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0EE680" w14:textId="134830FA" w:rsidR="00310135" w:rsidRDefault="00166A89" w:rsidP="00EE449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</w:t>
      </w:r>
      <w:r w:rsidR="00CD38BE">
        <w:rPr>
          <w:rFonts w:ascii="Times New Roman" w:eastAsia="Times New Roman" w:hAnsi="Times New Roman" w:cs="Times New Roman"/>
          <w:sz w:val="24"/>
          <w:szCs w:val="24"/>
        </w:rPr>
        <w:t>sinais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clínicos observados, principalmente a protrusão da terceira pálpebra associada à hiperexcitabilidade, </w:t>
      </w:r>
      <w:r w:rsidR="00CD38BE">
        <w:rPr>
          <w:rFonts w:ascii="Times New Roman" w:eastAsia="Times New Roman" w:hAnsi="Times New Roman" w:cs="Times New Roman"/>
          <w:sz w:val="24"/>
          <w:szCs w:val="24"/>
        </w:rPr>
        <w:t>reforçaram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CD38BE">
        <w:rPr>
          <w:rFonts w:ascii="Times New Roman" w:eastAsia="Times New Roman" w:hAnsi="Times New Roman" w:cs="Times New Roman"/>
          <w:sz w:val="24"/>
          <w:szCs w:val="24"/>
        </w:rPr>
        <w:t xml:space="preserve">suspeita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diagnóstica. Além disso, a presença de um ferimento no membro posterior esquerdo </w:t>
      </w:r>
      <w:r w:rsidR="00CD38BE">
        <w:rPr>
          <w:rFonts w:ascii="Times New Roman" w:eastAsia="Times New Roman" w:hAnsi="Times New Roman" w:cs="Times New Roman"/>
          <w:sz w:val="24"/>
          <w:szCs w:val="24"/>
        </w:rPr>
        <w:t>corroborou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etiologia da doença,</w:t>
      </w:r>
      <w:r w:rsidR="00CD38BE">
        <w:rPr>
          <w:rFonts w:ascii="Times New Roman" w:eastAsia="Times New Roman" w:hAnsi="Times New Roman" w:cs="Times New Roman"/>
          <w:sz w:val="24"/>
          <w:szCs w:val="24"/>
        </w:rPr>
        <w:t xml:space="preserve"> visto</w:t>
      </w:r>
      <w:r w:rsidR="007354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que 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Clostridium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tetani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penetra no organismo por meio de lesões</w:t>
      </w:r>
      <w:r w:rsidR="007354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 ambientes com baixa oxigenação, favorecendo a produção da toxina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892D81">
        <w:rPr>
          <w:rFonts w:ascii="Times New Roman" w:eastAsia="Times New Roman" w:hAnsi="Times New Roman" w:cs="Times New Roman"/>
          <w:sz w:val="24"/>
          <w:szCs w:val="24"/>
        </w:rPr>
        <w:t>onstable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et al., 2020).</w:t>
      </w:r>
    </w:p>
    <w:p w14:paraId="07A4D060" w14:textId="220A4176" w:rsidR="00310135" w:rsidRDefault="00735482" w:rsidP="0073548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Nos </w:t>
      </w:r>
      <w:r w:rsidR="00166A89">
        <w:rPr>
          <w:rFonts w:ascii="Times New Roman" w:eastAsia="Times New Roman" w:hAnsi="Times New Roman" w:cs="Times New Roman"/>
          <w:sz w:val="24"/>
          <w:szCs w:val="24"/>
        </w:rPr>
        <w:t xml:space="preserve">exames laboratoriais, o </w:t>
      </w:r>
      <w:proofErr w:type="spellStart"/>
      <w:r w:rsidR="00166A89">
        <w:rPr>
          <w:rFonts w:ascii="Times New Roman" w:eastAsia="Times New Roman" w:hAnsi="Times New Roman" w:cs="Times New Roman"/>
          <w:sz w:val="24"/>
          <w:szCs w:val="24"/>
        </w:rPr>
        <w:t>eritrograma</w:t>
      </w:r>
      <w:proofErr w:type="spellEnd"/>
      <w:r w:rsidR="00166A89">
        <w:rPr>
          <w:rFonts w:ascii="Times New Roman" w:eastAsia="Times New Roman" w:hAnsi="Times New Roman" w:cs="Times New Roman"/>
          <w:sz w:val="24"/>
          <w:szCs w:val="24"/>
        </w:rPr>
        <w:t xml:space="preserve"> dentro da normalidade associado ao aumento do hematócrito sugere </w:t>
      </w:r>
      <w:proofErr w:type="spellStart"/>
      <w:r w:rsidR="00166A89">
        <w:rPr>
          <w:rFonts w:ascii="Times New Roman" w:eastAsia="Times New Roman" w:hAnsi="Times New Roman" w:cs="Times New Roman"/>
          <w:sz w:val="24"/>
          <w:szCs w:val="24"/>
        </w:rPr>
        <w:t>hemoconcentração</w:t>
      </w:r>
      <w:proofErr w:type="spellEnd"/>
      <w:r w:rsidR="00166A89">
        <w:rPr>
          <w:rFonts w:ascii="Times New Roman" w:eastAsia="Times New Roman" w:hAnsi="Times New Roman" w:cs="Times New Roman"/>
          <w:sz w:val="24"/>
          <w:szCs w:val="24"/>
        </w:rPr>
        <w:t xml:space="preserve"> decorrente de desidratação.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48BC">
        <w:rPr>
          <w:rFonts w:ascii="Times New Roman" w:eastAsia="Times New Roman" w:hAnsi="Times New Roman" w:cs="Times New Roman"/>
          <w:sz w:val="24"/>
          <w:szCs w:val="24"/>
        </w:rPr>
        <w:t>O</w:t>
      </w:r>
      <w:r w:rsidR="00166A89">
        <w:rPr>
          <w:rFonts w:ascii="Times New Roman" w:eastAsia="Times New Roman" w:hAnsi="Times New Roman" w:cs="Times New Roman"/>
          <w:sz w:val="24"/>
          <w:szCs w:val="24"/>
        </w:rPr>
        <w:t>bserv</w:t>
      </w:r>
      <w:r w:rsidR="002448BC">
        <w:rPr>
          <w:rFonts w:ascii="Times New Roman" w:eastAsia="Times New Roman" w:hAnsi="Times New Roman" w:cs="Times New Roman"/>
          <w:sz w:val="24"/>
          <w:szCs w:val="24"/>
        </w:rPr>
        <w:t>ou-se</w:t>
      </w:r>
      <w:r w:rsidR="00166A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48BC">
        <w:rPr>
          <w:rFonts w:ascii="Times New Roman" w:eastAsia="Times New Roman" w:hAnsi="Times New Roman" w:cs="Times New Roman"/>
          <w:sz w:val="24"/>
          <w:szCs w:val="24"/>
        </w:rPr>
        <w:t xml:space="preserve">também </w:t>
      </w:r>
      <w:r w:rsidR="00166A89">
        <w:rPr>
          <w:rFonts w:ascii="Times New Roman" w:eastAsia="Times New Roman" w:hAnsi="Times New Roman" w:cs="Times New Roman"/>
          <w:sz w:val="24"/>
          <w:szCs w:val="24"/>
        </w:rPr>
        <w:t>a ineficácia do tratamento domiciliar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inicial</w:t>
      </w:r>
      <w:r w:rsidR="00166A8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realizado com</w:t>
      </w:r>
      <w:r w:rsidR="00166A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66A89">
        <w:rPr>
          <w:rFonts w:ascii="Times New Roman" w:eastAsia="Times New Roman" w:hAnsi="Times New Roman" w:cs="Times New Roman"/>
          <w:sz w:val="24"/>
          <w:szCs w:val="24"/>
        </w:rPr>
        <w:t>subdoses</w:t>
      </w:r>
      <w:proofErr w:type="spellEnd"/>
      <w:r w:rsidR="00166A89">
        <w:rPr>
          <w:rFonts w:ascii="Times New Roman" w:eastAsia="Times New Roman" w:hAnsi="Times New Roman" w:cs="Times New Roman"/>
          <w:sz w:val="24"/>
          <w:szCs w:val="24"/>
        </w:rPr>
        <w:t xml:space="preserve"> de soro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antitetânico, </w:t>
      </w:r>
      <w:r w:rsidR="00166A89">
        <w:rPr>
          <w:rFonts w:ascii="Times New Roman" w:eastAsia="Times New Roman" w:hAnsi="Times New Roman" w:cs="Times New Roman"/>
          <w:sz w:val="24"/>
          <w:szCs w:val="24"/>
        </w:rPr>
        <w:t xml:space="preserve">fator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que </w:t>
      </w:r>
      <w:r w:rsidR="00166A89">
        <w:rPr>
          <w:rFonts w:ascii="Times New Roman" w:eastAsia="Times New Roman" w:hAnsi="Times New Roman" w:cs="Times New Roman"/>
          <w:sz w:val="24"/>
          <w:szCs w:val="24"/>
        </w:rPr>
        <w:t xml:space="preserve">pode ter contribuído para a progressão </w:t>
      </w:r>
      <w:r>
        <w:rPr>
          <w:rFonts w:ascii="Times New Roman" w:eastAsia="Times New Roman" w:hAnsi="Times New Roman" w:cs="Times New Roman"/>
          <w:sz w:val="24"/>
          <w:szCs w:val="24"/>
        </w:rPr>
        <w:t>clínica</w:t>
      </w:r>
      <w:r w:rsidR="00166A8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uma vez que </w:t>
      </w:r>
      <w:r w:rsidR="00166A89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6A89">
        <w:rPr>
          <w:rFonts w:ascii="Times New Roman" w:eastAsia="Times New Roman" w:hAnsi="Times New Roman" w:cs="Times New Roman"/>
          <w:sz w:val="24"/>
          <w:szCs w:val="24"/>
        </w:rPr>
        <w:t>neutralização da toxina depende de administração precoce e em doses adequadas (M</w:t>
      </w:r>
      <w:r w:rsidR="00892D81">
        <w:rPr>
          <w:rFonts w:ascii="Times New Roman" w:eastAsia="Times New Roman" w:hAnsi="Times New Roman" w:cs="Times New Roman"/>
          <w:sz w:val="24"/>
          <w:szCs w:val="24"/>
        </w:rPr>
        <w:t>erck</w:t>
      </w:r>
      <w:r w:rsidR="00166A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66A89">
        <w:rPr>
          <w:rFonts w:ascii="Times New Roman" w:eastAsia="Times New Roman" w:hAnsi="Times New Roman" w:cs="Times New Roman"/>
          <w:sz w:val="24"/>
          <w:szCs w:val="24"/>
        </w:rPr>
        <w:t>V</w:t>
      </w:r>
      <w:r w:rsidR="00892D81">
        <w:rPr>
          <w:rFonts w:ascii="Times New Roman" w:eastAsia="Times New Roman" w:hAnsi="Times New Roman" w:cs="Times New Roman"/>
          <w:sz w:val="24"/>
          <w:szCs w:val="24"/>
        </w:rPr>
        <w:t>eterinary</w:t>
      </w:r>
      <w:proofErr w:type="spellEnd"/>
      <w:r w:rsidR="00166A89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="00892D81">
        <w:rPr>
          <w:rFonts w:ascii="Times New Roman" w:eastAsia="Times New Roman" w:hAnsi="Times New Roman" w:cs="Times New Roman"/>
          <w:sz w:val="24"/>
          <w:szCs w:val="24"/>
        </w:rPr>
        <w:t>anual</w:t>
      </w:r>
      <w:r w:rsidR="00166A89">
        <w:rPr>
          <w:rFonts w:ascii="Times New Roman" w:eastAsia="Times New Roman" w:hAnsi="Times New Roman" w:cs="Times New Roman"/>
          <w:sz w:val="24"/>
          <w:szCs w:val="24"/>
        </w:rPr>
        <w:t>, 2023).</w:t>
      </w:r>
    </w:p>
    <w:p w14:paraId="58DA9CC2" w14:textId="4775C926" w:rsidR="00310135" w:rsidRDefault="00166A89" w:rsidP="00EE449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Após a </w:t>
      </w:r>
      <w:r w:rsidR="00735482">
        <w:rPr>
          <w:rFonts w:ascii="Times New Roman" w:eastAsia="Times New Roman" w:hAnsi="Times New Roman" w:cs="Times New Roman"/>
          <w:sz w:val="24"/>
          <w:szCs w:val="24"/>
        </w:rPr>
        <w:t>terapia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intensi</w:t>
      </w:r>
      <w:r w:rsidR="00735482"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incluindo altas doses de soro antitetânico, antibioticoterapia com penicilina e uso de relaxantes musculares, observou-se melhora significativa do quadro clínico. O uso de sedativos e miorrelaxantes no início do tratamento foi importante para reduzir os espasmos musculares e facilitar o manejo do animal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892D81">
        <w:rPr>
          <w:rFonts w:ascii="Times New Roman" w:eastAsia="Times New Roman" w:hAnsi="Times New Roman" w:cs="Times New Roman"/>
          <w:sz w:val="24"/>
          <w:szCs w:val="24"/>
        </w:rPr>
        <w:t>onstable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et al., 2020).</w:t>
      </w:r>
    </w:p>
    <w:p w14:paraId="55BCACEB" w14:textId="2D579821" w:rsidR="00310135" w:rsidRDefault="00166A89" w:rsidP="00EE449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Um dado </w:t>
      </w:r>
      <w:r w:rsidR="002448BC">
        <w:rPr>
          <w:rFonts w:ascii="Times New Roman" w:eastAsia="Times New Roman" w:hAnsi="Times New Roman" w:cs="Times New Roman"/>
          <w:sz w:val="24"/>
          <w:szCs w:val="24"/>
        </w:rPr>
        <w:t>relevante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neste caso foi a recuperação do animal mesmo diante de um quadro clínico inicialmente grave, considerado um achado positivo, já que o prognóstico do tétano em equinos costuma ser reservado a desfavorável, principalmente quando há sinais neuromusculares intensos (M</w:t>
      </w:r>
      <w:r w:rsidR="00892D81">
        <w:rPr>
          <w:rFonts w:ascii="Times New Roman" w:eastAsia="Times New Roman" w:hAnsi="Times New Roman" w:cs="Times New Roman"/>
          <w:sz w:val="24"/>
          <w:szCs w:val="24"/>
        </w:rPr>
        <w:t>erck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892D81">
        <w:rPr>
          <w:rFonts w:ascii="Times New Roman" w:eastAsia="Times New Roman" w:hAnsi="Times New Roman" w:cs="Times New Roman"/>
          <w:sz w:val="24"/>
          <w:szCs w:val="24"/>
        </w:rPr>
        <w:t>eterinary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="00892D81">
        <w:rPr>
          <w:rFonts w:ascii="Times New Roman" w:eastAsia="Times New Roman" w:hAnsi="Times New Roman" w:cs="Times New Roman"/>
          <w:sz w:val="24"/>
          <w:szCs w:val="24"/>
        </w:rPr>
        <w:t>anual</w:t>
      </w:r>
      <w:r>
        <w:rPr>
          <w:rFonts w:ascii="Times New Roman" w:eastAsia="Times New Roman" w:hAnsi="Times New Roman" w:cs="Times New Roman"/>
          <w:sz w:val="24"/>
          <w:szCs w:val="24"/>
        </w:rPr>
        <w:t>, 2023).</w:t>
      </w:r>
    </w:p>
    <w:p w14:paraId="7A6E49D5" w14:textId="77777777" w:rsidR="00874509" w:rsidRDefault="0087450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2A988" w14:textId="77777777" w:rsidR="00310135" w:rsidRDefault="00166A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Conclusão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: </w:t>
      </w:r>
    </w:p>
    <w:p w14:paraId="126EB168" w14:textId="77777777" w:rsidR="00310135" w:rsidRDefault="00166A89" w:rsidP="00EE44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Conclui-se que o tétano em equinos é uma enfermidade grave, porém passível de recuperação quando diagnosticado precocemente e tratado com manejo intensivo adequado. O uso de sedativos, miorrelaxantes e suporte clínico foi determinante para a evolução favorável do caso, reforçando a importância da vacinação como principal medida preventiva.</w:t>
      </w:r>
    </w:p>
    <w:p w14:paraId="3B98A4F2" w14:textId="77777777" w:rsidR="00310135" w:rsidRDefault="003101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FC9A4C" w14:textId="77777777" w:rsidR="00310135" w:rsidRDefault="00166A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Referências Bibliográficas: </w:t>
      </w:r>
    </w:p>
    <w:p w14:paraId="6929A1BB" w14:textId="77777777" w:rsidR="00892D81" w:rsidRDefault="00892D81" w:rsidP="00892D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CONSTABLE, Peter D. </w:t>
      </w:r>
      <w:r w:rsidRPr="00892D81">
        <w:rPr>
          <w:rFonts w:ascii="Times New Roman" w:eastAsia="Times New Roman" w:hAnsi="Times New Roman" w:cs="Times New Roman"/>
          <w:i/>
          <w:iCs/>
          <w:sz w:val="24"/>
          <w:szCs w:val="24"/>
        </w:rPr>
        <w:t>et al.</w:t>
      </w:r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Veterinary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 medicine: a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textbook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diseases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cattle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horses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sheep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pigs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goats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>. 11. ed. St. Louis: Elsevier, 2020.</w:t>
      </w:r>
    </w:p>
    <w:p w14:paraId="38A74DC1" w14:textId="77777777" w:rsidR="00892D81" w:rsidRPr="00892D81" w:rsidRDefault="00892D81" w:rsidP="00892D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2E7CD7" w14:textId="77777777" w:rsidR="00892D81" w:rsidRDefault="00892D81" w:rsidP="00892D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MERCK VETERINARY MANUAL.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Tetanus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animals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Rahway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: Merck &amp; Co., Inc., 2023. Disponível em: </w:t>
      </w:r>
      <w:hyperlink r:id="rId9" w:tgtFrame="_new" w:history="1">
        <w:r w:rsidRPr="00892D81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https://www.merckvetmanual.com</w:t>
        </w:r>
      </w:hyperlink>
      <w:r w:rsidRPr="00892D81">
        <w:rPr>
          <w:rFonts w:ascii="Times New Roman" w:eastAsia="Times New Roman" w:hAnsi="Times New Roman" w:cs="Times New Roman"/>
          <w:sz w:val="24"/>
          <w:szCs w:val="24"/>
        </w:rPr>
        <w:t>. Acesso em: 20 mar. 2026.</w:t>
      </w:r>
    </w:p>
    <w:p w14:paraId="1D4979E7" w14:textId="77777777" w:rsidR="00892D81" w:rsidRPr="00892D81" w:rsidRDefault="00892D81" w:rsidP="00892D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F7D911" w14:textId="16ACB4F5" w:rsidR="00892D81" w:rsidRDefault="00892D81" w:rsidP="00892D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SMITH, Bradford P. </w:t>
      </w:r>
      <w:r w:rsidRPr="00892D81">
        <w:rPr>
          <w:rFonts w:ascii="Times New Roman" w:eastAsia="Times New Roman" w:hAnsi="Times New Roman" w:cs="Times New Roman"/>
          <w:i/>
          <w:iCs/>
          <w:sz w:val="24"/>
          <w:szCs w:val="24"/>
        </w:rPr>
        <w:t>et al.</w:t>
      </w:r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 Large animal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internal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 medicine. 6. ed. St. Louis: Elsevier, 2021.</w:t>
      </w:r>
    </w:p>
    <w:p w14:paraId="6BF8BA1B" w14:textId="77777777" w:rsidR="002448BC" w:rsidRPr="00892D81" w:rsidRDefault="002448BC" w:rsidP="00892D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FC72F7" w14:textId="5C05676F" w:rsidR="00310135" w:rsidRPr="00892D81" w:rsidRDefault="00892D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D81">
        <w:rPr>
          <w:rFonts w:ascii="Times New Roman" w:eastAsia="Times New Roman" w:hAnsi="Times New Roman" w:cs="Times New Roman"/>
          <w:sz w:val="24"/>
          <w:szCs w:val="24"/>
        </w:rPr>
        <w:t xml:space="preserve">THOMASSIAN, </w:t>
      </w:r>
      <w:proofErr w:type="spellStart"/>
      <w:r w:rsidRPr="00892D81">
        <w:rPr>
          <w:rFonts w:ascii="Times New Roman" w:eastAsia="Times New Roman" w:hAnsi="Times New Roman" w:cs="Times New Roman"/>
          <w:sz w:val="24"/>
          <w:szCs w:val="24"/>
        </w:rPr>
        <w:t>Armen</w:t>
      </w:r>
      <w:proofErr w:type="spellEnd"/>
      <w:r w:rsidRPr="00892D81">
        <w:rPr>
          <w:rFonts w:ascii="Times New Roman" w:eastAsia="Times New Roman" w:hAnsi="Times New Roman" w:cs="Times New Roman"/>
          <w:sz w:val="24"/>
          <w:szCs w:val="24"/>
        </w:rPr>
        <w:t>. Enfermidades dos cavalos. 4. ed. São Paulo: Varela, 2005.</w:t>
      </w:r>
    </w:p>
    <w:sectPr w:rsidR="00310135" w:rsidRPr="00892D81">
      <w:headerReference w:type="default" r:id="rId10"/>
      <w:footerReference w:type="default" r:id="rId11"/>
      <w:pgSz w:w="11906" w:h="16838"/>
      <w:pgMar w:top="2694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CA3E6" w14:textId="77777777" w:rsidR="00A67CEF" w:rsidRDefault="00A67CEF">
      <w:pPr>
        <w:spacing w:after="0" w:line="240" w:lineRule="auto"/>
      </w:pPr>
      <w:r>
        <w:separator/>
      </w:r>
    </w:p>
  </w:endnote>
  <w:endnote w:type="continuationSeparator" w:id="0">
    <w:p w14:paraId="3A0846A3" w14:textId="77777777" w:rsidR="00A67CEF" w:rsidRDefault="00A67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89B125-334B-4D0B-BB86-77451B8454E2}"/>
    <w:embedBold r:id="rId2" w:fontKey="{250BF5F9-50EF-45E2-90D3-0F2FE9A25F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CB3F920-76C5-4F76-8C73-72CB4E287313}"/>
  </w:font>
  <w:font w:name="Helvetica Neue">
    <w:charset w:val="00"/>
    <w:family w:val="auto"/>
    <w:pitch w:val="default"/>
    <w:embedRegular r:id="rId4" w:fontKey="{04630FA5-D1B3-40D0-82AA-8A6692E328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3FDCE6-F6F2-4229-B663-951313A617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363F8" w14:textId="77777777" w:rsidR="00310135" w:rsidRDefault="00166A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B1F8E">
      <w:rPr>
        <w:noProof/>
        <w:color w:val="000000"/>
      </w:rPr>
      <w:t>1</w:t>
    </w:r>
    <w:r>
      <w:rPr>
        <w:color w:val="000000"/>
      </w:rPr>
      <w:fldChar w:fldCharType="end"/>
    </w:r>
  </w:p>
  <w:p w14:paraId="712F0A5E" w14:textId="77777777" w:rsidR="00310135" w:rsidRDefault="003101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93B3D" w14:textId="77777777" w:rsidR="00A67CEF" w:rsidRDefault="00A67CEF">
      <w:pPr>
        <w:spacing w:after="0" w:line="240" w:lineRule="auto"/>
      </w:pPr>
      <w:r>
        <w:separator/>
      </w:r>
    </w:p>
  </w:footnote>
  <w:footnote w:type="continuationSeparator" w:id="0">
    <w:p w14:paraId="6683E604" w14:textId="77777777" w:rsidR="00A67CEF" w:rsidRDefault="00A67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2E7B7" w14:textId="77777777" w:rsidR="00310135" w:rsidRDefault="00166A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E886409" wp14:editId="0172A2D7">
          <wp:simplePos x="0" y="0"/>
          <wp:positionH relativeFrom="column">
            <wp:posOffset>-316225</wp:posOffset>
          </wp:positionH>
          <wp:positionV relativeFrom="paragraph">
            <wp:posOffset>-410840</wp:posOffset>
          </wp:positionV>
          <wp:extent cx="6426200" cy="160655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6200" cy="1606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104614" w14:textId="77777777" w:rsidR="00310135" w:rsidRDefault="003101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135"/>
    <w:rsid w:val="000128B8"/>
    <w:rsid w:val="00047760"/>
    <w:rsid w:val="00056DC2"/>
    <w:rsid w:val="00133778"/>
    <w:rsid w:val="00166A89"/>
    <w:rsid w:val="002448BC"/>
    <w:rsid w:val="00310135"/>
    <w:rsid w:val="004B1F72"/>
    <w:rsid w:val="00575686"/>
    <w:rsid w:val="00735482"/>
    <w:rsid w:val="007B1F8E"/>
    <w:rsid w:val="007E3040"/>
    <w:rsid w:val="00837999"/>
    <w:rsid w:val="00874509"/>
    <w:rsid w:val="00892D81"/>
    <w:rsid w:val="008C141C"/>
    <w:rsid w:val="00963842"/>
    <w:rsid w:val="00A67CEF"/>
    <w:rsid w:val="00AB4C9E"/>
    <w:rsid w:val="00AF111E"/>
    <w:rsid w:val="00BC16B1"/>
    <w:rsid w:val="00BC332E"/>
    <w:rsid w:val="00BE4706"/>
    <w:rsid w:val="00CD38BE"/>
    <w:rsid w:val="00D44D9B"/>
    <w:rsid w:val="00EE449A"/>
    <w:rsid w:val="00F3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BD1B4"/>
  <w15:docId w15:val="{AC251FAB-4A4B-4346-964F-0086A16F7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8F572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F572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isviniciuscz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riaeduardamacedo689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erckvetmanua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IJETGQVtMPIvNjdEEKALOv7g8A==">CgMxLjA4AHIhMU5LX3dXSHBzd0NXNHNPOGZkV2dsR19jRDlBMzZvRWhR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1066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Vinícius</dc:creator>
  <cp:lastModifiedBy>Luis Vinicios</cp:lastModifiedBy>
  <cp:revision>2</cp:revision>
  <dcterms:created xsi:type="dcterms:W3CDTF">2026-05-08T12:29:00Z</dcterms:created>
  <dcterms:modified xsi:type="dcterms:W3CDTF">2026-05-08T12:29:00Z</dcterms:modified>
</cp:coreProperties>
</file>