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D8C8C" w14:textId="77777777" w:rsidR="00F53296" w:rsidRPr="00B2221E" w:rsidRDefault="00F5329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063D9A" w14:textId="79207D29" w:rsidR="00420122" w:rsidRPr="00B2221E" w:rsidRDefault="00420122" w:rsidP="005E70D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PRINCIPAIS CAUSAS DE CONDENAÇÃO TOTAL DE CARCAÇAS DE FRANGOS </w:t>
      </w:r>
      <w:r w:rsidR="00722797" w:rsidRP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EM </w:t>
      </w:r>
      <w:r w:rsidRP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>ABATEDOURO</w:t>
      </w:r>
      <w:r w:rsidR="00722797" w:rsidRP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>NO MUNICÍPIO DE GUAPIAÇU-SP, 2024</w:t>
      </w:r>
    </w:p>
    <w:p w14:paraId="3A2E397C" w14:textId="1FD109A5" w:rsidR="00F53296" w:rsidRPr="00B2221E" w:rsidRDefault="006A54E2" w:rsidP="005E70D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sz w:val="24"/>
          <w:szCs w:val="24"/>
        </w:rPr>
        <w:t xml:space="preserve">Maria Aparecida de Souza </w:t>
      </w:r>
      <w:r w:rsidRP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>OLIVEIRA¹</w:t>
      </w:r>
      <w:r w:rsidR="00C27678" w:rsidRP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 w:rsidRPr="00B2221E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2953E1" w:rsidRPr="00B2221E">
        <w:rPr>
          <w:rFonts w:ascii="Times New Roman" w:hAnsi="Times New Roman" w:cs="Times New Roman"/>
          <w:sz w:val="24"/>
          <w:szCs w:val="24"/>
        </w:rPr>
        <w:t xml:space="preserve">Bhyanca Batista </w:t>
      </w:r>
      <w:r w:rsidR="002953E1" w:rsidRPr="00B2221E">
        <w:rPr>
          <w:rFonts w:ascii="Times New Roman" w:hAnsi="Times New Roman" w:cs="Times New Roman"/>
          <w:b/>
          <w:bCs/>
          <w:sz w:val="24"/>
          <w:szCs w:val="24"/>
        </w:rPr>
        <w:t>TRIGUEIRO</w:t>
      </w:r>
      <w:r w:rsidR="00326269" w:rsidRPr="00B2221E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2953E1" w:rsidRPr="00B2221E">
        <w:rPr>
          <w:rFonts w:ascii="Times New Roman" w:hAnsi="Times New Roman" w:cs="Times New Roman"/>
          <w:bCs/>
          <w:sz w:val="24"/>
          <w:szCs w:val="24"/>
        </w:rPr>
        <w:t>;</w:t>
      </w:r>
      <w:r w:rsidR="002953E1" w:rsidRPr="00B2221E">
        <w:rPr>
          <w:rFonts w:ascii="Times New Roman" w:hAnsi="Times New Roman" w:cs="Times New Roman"/>
          <w:sz w:val="24"/>
          <w:szCs w:val="24"/>
        </w:rPr>
        <w:t xml:space="preserve"> João Pedro Alcantara de Moura </w:t>
      </w:r>
      <w:r w:rsidR="002953E1" w:rsidRPr="00B2221E">
        <w:rPr>
          <w:rFonts w:ascii="Times New Roman" w:hAnsi="Times New Roman" w:cs="Times New Roman"/>
          <w:b/>
          <w:bCs/>
          <w:sz w:val="24"/>
          <w:szCs w:val="24"/>
        </w:rPr>
        <w:t>DINO</w:t>
      </w:r>
      <w:r w:rsidR="00326269" w:rsidRPr="00B2221E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2953E1" w:rsidRPr="00B2221E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2953E1" w:rsidRPr="00B2221E">
        <w:rPr>
          <w:rFonts w:ascii="Times New Roman" w:hAnsi="Times New Roman" w:cs="Times New Roman"/>
          <w:sz w:val="24"/>
          <w:szCs w:val="24"/>
        </w:rPr>
        <w:t xml:space="preserve">Kaéllyda Marques </w:t>
      </w:r>
      <w:r w:rsidR="002953E1" w:rsidRPr="00B2221E">
        <w:rPr>
          <w:rFonts w:ascii="Times New Roman" w:hAnsi="Times New Roman" w:cs="Times New Roman"/>
          <w:b/>
          <w:bCs/>
          <w:sz w:val="24"/>
          <w:szCs w:val="24"/>
        </w:rPr>
        <w:t>LOPES</w:t>
      </w:r>
      <w:r w:rsidR="00326269" w:rsidRPr="00B2221E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2953E1" w:rsidRPr="00B2221E">
        <w:rPr>
          <w:rFonts w:ascii="Times New Roman" w:hAnsi="Times New Roman" w:cs="Times New Roman"/>
          <w:sz w:val="24"/>
          <w:szCs w:val="24"/>
        </w:rPr>
        <w:t xml:space="preserve">; </w:t>
      </w:r>
      <w:r w:rsidR="005D21FB" w:rsidRPr="00B2221E">
        <w:rPr>
          <w:rFonts w:ascii="Times New Roman" w:hAnsi="Times New Roman" w:cs="Times New Roman"/>
          <w:sz w:val="24"/>
          <w:szCs w:val="24"/>
        </w:rPr>
        <w:t>Maurício</w:t>
      </w:r>
      <w:r w:rsidR="00475C71" w:rsidRPr="00B2221E">
        <w:rPr>
          <w:rFonts w:ascii="Times New Roman" w:hAnsi="Times New Roman" w:cs="Times New Roman"/>
          <w:sz w:val="24"/>
          <w:szCs w:val="24"/>
        </w:rPr>
        <w:t xml:space="preserve"> dos Anjos</w:t>
      </w:r>
      <w:r w:rsidR="005D21FB" w:rsidRPr="00B2221E">
        <w:rPr>
          <w:rFonts w:ascii="Times New Roman" w:hAnsi="Times New Roman" w:cs="Times New Roman"/>
          <w:sz w:val="24"/>
          <w:szCs w:val="24"/>
        </w:rPr>
        <w:t xml:space="preserve"> </w:t>
      </w:r>
      <w:r w:rsidR="00475C71" w:rsidRPr="00B2221E">
        <w:rPr>
          <w:rFonts w:ascii="Times New Roman" w:hAnsi="Times New Roman" w:cs="Times New Roman"/>
          <w:b/>
          <w:bCs/>
          <w:sz w:val="24"/>
          <w:szCs w:val="24"/>
        </w:rPr>
        <w:t>ALVES</w:t>
      </w:r>
      <w:r w:rsidR="00326269" w:rsidRPr="00B2221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perscript"/>
        </w:rPr>
        <w:t>1</w:t>
      </w:r>
      <w:r w:rsidR="005D21FB" w:rsidRPr="00B2221E">
        <w:rPr>
          <w:rFonts w:ascii="Times New Roman" w:hAnsi="Times New Roman" w:cs="Times New Roman"/>
          <w:sz w:val="24"/>
          <w:szCs w:val="24"/>
        </w:rPr>
        <w:t xml:space="preserve"> </w:t>
      </w:r>
      <w:r w:rsidR="002953E1" w:rsidRPr="00B2221E">
        <w:rPr>
          <w:rFonts w:ascii="Times New Roman" w:hAnsi="Times New Roman" w:cs="Times New Roman"/>
          <w:sz w:val="24"/>
          <w:szCs w:val="24"/>
        </w:rPr>
        <w:t xml:space="preserve">Thayanne Marques de </w:t>
      </w:r>
      <w:r w:rsidR="002953E1" w:rsidRPr="00B2221E">
        <w:rPr>
          <w:rFonts w:ascii="Times New Roman" w:hAnsi="Times New Roman" w:cs="Times New Roman"/>
          <w:b/>
          <w:bCs/>
          <w:sz w:val="24"/>
          <w:szCs w:val="24"/>
        </w:rPr>
        <w:t>ARAÚJO</w:t>
      </w:r>
      <w:r w:rsidR="00326269" w:rsidRPr="00B2221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2953E1" w:rsidRPr="00B2221E">
        <w:rPr>
          <w:rFonts w:ascii="Times New Roman" w:hAnsi="Times New Roman" w:cs="Times New Roman"/>
          <w:sz w:val="24"/>
          <w:szCs w:val="24"/>
        </w:rPr>
        <w:t xml:space="preserve">; Thais Ferreira </w:t>
      </w:r>
      <w:r w:rsidR="002953E1" w:rsidRPr="00B2221E">
        <w:rPr>
          <w:rFonts w:ascii="Times New Roman" w:hAnsi="Times New Roman" w:cs="Times New Roman"/>
          <w:b/>
          <w:bCs/>
          <w:sz w:val="24"/>
          <w:szCs w:val="24"/>
        </w:rPr>
        <w:t>FEITOSA</w:t>
      </w:r>
      <w:r w:rsidR="00326269" w:rsidRPr="00B2221E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</w:p>
    <w:p w14:paraId="1AE10B50" w14:textId="73A9805E" w:rsidR="002953E1" w:rsidRPr="00B2221E" w:rsidRDefault="00000000" w:rsidP="001D4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u w:val="single"/>
        </w:rPr>
      </w:pPr>
      <w:r w:rsidRPr="00B2221E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="00A93E58" w:rsidRPr="00B2221E">
        <w:rPr>
          <w:rFonts w:ascii="Times New Roman" w:eastAsia="Times New Roman" w:hAnsi="Times New Roman" w:cs="Times New Roman"/>
          <w:color w:val="000000"/>
          <w:sz w:val="20"/>
          <w:szCs w:val="20"/>
        </w:rPr>
        <w:t>Graduanda em Medicina Veterinária, IFPB- São Gonçalo-Sousa</w:t>
      </w:r>
      <w:r w:rsidR="00DB7211" w:rsidRPr="00B2221E">
        <w:rPr>
          <w:rFonts w:ascii="Times New Roman" w:eastAsia="Times New Roman" w:hAnsi="Times New Roman" w:cs="Times New Roman"/>
          <w:color w:val="000000"/>
          <w:sz w:val="20"/>
          <w:szCs w:val="20"/>
        </w:rPr>
        <w:t>-PB</w:t>
      </w:r>
      <w:r w:rsidRPr="00B2221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hyperlink r:id="rId7" w:history="1">
        <w:r w:rsidR="002953E1" w:rsidRPr="00B2221E">
          <w:rPr>
            <w:rStyle w:val="Hyperlink"/>
            <w:rFonts w:ascii="Times New Roman" w:hAnsi="Times New Roman" w:cs="Times New Roman"/>
            <w:sz w:val="20"/>
            <w:szCs w:val="20"/>
          </w:rPr>
          <w:t>maria.oliveira.10@academico.ifpb.edu.br</w:t>
        </w:r>
      </w:hyperlink>
      <w:r w:rsidR="00326269" w:rsidRPr="00B2221E">
        <w:rPr>
          <w:rFonts w:ascii="Times New Roman" w:hAnsi="Times New Roman" w:cs="Times New Roman"/>
          <w:sz w:val="20"/>
          <w:szCs w:val="20"/>
        </w:rPr>
        <w:t>*</w:t>
      </w:r>
    </w:p>
    <w:p w14:paraId="2942D443" w14:textId="68E5593E" w:rsidR="001D4604" w:rsidRPr="00B2221E" w:rsidRDefault="00326269" w:rsidP="001D460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 w:rsidRPr="00B2221E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 w:rsidR="009F5C17" w:rsidRPr="00B2221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Professora do Curso de </w:t>
      </w:r>
      <w:r w:rsidR="00A93E58" w:rsidRPr="00B2221E">
        <w:rPr>
          <w:rFonts w:ascii="Times New Roman" w:hAnsi="Times New Roman" w:cs="Times New Roman"/>
          <w:color w:val="000000"/>
          <w:sz w:val="20"/>
          <w:szCs w:val="20"/>
        </w:rPr>
        <w:t>Medicina veterinária, IFPB- São Gonçalo -Sousa -PB</w:t>
      </w:r>
      <w:r w:rsidR="001D4604" w:rsidRPr="00B2221E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B2221E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</w:p>
    <w:p w14:paraId="0F37B3C1" w14:textId="13F96816" w:rsidR="00F53296" w:rsidRPr="00B2221E" w:rsidRDefault="00000000" w:rsidP="00FA2741">
      <w:pPr>
        <w:spacing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B2221E">
        <w:rPr>
          <w:rFonts w:ascii="Times New Roman" w:eastAsia="Times New Roman" w:hAnsi="Times New Roman" w:cs="Times New Roman"/>
          <w:b/>
          <w:bCs/>
        </w:rPr>
        <w:t xml:space="preserve">Resumo: </w:t>
      </w:r>
      <w:r w:rsidR="00DE52F2" w:rsidRPr="00B2221E">
        <w:rPr>
          <w:rFonts w:ascii="Times New Roman" w:eastAsia="Times New Roman" w:hAnsi="Times New Roman" w:cs="Times New Roman"/>
          <w:color w:val="00000A"/>
        </w:rPr>
        <w:t>A avicultura brasileira possui grande relevância econômica, sendo o controle sanitário nos abatedouros essencial para garantir a qualidade dos produtos. O presente estudo teve como objetivo analisar as principais causas de condenação total de carcaças de frangos no abatedouro da SEARA, localizado em Guapiaçu-SP, no ano de 2024. A metodologia baseou-se na coleta de dados secundários no sistema PGA-SIGSIF, com análise descritiva das ocorrências.</w:t>
      </w:r>
      <w:r w:rsidR="00EB4F1E" w:rsidRPr="00B2221E">
        <w:rPr>
          <w:rFonts w:ascii="Times New Roman" w:eastAsia="Times New Roman" w:hAnsi="Times New Roman" w:cs="Times New Roman"/>
          <w:color w:val="00000A"/>
        </w:rPr>
        <w:t xml:space="preserve"> Foram identificadas diversas causas de condenação, destacando-se falha tecnológica com 142.165 (39%), síndrome ascítica com 60.851 (16%), caquexia com 47.629 (13%) e aspecto repugnante (post mortem) com 42.695 casos (12%). </w:t>
      </w:r>
      <w:r w:rsidR="00DE52F2" w:rsidRPr="00B2221E">
        <w:rPr>
          <w:rFonts w:ascii="Times New Roman" w:eastAsia="Times New Roman" w:hAnsi="Times New Roman" w:cs="Times New Roman"/>
          <w:color w:val="00000A"/>
        </w:rPr>
        <w:t xml:space="preserve">Os resultados demonstram que essas alterações estão associadas tanto a falhas no manejo pré-abate quanto a problemas no processamento industrial, impactando diretamente a qualidade do produto e gerando prejuízos econômicos. </w:t>
      </w:r>
    </w:p>
    <w:p w14:paraId="66F7BEDD" w14:textId="2ADC526D" w:rsidR="00F53296" w:rsidRPr="00B2221E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 w:rsidRPr="00B2221E">
        <w:rPr>
          <w:rFonts w:ascii="Times New Roman" w:eastAsia="Times New Roman" w:hAnsi="Times New Roman" w:cs="Times New Roman"/>
          <w:b/>
          <w:bCs/>
          <w:color w:val="00000A"/>
        </w:rPr>
        <w:t>Palavras-chave:</w:t>
      </w:r>
      <w:r w:rsidRPr="00B2221E">
        <w:rPr>
          <w:rFonts w:ascii="Times New Roman" w:eastAsia="Times New Roman" w:hAnsi="Times New Roman" w:cs="Times New Roman"/>
          <w:color w:val="00000A"/>
        </w:rPr>
        <w:t xml:space="preserve"> </w:t>
      </w:r>
      <w:r w:rsidR="00F11307" w:rsidRPr="00B2221E">
        <w:rPr>
          <w:rFonts w:ascii="Times New Roman" w:eastAsia="Times New Roman" w:hAnsi="Times New Roman" w:cs="Times New Roman"/>
          <w:color w:val="00000A"/>
        </w:rPr>
        <w:t>Abatedouro</w:t>
      </w:r>
      <w:r w:rsidR="00A468C3" w:rsidRPr="00B2221E">
        <w:rPr>
          <w:rFonts w:ascii="Times New Roman" w:eastAsia="Times New Roman" w:hAnsi="Times New Roman" w:cs="Times New Roman"/>
          <w:color w:val="00000A"/>
        </w:rPr>
        <w:t>; Avicultura; Inspeção sanitária.</w:t>
      </w:r>
    </w:p>
    <w:p w14:paraId="4789D9C2" w14:textId="77777777" w:rsidR="00A468C3" w:rsidRPr="00B2221E" w:rsidRDefault="00A468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8"/>
          <w:szCs w:val="8"/>
        </w:rPr>
      </w:pPr>
    </w:p>
    <w:p w14:paraId="530AD902" w14:textId="77777777" w:rsidR="00F53296" w:rsidRPr="00B2221E" w:rsidRDefault="00F532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Times New Roman" w:eastAsia="Helvetica Neue" w:hAnsi="Times New Roman" w:cs="Times New Roman"/>
          <w:color w:val="000000"/>
          <w:sz w:val="16"/>
          <w:szCs w:val="16"/>
        </w:rPr>
      </w:pPr>
    </w:p>
    <w:p w14:paraId="24E320CE" w14:textId="7BEEEC9A" w:rsidR="00D15F07" w:rsidRPr="00B2221E" w:rsidRDefault="00000000" w:rsidP="00DE52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  <w:r w:rsidR="00250047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A avicultura brasileira ocupa posição de destaque mundial na produção e exportação de carne de frango, sendo os abatedouros fundamentais para garantir a qualidade higiênico-sanitária dos produtos por meio das inspeções ante e post mortem. Entretanto, a condenação total de carcaças durante o abate representa um importante problema econômico e sanitário (</w:t>
      </w:r>
      <w:r w:rsidR="00420122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Oliveira</w:t>
      </w:r>
      <w:r w:rsidR="00250047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 al., 2016).</w:t>
      </w:r>
      <w:r w:rsidR="00D15F07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551158E" w14:textId="7CE49182" w:rsidR="00250047" w:rsidRPr="00B2221E" w:rsidRDefault="00250047" w:rsidP="00DE52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As principais causas dessas condenações incluem contaminação fecal, lesões traumáticas, doenças sistêmicas e falhas no manejo e no processamento, refletindo deficiências ao longo da cadeia produtiva (B</w:t>
      </w:r>
      <w:r w:rsidR="00420122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ackes</w:t>
      </w: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; M</w:t>
      </w:r>
      <w:r w:rsidR="00420122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atos</w:t>
      </w: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, 2023).</w:t>
      </w:r>
    </w:p>
    <w:p w14:paraId="0C642365" w14:textId="48EFC70F" w:rsidR="002A5B02" w:rsidRPr="00B2221E" w:rsidRDefault="00250047" w:rsidP="005516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Dessa forma, o presente trabalho tem como objetivo analisar as principais causas de condenação total de carcaças no abatedouro de frangos da SEARA</w:t>
      </w:r>
      <w:r w:rsidR="009F5C17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localizado em Guapiaçu, São Paulo, no ano de 2024, visando identificar fatores críticos e contribuir para a melhoria da qualidade e produtividade.</w:t>
      </w:r>
    </w:p>
    <w:p w14:paraId="588779F9" w14:textId="77777777" w:rsidR="009F5C17" w:rsidRPr="00B2221E" w:rsidRDefault="009F5C17" w:rsidP="00DE52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789293" w14:textId="0C1309B1" w:rsidR="00EB676A" w:rsidRPr="00B2221E" w:rsidRDefault="00000000" w:rsidP="00DE52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>Material e métodos:</w:t>
      </w:r>
      <w:r w:rsid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B676A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metodologia deste estudo baseou-se na coleta de dados secundários por meio de pesquisa online no banco de dados PGA-SIGSIF, disponibilizado pelo Ministério da Agricultura, Pecuária e Abastecimento, o qual reúne informações oficiais sobre condenações de carcaças em estabelecimentos sob inspeção federal. Foram analisados os registros de </w:t>
      </w:r>
      <w:r w:rsidR="00EB676A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condenação total de carcaças de frangos do abatedouro da SEARA, localizado em Guapiaçu, São Paulo, referentes ao ano de 2024.</w:t>
      </w:r>
    </w:p>
    <w:p w14:paraId="7EE9606C" w14:textId="461D283B" w:rsidR="00420122" w:rsidRPr="00B2221E" w:rsidRDefault="00EB676A" w:rsidP="005516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Foram considerados dados relacionados à condenação total da carcaça, incluindo as seguintes causas: aerossaculite, alterações musculares (hemorragias), aspecto repugnante (post mortem), canibalismo (ante mortem), caquexia, celulite, contaminação gastrointestinal e biliar, contaminação não gastrointestinal, escaldado vivo, estado anormal ou patológico não previsto, falha tecnológica, lesão de pele, lesão inflamatória, lesão traumática, magreza, neoplasia, septicemia e síndrome </w:t>
      </w:r>
      <w:r w:rsidR="00EB4F1E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asc</w:t>
      </w:r>
      <w:r w:rsidR="00544A4D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í</w:t>
      </w:r>
      <w:r w:rsidR="00EB4F1E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tica, com dados tabulados e organizados em planilhas no software Excel.</w:t>
      </w:r>
    </w:p>
    <w:p w14:paraId="0054991D" w14:textId="77777777" w:rsidR="00D76DB1" w:rsidRPr="00B2221E" w:rsidRDefault="00D76DB1" w:rsidP="004201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B71E3E" w14:textId="347493D0" w:rsidR="000960E8" w:rsidRPr="00B2221E" w:rsidRDefault="00000000" w:rsidP="000923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  <w:r w:rsidR="00092323" w:rsidRPr="00B2221E">
        <w:rPr>
          <w:rFonts w:ascii="Times New Roman" w:eastAsia="Helvetica Neue" w:hAnsi="Times New Roman" w:cs="Times New Roman"/>
          <w:color w:val="000000"/>
          <w:sz w:val="24"/>
          <w:szCs w:val="24"/>
        </w:rPr>
        <w:t>No presente estudo, as causas mais relevantes de condenação total de carcaças (gráfico 1) foram falha tecnológica com 142.165 (39%), síndrome ascítica com 60.851 (16%), caquexia com 47.629 (13%) e aspecto repugnante (post mortem) com 42.695 casos (12%), totalizando 293.340 mil ocorrências, o que representa 80% do total de 366.020 condenações registradas no ano de 2024.</w:t>
      </w:r>
    </w:p>
    <w:p w14:paraId="0EC5953B" w14:textId="77777777" w:rsidR="00092323" w:rsidRPr="00B2221E" w:rsidRDefault="00092323" w:rsidP="000923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Helvetica Neue" w:hAnsi="Times New Roman" w:cs="Times New Roman"/>
          <w:b/>
          <w:bCs/>
          <w:color w:val="000000"/>
          <w:sz w:val="24"/>
          <w:szCs w:val="24"/>
        </w:rPr>
      </w:pPr>
    </w:p>
    <w:p w14:paraId="04DB7C97" w14:textId="1273BE74" w:rsidR="005F3095" w:rsidRPr="00B2221E" w:rsidRDefault="005F3095" w:rsidP="005F30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Helvetica Neue" w:hAnsi="Times New Roman" w:cs="Times New Roman"/>
          <w:color w:val="000000"/>
          <w:sz w:val="20"/>
          <w:szCs w:val="20"/>
        </w:rPr>
      </w:pPr>
      <w:r w:rsidRPr="00B2221E">
        <w:rPr>
          <w:rFonts w:ascii="Times New Roman" w:eastAsia="Helvetica Neue" w:hAnsi="Times New Roman" w:cs="Times New Roman"/>
          <w:b/>
          <w:bCs/>
          <w:color w:val="000000"/>
          <w:sz w:val="20"/>
          <w:szCs w:val="20"/>
        </w:rPr>
        <w:t>Gráfico 1:</w:t>
      </w:r>
      <w:r w:rsidR="000960E8" w:rsidRPr="00B2221E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</w:t>
      </w:r>
      <w:r w:rsidR="00980A37" w:rsidRPr="00B2221E">
        <w:rPr>
          <w:rFonts w:ascii="Times New Roman" w:eastAsia="Helvetica Neue" w:hAnsi="Times New Roman" w:cs="Times New Roman"/>
          <w:color w:val="000000"/>
          <w:sz w:val="20"/>
          <w:szCs w:val="20"/>
        </w:rPr>
        <w:t>C</w:t>
      </w:r>
      <w:r w:rsidR="000960E8" w:rsidRPr="00B2221E">
        <w:rPr>
          <w:rFonts w:ascii="Times New Roman" w:eastAsia="Helvetica Neue" w:hAnsi="Times New Roman" w:cs="Times New Roman"/>
          <w:color w:val="000000"/>
          <w:sz w:val="20"/>
          <w:szCs w:val="20"/>
        </w:rPr>
        <w:t>ausas de condenação total</w:t>
      </w:r>
      <w:r w:rsidR="00F633D6" w:rsidRPr="00B2221E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de carcaça de frango- SEARA </w:t>
      </w:r>
      <w:r w:rsidR="00D76DB1" w:rsidRPr="00B2221E">
        <w:rPr>
          <w:rFonts w:ascii="Times New Roman" w:eastAsia="Helvetica Neue" w:hAnsi="Times New Roman" w:cs="Times New Roman"/>
          <w:color w:val="000000"/>
          <w:sz w:val="20"/>
          <w:szCs w:val="20"/>
        </w:rPr>
        <w:t>–</w:t>
      </w:r>
      <w:r w:rsidR="00F633D6" w:rsidRPr="00B2221E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SP</w:t>
      </w:r>
      <w:r w:rsidR="00D76DB1" w:rsidRPr="00B2221E">
        <w:rPr>
          <w:rFonts w:ascii="Times New Roman" w:eastAsia="Helvetica Neue" w:hAnsi="Times New Roman" w:cs="Times New Roman"/>
          <w:color w:val="000000"/>
          <w:sz w:val="20"/>
          <w:szCs w:val="20"/>
        </w:rPr>
        <w:t>-2024</w:t>
      </w:r>
    </w:p>
    <w:p w14:paraId="73475B75" w14:textId="60421277" w:rsidR="005F3095" w:rsidRPr="00B2221E" w:rsidRDefault="00092323" w:rsidP="005F30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Helvetica Neue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82B2627" wp14:editId="016DB11A">
            <wp:extent cx="4360578" cy="2575962"/>
            <wp:effectExtent l="0" t="0" r="1905" b="0"/>
            <wp:docPr id="11907532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532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3483" cy="258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C96F6" w14:textId="712C7457" w:rsidR="005F3095" w:rsidRPr="00B2221E" w:rsidRDefault="005F3095" w:rsidP="005F30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Helvetica Neue" w:hAnsi="Times New Roman" w:cs="Times New Roman"/>
          <w:color w:val="000000"/>
          <w:sz w:val="20"/>
          <w:szCs w:val="20"/>
        </w:rPr>
      </w:pPr>
      <w:r w:rsidRPr="00B2221E">
        <w:rPr>
          <w:rFonts w:ascii="Times New Roman" w:eastAsia="Helvetica Neue" w:hAnsi="Times New Roman" w:cs="Times New Roman"/>
          <w:b/>
          <w:bCs/>
          <w:color w:val="000000"/>
          <w:sz w:val="20"/>
          <w:szCs w:val="20"/>
        </w:rPr>
        <w:t>Fonte:</w:t>
      </w:r>
      <w:r w:rsidR="000960E8" w:rsidRPr="00B2221E">
        <w:rPr>
          <w:rFonts w:ascii="Times New Roman" w:eastAsia="Helvetica Neue" w:hAnsi="Times New Roman" w:cs="Times New Roman"/>
          <w:color w:val="000000"/>
          <w:sz w:val="20"/>
          <w:szCs w:val="20"/>
        </w:rPr>
        <w:t xml:space="preserve"> </w:t>
      </w:r>
      <w:r w:rsidR="00F11307" w:rsidRPr="00B2221E">
        <w:rPr>
          <w:rFonts w:ascii="Times New Roman" w:eastAsia="Times New Roman" w:hAnsi="Times New Roman" w:cs="Times New Roman"/>
          <w:color w:val="000000"/>
          <w:sz w:val="20"/>
          <w:szCs w:val="20"/>
        </w:rPr>
        <w:t>elaboração própria, 2026.</w:t>
      </w:r>
    </w:p>
    <w:p w14:paraId="64ECEF61" w14:textId="77777777" w:rsidR="005F3095" w:rsidRPr="00B2221E" w:rsidRDefault="005F3095" w:rsidP="0042012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</w:p>
    <w:p w14:paraId="11EDEC0C" w14:textId="77777777" w:rsidR="001C0361" w:rsidRPr="00B2221E" w:rsidRDefault="001C0361" w:rsidP="001C03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O aspecto repugnante geralmente está associado a condições inadequadas no pré-abate, como manejo incorreto, estresse e falhas no jejum, que favorecem alterações visuais e odor desagradável na carcaça (Oliveira et al., 2016). A caquexia está relacionada a estados crônicos </w:t>
      </w:r>
      <w:r w:rsidRPr="00B2221E">
        <w:rPr>
          <w:rFonts w:ascii="Times New Roman" w:eastAsia="Helvetica Neue" w:hAnsi="Times New Roman" w:cs="Times New Roman"/>
          <w:color w:val="000000"/>
          <w:sz w:val="24"/>
          <w:szCs w:val="24"/>
        </w:rPr>
        <w:lastRenderedPageBreak/>
        <w:t>de debilidade, frequentemente decorrentes de doenças infecciosas, parasitárias ou falhas nutricionais, refletindo diretamente no estado corporal do animal. Já a síndrome ascítica é um distúrbio metabólico comum em frangos de rápido crescimento, associado principalmente à hipóxia, manejo intensivo e condições ambientais inadequadas, como ventilação deficiente (Backes; Matos, 2023; Oliveira et al., 2016).</w:t>
      </w:r>
    </w:p>
    <w:p w14:paraId="6F855383" w14:textId="77777777" w:rsidR="001C0361" w:rsidRPr="00B2221E" w:rsidRDefault="001C0361" w:rsidP="001C03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Helvetica Neue" w:hAnsi="Times New Roman" w:cs="Times New Roman"/>
          <w:color w:val="000000"/>
          <w:sz w:val="24"/>
          <w:szCs w:val="24"/>
        </w:rPr>
        <w:t>As falhas tecnológicas, como erros na evisceração, escaldagem e depenagem, também contribuem significativamente para as condenações, sendo responsáveis pela maior porcentagem observada no estudo. Esse resultado evidencia a importância do controle rigoroso das etapas do processamento industrial, uma vez que pequenas falhas operacionais podem comprometer grandes volumes de produção (Oliveira et al., 2016).</w:t>
      </w:r>
    </w:p>
    <w:p w14:paraId="5B15EA20" w14:textId="77777777" w:rsidR="00420122" w:rsidRPr="00B2221E" w:rsidRDefault="00420122" w:rsidP="0042012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178BED9" w14:textId="7572F47C" w:rsidR="00F53296" w:rsidRPr="00B2221E" w:rsidRDefault="00000000" w:rsidP="0042012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Helvetica Neue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Conclusão</w:t>
      </w:r>
      <w:r w:rsidRPr="00B2221E">
        <w:rPr>
          <w:rFonts w:ascii="Times New Roman" w:eastAsia="Helvetica Neue" w:hAnsi="Times New Roman" w:cs="Times New Roman"/>
          <w:color w:val="000000"/>
          <w:sz w:val="24"/>
          <w:szCs w:val="24"/>
        </w:rPr>
        <w:t xml:space="preserve">: </w:t>
      </w:r>
      <w:r w:rsidR="00A468C3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Conclui-se que as condenações totais de carcaças estão associadas a falhas no manejo, sanidade e processamento industrial. As principais causas: </w:t>
      </w:r>
      <w:r w:rsidR="00EB4F1E" w:rsidRPr="00B2221E">
        <w:rPr>
          <w:rFonts w:ascii="Times New Roman" w:eastAsia="Helvetica Neue" w:hAnsi="Times New Roman" w:cs="Times New Roman"/>
          <w:color w:val="000000"/>
          <w:sz w:val="24"/>
          <w:szCs w:val="24"/>
        </w:rPr>
        <w:t>falha tecnológica, síndrome ascítica, caquexia e aspecto repugnante (post mortem)</w:t>
      </w:r>
      <w:r w:rsidR="00A468C3"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, evidenciam a necessidade de melhorias ao longo da cadeia produtiva para reduzir perdas e garantir a qualidade do produto.</w:t>
      </w:r>
    </w:p>
    <w:p w14:paraId="6E307C8E" w14:textId="77777777" w:rsidR="00EC603D" w:rsidRPr="00B2221E" w:rsidRDefault="00EC60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A6408FB" w14:textId="61B10B50" w:rsidR="00544A4D" w:rsidRPr="00B2221E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</w:p>
    <w:p w14:paraId="5E570C13" w14:textId="77777777" w:rsidR="00170130" w:rsidRPr="00B2221E" w:rsidRDefault="00170130" w:rsidP="001701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BACKES, I. L.; MATOS, M. R. Causas de condenação em aves nos frigoríficos: revisão de literatura. </w:t>
      </w:r>
      <w:r w:rsidRPr="00B22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Revista Ibero-Americana de Humanidades, Ciências e Educação</w:t>
      </w: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v. 9, n. 5, p. 1–12, 2023. Disponível em: </w:t>
      </w:r>
      <w:hyperlink r:id="rId9" w:history="1">
        <w:r w:rsidRPr="00B2221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https://periodicorease.pro.br/rease/article/view/15693</w:t>
        </w:r>
      </w:hyperlink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. Acesso em: 7 abr. 2026.</w:t>
      </w:r>
    </w:p>
    <w:p w14:paraId="4C77279E" w14:textId="77777777" w:rsidR="00170130" w:rsidRPr="00B2221E" w:rsidRDefault="00170130" w:rsidP="001701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BRASIL. Ministério da Agricultura, Pecuária e Abastecimento. Sistema de Informações Gerenciais do Serviço de Inspeção Federal (SIGSIF). Disponível em: </w:t>
      </w:r>
      <w:hyperlink r:id="rId10" w:history="1">
        <w:r w:rsidRPr="00B2221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https://sistemas.agricultura.gov.br/pga_sigsif/pages/view/sigsif/condenacaoanimal/</w:t>
        </w:r>
      </w:hyperlink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. Acesso em: 21 mar. 2026.</w:t>
      </w:r>
    </w:p>
    <w:p w14:paraId="1237B5C3" w14:textId="77777777" w:rsidR="00170130" w:rsidRPr="00B2221E" w:rsidRDefault="00170130" w:rsidP="001701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OLIVEIRA, A. A.; COSTA, F. A. L.; ABREU, D. L. C.; MARTINS, N. R. S.; ELIAS, W. T.; RESENDE, M. Principais causas de condenação ao abate de aves em matadouros-frigoríficos registrados no Serviço de Inspeção Federal entre 2006 e 2011. </w:t>
      </w:r>
      <w:r w:rsidRPr="00B222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Ciência Animal Brasileira</w:t>
      </w:r>
      <w:r w:rsidRPr="00B2221E">
        <w:rPr>
          <w:rFonts w:ascii="Times New Roman" w:eastAsia="Times New Roman" w:hAnsi="Times New Roman" w:cs="Times New Roman"/>
          <w:color w:val="000000"/>
          <w:sz w:val="24"/>
          <w:szCs w:val="24"/>
        </w:rPr>
        <w:t>, Goiânia, v. 17, n. 1, p. 79–89, 2016.</w:t>
      </w:r>
    </w:p>
    <w:p w14:paraId="11982205" w14:textId="7E31FA2A" w:rsidR="00551679" w:rsidRPr="00B2221E" w:rsidRDefault="00551679" w:rsidP="001701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51679" w:rsidRPr="00B2221E">
      <w:headerReference w:type="default" r:id="rId11"/>
      <w:footerReference w:type="default" r:id="rId12"/>
      <w:pgSz w:w="11906" w:h="16838"/>
      <w:pgMar w:top="2159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D5609" w14:textId="77777777" w:rsidR="00B24DAE" w:rsidRDefault="00B24DAE">
      <w:pPr>
        <w:spacing w:after="0" w:line="240" w:lineRule="auto"/>
      </w:pPr>
      <w:r>
        <w:separator/>
      </w:r>
    </w:p>
  </w:endnote>
  <w:endnote w:type="continuationSeparator" w:id="0">
    <w:p w14:paraId="69C6002D" w14:textId="77777777" w:rsidR="00B24DAE" w:rsidRDefault="00B24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5B524B-25B5-47AE-9F96-0F167FEBE2D2}"/>
    <w:embedBold r:id="rId2" w:fontKey="{090F91A5-036A-4BD8-9349-40A54FDFA3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68BA73F-79D4-47B7-AADD-62854275A99E}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AED00E-8046-4D11-B2CC-F9FC3E9ED3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5A9E3" w14:textId="77777777" w:rsidR="00F532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A54E2">
      <w:rPr>
        <w:noProof/>
        <w:color w:val="000000"/>
      </w:rPr>
      <w:t>1</w:t>
    </w:r>
    <w:r>
      <w:rPr>
        <w:color w:val="000000"/>
      </w:rPr>
      <w:fldChar w:fldCharType="end"/>
    </w:r>
  </w:p>
  <w:p w14:paraId="783313F2" w14:textId="77777777" w:rsidR="00F53296" w:rsidRDefault="00F532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2F142" w14:textId="77777777" w:rsidR="00B24DAE" w:rsidRDefault="00B24DAE">
      <w:pPr>
        <w:spacing w:after="0" w:line="240" w:lineRule="auto"/>
      </w:pPr>
      <w:r>
        <w:separator/>
      </w:r>
    </w:p>
  </w:footnote>
  <w:footnote w:type="continuationSeparator" w:id="0">
    <w:p w14:paraId="1D8547EE" w14:textId="77777777" w:rsidR="00B24DAE" w:rsidRDefault="00B24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06406" w14:textId="77777777" w:rsidR="00F532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8AC3BB8" wp14:editId="427BC5F4">
          <wp:simplePos x="0" y="0"/>
          <wp:positionH relativeFrom="column">
            <wp:posOffset>-30479</wp:posOffset>
          </wp:positionH>
          <wp:positionV relativeFrom="paragraph">
            <wp:posOffset>-417829</wp:posOffset>
          </wp:positionV>
          <wp:extent cx="5930900" cy="148272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30900" cy="1482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5A3ECE" w14:textId="77777777" w:rsidR="00F53296" w:rsidRDefault="00F532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28282BCB" w14:textId="77777777" w:rsidR="00F532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A54E2">
      <w:rPr>
        <w:noProof/>
        <w:color w:val="000000"/>
      </w:rPr>
      <w:t>1</w:t>
    </w:r>
    <w:r>
      <w:rPr>
        <w:color w:val="000000"/>
      </w:rPr>
      <w:fldChar w:fldCharType="end"/>
    </w:r>
  </w:p>
  <w:p w14:paraId="2824E51D" w14:textId="77777777" w:rsidR="00F53296" w:rsidRDefault="00F532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296"/>
    <w:rsid w:val="00056B38"/>
    <w:rsid w:val="00092323"/>
    <w:rsid w:val="000960E8"/>
    <w:rsid w:val="00127871"/>
    <w:rsid w:val="00170130"/>
    <w:rsid w:val="00175740"/>
    <w:rsid w:val="001C0361"/>
    <w:rsid w:val="001D4604"/>
    <w:rsid w:val="001F377C"/>
    <w:rsid w:val="001F5462"/>
    <w:rsid w:val="00250047"/>
    <w:rsid w:val="00270DDE"/>
    <w:rsid w:val="002953E1"/>
    <w:rsid w:val="00295668"/>
    <w:rsid w:val="002A5B02"/>
    <w:rsid w:val="00302B62"/>
    <w:rsid w:val="00326269"/>
    <w:rsid w:val="003959E9"/>
    <w:rsid w:val="00420122"/>
    <w:rsid w:val="00475C71"/>
    <w:rsid w:val="004A5751"/>
    <w:rsid w:val="00544A4D"/>
    <w:rsid w:val="00551679"/>
    <w:rsid w:val="005D21FB"/>
    <w:rsid w:val="005E70DC"/>
    <w:rsid w:val="005F3095"/>
    <w:rsid w:val="0069149C"/>
    <w:rsid w:val="006A54E2"/>
    <w:rsid w:val="006C3045"/>
    <w:rsid w:val="007054AA"/>
    <w:rsid w:val="00722797"/>
    <w:rsid w:val="007274A3"/>
    <w:rsid w:val="007E06A5"/>
    <w:rsid w:val="00806723"/>
    <w:rsid w:val="00861EC1"/>
    <w:rsid w:val="009330CD"/>
    <w:rsid w:val="00980A37"/>
    <w:rsid w:val="00995C06"/>
    <w:rsid w:val="009F5C17"/>
    <w:rsid w:val="00A468C3"/>
    <w:rsid w:val="00A93E58"/>
    <w:rsid w:val="00B2221E"/>
    <w:rsid w:val="00B24DAE"/>
    <w:rsid w:val="00B83867"/>
    <w:rsid w:val="00C27678"/>
    <w:rsid w:val="00C937E5"/>
    <w:rsid w:val="00CB4B38"/>
    <w:rsid w:val="00D15F07"/>
    <w:rsid w:val="00D259D7"/>
    <w:rsid w:val="00D570F3"/>
    <w:rsid w:val="00D76DB1"/>
    <w:rsid w:val="00DB7211"/>
    <w:rsid w:val="00DB7D69"/>
    <w:rsid w:val="00DE52F2"/>
    <w:rsid w:val="00E20041"/>
    <w:rsid w:val="00EB4F1E"/>
    <w:rsid w:val="00EB676A"/>
    <w:rsid w:val="00EC603D"/>
    <w:rsid w:val="00F11307"/>
    <w:rsid w:val="00F50801"/>
    <w:rsid w:val="00F53296"/>
    <w:rsid w:val="00F53C90"/>
    <w:rsid w:val="00F633D6"/>
    <w:rsid w:val="00FA2741"/>
    <w:rsid w:val="00FE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147FB"/>
  <w15:docId w15:val="{E3A87E55-EB8D-43A9-85CE-E463700B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56B3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468C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468C3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2953E1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9F5C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5C1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F5C1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5C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F5C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ia.oliveira.10@academico.ifpb.edu.b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istemas.agricultura.gov.br/pga_sigsif/pages/view/sigsif/condenacaoanim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riodicorease.pro.br/rease/article/view/15693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479C5-3631-4E32-B6C1-4D66A728B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3</Pages>
  <Words>1011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Souza</cp:lastModifiedBy>
  <cp:revision>17</cp:revision>
  <dcterms:created xsi:type="dcterms:W3CDTF">2026-03-21T19:03:00Z</dcterms:created>
  <dcterms:modified xsi:type="dcterms:W3CDTF">2026-05-08T02:06:00Z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f22912d0-74c8-4732-9db6-4cb30cd245a3</vt:lpwstr>
  </property>
</Properties>
</file>