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oter2.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header3.xml.rels" ContentType="application/vnd.openxmlformats-package.relationships+xml"/>
  <Override PartName="/word/_rels/fontTable.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media/image1.png" ContentType="image/png"/>
  <Override PartName="/word/media/image2.png" ContentType="image/png"/>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before="100" w:after="100"/>
        <w:jc w:val="center"/>
        <w:rPr>
          <w:rFonts w:ascii="Times New Roman" w:hAnsi="Times New Roman" w:eastAsia="Times New Roman" w:cs="Times New Roman"/>
          <w:b/>
          <w:bCs/>
          <w:color w:val="000000"/>
          <w:sz w:val="24"/>
          <w:szCs w:val="24"/>
          <w:u w:val="single"/>
        </w:rPr>
      </w:pPr>
      <w:r>
        <w:rPr>
          <w:rFonts w:eastAsia="Times New Roman" w:cs="Times New Roman" w:ascii="Times New Roman" w:hAnsi="Times New Roman"/>
          <w:b/>
          <w:bCs/>
          <w:color w:val="000000"/>
          <w:sz w:val="24"/>
          <w:szCs w:val="24"/>
          <w:u w:val="single"/>
        </w:rPr>
      </w:r>
    </w:p>
    <w:p>
      <w:pPr>
        <w:pStyle w:val="normal1"/>
        <w:spacing w:lineRule="auto" w:line="360" w:before="100" w:after="100"/>
        <w:jc w:val="center"/>
        <w:rPr/>
      </w:pPr>
      <w:r>
        <w:rPr>
          <w:rFonts w:eastAsia="Times New Roman" w:cs="Times New Roman" w:ascii="Times New Roman" w:hAnsi="Times New Roman"/>
          <w:b/>
          <w:bCs/>
          <w:color w:themeColor="text1" w:val="000000"/>
          <w:sz w:val="24"/>
          <w:szCs w:val="24"/>
        </w:rPr>
        <w:t xml:space="preserve">PERFIL DA IMUNIZAÇÃO COM TRÍPLICE VIRAL EM MENORES DE 1 ANO, BELÉM E ANANINDEUA, 2019-2022 </w:t>
      </w:r>
    </w:p>
    <w:p>
      <w:pPr>
        <w:pStyle w:val="normal1"/>
        <w:spacing w:before="100" w:after="100"/>
        <w:jc w:val="center"/>
        <w:rPr>
          <w:rFonts w:ascii="Times New Roman" w:hAnsi="Times New Roman" w:eastAsia="Times New Roman" w:cs="Times New Roman"/>
          <w:b/>
          <w:bCs/>
          <w:color w:themeColor="text1" w:val="000000"/>
          <w:sz w:val="24"/>
          <w:szCs w:val="24"/>
        </w:rPr>
      </w:pPr>
      <w:r>
        <w:rPr>
          <w:rFonts w:eastAsia="Times New Roman" w:cs="Times New Roman" w:ascii="Times New Roman" w:hAnsi="Times New Roman"/>
          <w:b/>
          <w:bCs/>
          <w:color w:themeColor="text1" w:val="000000"/>
          <w:sz w:val="24"/>
          <w:szCs w:val="24"/>
        </w:rPr>
      </w:r>
    </w:p>
    <w:p>
      <w:pPr>
        <w:pStyle w:val="normal1"/>
        <w:spacing w:lineRule="auto" w:line="240" w:before="100" w:after="100"/>
        <w:jc w:val="both"/>
        <w:rPr/>
      </w:pPr>
      <w:r>
        <w:rPr>
          <w:rFonts w:eastAsia="Times New Roman" w:cs="Times New Roman" w:ascii="Times New Roman" w:hAnsi="Times New Roman"/>
          <w:b/>
          <w:bCs/>
          <w:color w:themeColor="text1" w:val="000000"/>
          <w:sz w:val="24"/>
          <w:szCs w:val="24"/>
        </w:rPr>
        <w:t>INTRODUÇÃO</w:t>
      </w:r>
      <w:r>
        <w:rPr>
          <w:rFonts w:eastAsia="Times New Roman" w:cs="Times New Roman" w:ascii="Times New Roman" w:hAnsi="Times New Roman"/>
          <w:color w:themeColor="text1" w:val="000000"/>
          <w:sz w:val="24"/>
          <w:szCs w:val="24"/>
        </w:rPr>
        <w:t xml:space="preserve">: A imunização constitui uma das estratégias mais eficazes de saúde pública para prevenção de doenças transmissíveis, especialmente na infância, período de maior vulnerabilidade imunológica. Nesse contexto, a vacina tríplice viral desempenha papel fundamental na prevenção do sarampo, caxumba e rubéola, contribuindo para a redução da morbimortalidade infantil e o controle de surtos epidemiológicos. Entretanto, estudos apontam redução significativa da cobertura vacinal nos últimos anos, associada ao aumento das taxas de abandono do esquema vacinal e ao risco de reemergência de doenças imunopreveníveis no Brasil </w:t>
      </w:r>
      <w:hyperlink w:anchor="Moura">
        <w:r>
          <w:rPr>
            <w:rStyle w:val="Hyperlink"/>
            <w:rFonts w:eastAsia="Times New Roman" w:cs="Times New Roman" w:ascii="Times New Roman" w:hAnsi="Times New Roman"/>
            <w:sz w:val="24"/>
            <w:szCs w:val="24"/>
          </w:rPr>
          <w:t>(1)</w:t>
        </w:r>
      </w:hyperlink>
      <w:r>
        <w:rPr>
          <w:rFonts w:eastAsia="Times New Roman" w:cs="Times New Roman" w:ascii="Times New Roman" w:hAnsi="Times New Roman"/>
          <w:color w:themeColor="text1" w:val="000000"/>
          <w:sz w:val="24"/>
          <w:szCs w:val="24"/>
        </w:rPr>
        <w:t xml:space="preserve">. No estado do Pará, a diminuição da cobertura vacinal da tríplice viral tem sido acompanhada pelo ressurgimento do sarampo, evidenciando fragilidades no alcance das metas preconizadas pelo Programa Nacional de Imunizações. Além disso, fatores como desigualdades regionais, limitações estruturais dos serviços de saúde e dificuldades de acesso à vacinação reforçam a necessidade de análises em nível local </w:t>
      </w:r>
      <w:hyperlink w:anchor="Souza">
        <w:r>
          <w:rPr>
            <w:rStyle w:val="Hyperlink"/>
            <w:rFonts w:eastAsia="Times New Roman" w:cs="Times New Roman" w:ascii="Times New Roman" w:hAnsi="Times New Roman"/>
            <w:sz w:val="24"/>
            <w:szCs w:val="24"/>
          </w:rPr>
          <w:t>(2,3)</w:t>
        </w:r>
      </w:hyperlink>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b/>
          <w:bCs/>
          <w:color w:themeColor="text1" w:val="000000"/>
          <w:sz w:val="24"/>
          <w:szCs w:val="24"/>
        </w:rPr>
        <w:t>OBJETIVO:</w:t>
      </w:r>
      <w:r>
        <w:rPr>
          <w:rFonts w:eastAsia="Times New Roman" w:cs="Times New Roman" w:ascii="Times New Roman" w:hAnsi="Times New Roman"/>
          <w:color w:themeColor="text1" w:val="000000"/>
          <w:sz w:val="24"/>
          <w:szCs w:val="24"/>
        </w:rPr>
        <w:t xml:space="preserve"> Analisar o perfil e a variação temporal da imunização com a vacina tríplice viral em crianças menores de 1 ano nos municípios de Belém e Ananindeua, entre 2019 e 2022, a partir dos registros de doses administradas, com o intuito de identificar possíveis oscilações e padrões no período estudado. </w:t>
      </w:r>
      <w:r>
        <w:rPr>
          <w:rFonts w:eastAsia="Times New Roman" w:cs="Times New Roman" w:ascii="Times New Roman" w:hAnsi="Times New Roman"/>
          <w:b/>
          <w:bCs/>
          <w:color w:themeColor="text1" w:val="000000"/>
          <w:sz w:val="24"/>
          <w:szCs w:val="24"/>
        </w:rPr>
        <w:t xml:space="preserve">MÉTODO: </w:t>
      </w:r>
      <w:r>
        <w:rPr>
          <w:rFonts w:eastAsia="Times New Roman" w:cs="Times New Roman" w:ascii="Times New Roman" w:hAnsi="Times New Roman"/>
          <w:b w:val="false"/>
          <w:bCs w:val="false"/>
          <w:color w:themeColor="text1" w:val="000000"/>
          <w:sz w:val="24"/>
          <w:szCs w:val="24"/>
        </w:rPr>
        <w:t>O presente estudo caracteriza-se como um estudo epidemiológico ecológico, de abordagem quantitativa, descritiva e analítica, realizado a partir de dados secundários de domínio público. Os dados foram obtidos no Departamento de Informática do Sistema Único de Saúde (DATASUS), por meio da plataforma TabNet, utilizando o banco de dados “Imunizações desde 1994”</w:t>
      </w:r>
      <w:r>
        <w:rPr>
          <w:rFonts w:eastAsia="Times New Roman" w:cs="Times New Roman" w:ascii="Times New Roman" w:hAnsi="Times New Roman"/>
          <w:b/>
          <w:bCs/>
          <w:color w:themeColor="text1" w:val="000000"/>
          <w:sz w:val="24"/>
          <w:szCs w:val="24"/>
        </w:rPr>
        <w:t xml:space="preserve">. </w:t>
      </w:r>
      <w:r>
        <w:rPr>
          <w:rFonts w:eastAsia="Times New Roman" w:cs="Times New Roman" w:ascii="Times New Roman" w:hAnsi="Times New Roman"/>
          <w:b w:val="false"/>
          <w:bCs w:val="false"/>
          <w:color w:themeColor="text1" w:val="000000"/>
          <w:sz w:val="24"/>
          <w:szCs w:val="24"/>
        </w:rPr>
        <w:t>A coleta considerou a variável “doses administradas” da vacina tríplice viral em crianças menores de 1 ano, segundo município de residência, nos municípios de Belém e Ananindeua, no período de 2019 a 2022. Os resultados foram organizados em tabelas e gráficos para melhor visualização e análise dos dados.</w:t>
      </w:r>
      <w:r>
        <w:rPr>
          <w:rFonts w:eastAsia="Times New Roman" w:cs="Times New Roman" w:ascii="Times New Roman" w:hAnsi="Times New Roman"/>
          <w:b/>
          <w:bCs/>
          <w:color w:themeColor="text1" w:val="000000"/>
          <w:sz w:val="24"/>
          <w:szCs w:val="24"/>
        </w:rPr>
        <w:t xml:space="preserve"> </w:t>
      </w:r>
      <w:r>
        <w:rPr>
          <w:rFonts w:eastAsia="Times New Roman" w:cs="Times New Roman" w:ascii="Times New Roman" w:hAnsi="Times New Roman"/>
          <w:b w:val="false"/>
          <w:bCs w:val="false"/>
          <w:color w:themeColor="text1" w:val="000000"/>
          <w:sz w:val="24"/>
          <w:szCs w:val="24"/>
        </w:rPr>
        <w:t xml:space="preserve">Por se tratar de pesquisa com dados secundários, públicos e sem identificação individual, não houve necessidade de submissão ao Comitê de Ética em Pesquisa, conforme as normas éticas vigentes. </w:t>
      </w:r>
      <w:r>
        <w:rPr>
          <w:rFonts w:eastAsia="Times New Roman" w:cs="Times New Roman" w:ascii="Times New Roman" w:hAnsi="Times New Roman"/>
          <w:b/>
          <w:bCs/>
          <w:color w:themeColor="text1" w:val="000000"/>
          <w:sz w:val="24"/>
          <w:szCs w:val="24"/>
        </w:rPr>
        <w:t>RESULTADOS E DISCUSSÃO:</w:t>
      </w:r>
      <w:r>
        <w:rPr>
          <w:rFonts w:eastAsia="Times New Roman" w:cs="Times New Roman" w:ascii="Times New Roman" w:hAnsi="Times New Roman"/>
          <w:color w:themeColor="text1" w:val="000000"/>
          <w:sz w:val="24"/>
          <w:szCs w:val="24"/>
        </w:rPr>
        <w:t> Durante o período de 2019 a 2022, observou-se variação significativa no número de doses administradas da vacina tríplice viral em crianças menores de 1 ano nos municípios de Belém e Ananindeua. Em Belém, foram registradas 9.780 doses em 2019, com redução para 7.454 em 2020, 6.077 em 2021 e 4.454 em 2022, evidenciando tendência contínua de queda ao longo do período analisado. Em Ananindeua, foram contabilizadas 2.128 doses em 2019, 1.863 em 2020, com redução acentuada para 451 em 2021, seguida de discreta elevação para 692 doses em 2022. Os achados demonstram importante diminuição da imunização infantil no período analisado, especialmente durante os anos relacionados à pandemia da C</w:t>
      </w:r>
      <w:r>
        <w:rPr>
          <w:rFonts w:eastAsia="Times New Roman" w:cs="Times New Roman" w:ascii="Times New Roman" w:hAnsi="Times New Roman"/>
          <w:color w:themeColor="text1" w:val="000000"/>
          <w:sz w:val="24"/>
          <w:szCs w:val="24"/>
        </w:rPr>
        <w:t>OVID</w:t>
      </w:r>
      <w:r>
        <w:rPr>
          <w:rFonts w:eastAsia="Times New Roman" w:cs="Times New Roman" w:ascii="Times New Roman" w:hAnsi="Times New Roman"/>
          <w:color w:themeColor="text1" w:val="000000"/>
          <w:sz w:val="24"/>
          <w:szCs w:val="24"/>
        </w:rPr>
        <w:t xml:space="preserve">-19. Ademais, estudos apontam que as medidas de distanciamento social, a reorganização dos serviços de saúde e o receio da população em procurar atendimento presencial contribuíram significativamente para a redução da procura pela vacinação infantil no Brasil </w:t>
      </w:r>
      <w:hyperlink w:anchor="Cristovão">
        <w:r>
          <w:rPr>
            <w:rStyle w:val="Hyperlink"/>
          </w:rPr>
          <w:t>(4)</w:t>
        </w:r>
      </w:hyperlink>
      <w:r>
        <w:rPr/>
        <w:t xml:space="preserve">. </w:t>
      </w:r>
      <w:r>
        <w:rPr>
          <w:rFonts w:ascii="Times New Roman" w:hAnsi="Times New Roman"/>
          <w:sz w:val="24"/>
          <w:szCs w:val="24"/>
        </w:rPr>
        <w:t>Além disso, observa-se que as diferenças entre os municípios podem estar relacionadas às desigualdades estruturais e à organização dos serviços de saúde, influenciando diretamente o acesso da população às ações de imunização. Embora Belém tenha apresentado maior número absoluto de doses administradas, ambos os municípios demonstraram tendência de queda, reforçando a necessidade de fortalecimento das estratégias de vacinação e busca ativa de crianças com esquema vacinal incompleto.</w:t>
      </w:r>
      <w:r>
        <w:rPr>
          <w:rFonts w:eastAsia="Times New Roman" w:cs="Times New Roman" w:ascii="Times New Roman" w:hAnsi="Times New Roman"/>
          <w:b/>
          <w:bCs/>
          <w:color w:themeColor="text1" w:val="000000"/>
          <w:sz w:val="24"/>
          <w:szCs w:val="24"/>
        </w:rPr>
        <w:t xml:space="preserve"> CONSIDERAÇÕES FINAIS: </w:t>
      </w:r>
      <w:r>
        <w:rPr>
          <w:rFonts w:eastAsia="Times New Roman" w:cs="Times New Roman" w:ascii="Times New Roman" w:hAnsi="Times New Roman"/>
          <w:b w:val="false"/>
          <w:bCs w:val="false"/>
          <w:color w:themeColor="text1" w:val="000000"/>
          <w:sz w:val="24"/>
          <w:szCs w:val="24"/>
        </w:rPr>
        <w:t>Conclui-se que houve redução expressiva no número de doses administradas da vacina tríplice viral em crianças menores de 1 ano nos municípios de Belém e Ananindeua entre 2019 e 2022, especialmente durante o período da pandemia da C</w:t>
      </w:r>
      <w:r>
        <w:rPr>
          <w:rFonts w:eastAsia="Times New Roman" w:cs="Times New Roman" w:ascii="Times New Roman" w:hAnsi="Times New Roman"/>
          <w:b w:val="false"/>
          <w:bCs w:val="false"/>
          <w:color w:themeColor="text1" w:val="000000"/>
          <w:sz w:val="24"/>
          <w:szCs w:val="24"/>
        </w:rPr>
        <w:t>OVID</w:t>
      </w:r>
      <w:r>
        <w:rPr>
          <w:rFonts w:eastAsia="Times New Roman" w:cs="Times New Roman" w:ascii="Times New Roman" w:hAnsi="Times New Roman"/>
          <w:b w:val="false"/>
          <w:bCs w:val="false"/>
          <w:color w:themeColor="text1" w:val="000000"/>
          <w:sz w:val="24"/>
          <w:szCs w:val="24"/>
        </w:rPr>
        <w:t xml:space="preserve">-19. Esse cenário evidencia impactos negativos sobre os programas de imunização, comprometendo o alcance das metas vacinais e favorecendo o risco de reemergência de doenças imunopreveníveis, conforme observado em estudos nacionais sobre os efeitos da pandemia na cobertura vacinal brasileira </w:t>
      </w:r>
      <w:hyperlink w:anchor="Leite">
        <w:r>
          <w:rPr>
            <w:rStyle w:val="Hyperlink"/>
            <w:rFonts w:eastAsia="Times New Roman" w:cs="Times New Roman" w:ascii="Times New Roman" w:hAnsi="Times New Roman"/>
            <w:sz w:val="24"/>
            <w:szCs w:val="24"/>
          </w:rPr>
          <w:t>(5)</w:t>
        </w:r>
      </w:hyperlink>
      <w:r>
        <w:rPr>
          <w:rFonts w:eastAsia="Times New Roman" w:cs="Times New Roman" w:ascii="Times New Roman" w:hAnsi="Times New Roman"/>
          <w:color w:themeColor="text1" w:val="000000"/>
          <w:sz w:val="24"/>
          <w:szCs w:val="24"/>
        </w:rPr>
        <w:t xml:space="preserve">. Além disso, destaca-se que a redução das doses administradas pode estar relacionada não apenas às dificuldades de acesso aos serviços de saúde, mas também aos atrasos e abandono do esquema vacinal infantil. Dessa forma, reforça-se a necessidade de intensificação das estratégias de busca ativa, acompanhamento contínuo das crianças e fortalecimento da atenção primária à saúde, considerando que estudos recentes apontam o atraso vacinal e a perda de seguimento como importantes desafios para o controle de doenças imunopreveníveis no Brasil </w:t>
      </w:r>
      <w:hyperlink w:anchor="Agostini">
        <w:r>
          <w:rPr>
            <w:rStyle w:val="Hyperlink"/>
            <w:rFonts w:eastAsia="Times New Roman" w:cs="Times New Roman" w:ascii="Times New Roman" w:hAnsi="Times New Roman"/>
            <w:sz w:val="24"/>
            <w:szCs w:val="24"/>
          </w:rPr>
          <w:t>(6)</w:t>
        </w:r>
      </w:hyperlink>
      <w:r>
        <w:rPr>
          <w:rFonts w:eastAsia="Times New Roman" w:cs="Times New Roman" w:ascii="Times New Roman" w:hAnsi="Times New Roman"/>
          <w:color w:themeColor="text1" w:val="000000"/>
          <w:sz w:val="24"/>
          <w:szCs w:val="24"/>
        </w:rPr>
        <w:t xml:space="preserve">. </w:t>
      </w:r>
      <w:r>
        <w:rPr>
          <w:rFonts w:eastAsia="Times New Roman" w:cs="Times New Roman" w:ascii="Times New Roman" w:hAnsi="Times New Roman"/>
          <w:b/>
          <w:bCs/>
          <w:color w:themeColor="text1" w:val="000000"/>
          <w:sz w:val="24"/>
          <w:szCs w:val="24"/>
        </w:rPr>
        <w:t xml:space="preserve">CONTRIBUIÇÕES PARA A ENFERMAGEM: </w:t>
      </w:r>
      <w:r>
        <w:rPr>
          <w:rFonts w:eastAsia="Times New Roman" w:cs="Times New Roman" w:ascii="Times New Roman" w:hAnsi="Times New Roman"/>
          <w:b w:val="false"/>
          <w:bCs w:val="false"/>
          <w:color w:themeColor="text1" w:val="000000"/>
          <w:sz w:val="24"/>
          <w:szCs w:val="24"/>
        </w:rPr>
        <w:t>Os achados deste estudo contribuem para a enfermagem ao evidenciar a importância da atuação dos profissionais no acompanhamento da imunização infantil e na prevenção do abandono vacinal. Além disso, reforçam a necessidade de qualificação contínua da equipe de enfermagem quanto ao calendário vacinal, estratégias de busca ativa e educação em saúde, favorecendo a ampliação da cobertura vacinal e a melhoria da assistência prestada à população infantil. Nesse contexto, estudos apontam que instrumentos de avaliação do conhecimento dos profissionais podem auxiliar na identificação de lacunas relacionadas à imunização, subsidiando ações educativas e fortalecendo a prática assistencial da enfermagem</w:t>
      </w:r>
      <w:r>
        <w:rPr>
          <w:rFonts w:eastAsia="Times New Roman" w:cs="Times New Roman" w:ascii="Times New Roman" w:hAnsi="Times New Roman"/>
          <w:b/>
          <w:bCs/>
          <w:color w:themeColor="text1" w:val="000000"/>
          <w:sz w:val="24"/>
          <w:szCs w:val="24"/>
        </w:rPr>
        <w:t xml:space="preserve"> </w:t>
      </w:r>
      <w:hyperlink w:anchor="Alves">
        <w:r>
          <w:rPr>
            <w:rStyle w:val="Hyperlink"/>
            <w:rFonts w:eastAsia="Times New Roman" w:cs="Times New Roman" w:ascii="Times New Roman" w:hAnsi="Times New Roman"/>
            <w:sz w:val="24"/>
            <w:szCs w:val="24"/>
          </w:rPr>
          <w:t>(7)</w:t>
        </w:r>
      </w:hyperlink>
      <w:r>
        <w:rPr>
          <w:rFonts w:eastAsia="Times New Roman" w:cs="Times New Roman" w:ascii="Times New Roman" w:hAnsi="Times New Roman"/>
          <w:color w:themeColor="text1" w:val="000000"/>
          <w:sz w:val="24"/>
          <w:szCs w:val="24"/>
        </w:rPr>
        <w:t xml:space="preserve">. </w:t>
      </w:r>
    </w:p>
    <w:p>
      <w:pPr>
        <w:pStyle w:val="normal1"/>
        <w:spacing w:before="100" w:after="100"/>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r>
    </w:p>
    <w:p>
      <w:pPr>
        <w:pStyle w:val="normal1"/>
        <w:spacing w:before="100" w:after="10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Descritores (DeCS – ID):</w:t>
      </w: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i/>
          <w:iCs/>
          <w:color w:val="000000"/>
          <w:sz w:val="24"/>
          <w:szCs w:val="24"/>
        </w:rPr>
        <w:t xml:space="preserve">Cobertura Vacinal </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color w:val="000000"/>
          <w:sz w:val="24"/>
          <w:szCs w:val="24"/>
        </w:rPr>
        <w:t xml:space="preserve">D000073887; Programas de Imunização </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color w:val="000000"/>
          <w:sz w:val="24"/>
          <w:szCs w:val="24"/>
        </w:rPr>
        <w:t xml:space="preserve">D017589; Brasil </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color w:val="000000"/>
          <w:sz w:val="24"/>
          <w:szCs w:val="24"/>
        </w:rPr>
        <w:t xml:space="preserve">D001938. </w:t>
      </w:r>
    </w:p>
    <w:p>
      <w:pPr>
        <w:pStyle w:val="normal1"/>
        <w:spacing w:before="100" w:after="100"/>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Modalidade: estudo original (X) relato de experiência (  ) revisão da literatura (  )</w:t>
      </w:r>
    </w:p>
    <w:p>
      <w:pPr>
        <w:pStyle w:val="normal1"/>
        <w:spacing w:before="100" w:after="100"/>
        <w:jc w:val="both"/>
        <w:rPr>
          <w:rFonts w:ascii="Times New Roman" w:hAnsi="Times New Roman" w:eastAsia="Times New Roman" w:cs="Times New Roman"/>
          <w:color w:val="000000"/>
          <w:sz w:val="24"/>
          <w:szCs w:val="24"/>
        </w:rPr>
      </w:pPr>
      <w:r>
        <w:rPr>
          <w:rFonts w:eastAsia="Times New Roman" w:cs="Times New Roman" w:ascii="Times New Roman" w:hAnsi="Times New Roman"/>
          <w:b/>
          <w:bCs/>
          <w:color w:val="000000"/>
          <w:sz w:val="24"/>
          <w:szCs w:val="24"/>
        </w:rPr>
        <w:t xml:space="preserve">Eixo Temático: Imunização/ Vacinas e Imunobiológicos </w:t>
      </w:r>
    </w:p>
    <w:p>
      <w:pPr>
        <w:pStyle w:val="normal1"/>
        <w:spacing w:before="100" w:after="10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1"/>
        <w:spacing w:before="100" w:after="100"/>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 xml:space="preserve">REFERÊNCIAS: </w:t>
      </w:r>
    </w:p>
    <w:p>
      <w:pPr>
        <w:pStyle w:val="BodyText"/>
        <w:numPr>
          <w:ilvl w:val="0"/>
          <w:numId w:val="1"/>
        </w:numPr>
        <w:spacing w:lineRule="auto" w:line="240" w:before="100" w:after="100"/>
        <w:rPr/>
      </w:pPr>
      <w:bookmarkStart w:id="0" w:name="Moura"/>
      <w:r>
        <w:rPr>
          <w:rFonts w:eastAsia="Times New Roman" w:cs="Times New Roman" w:ascii="Times New Roman" w:hAnsi="Times New Roman"/>
          <w:color w:val="000000"/>
          <w:sz w:val="24"/>
          <w:szCs w:val="24"/>
        </w:rPr>
        <w:t>Moura</w:t>
      </w:r>
      <w:bookmarkEnd w:id="0"/>
      <w:r>
        <w:rPr>
          <w:rFonts w:eastAsia="Times New Roman" w:cs="Times New Roman" w:ascii="Times New Roman" w:hAnsi="Times New Roman"/>
          <w:color w:val="000000"/>
          <w:sz w:val="24"/>
          <w:szCs w:val="24"/>
        </w:rPr>
        <w:t xml:space="preserve"> LL, Neto M, Souza-Santos R. Tendência temporal da taxa de abandono e da cobertura da vacina tríplice viral no Brasil, 2014-2021. Epidemiologia e Serviços de Saúde. 2023;32:e2023117.</w:t>
      </w:r>
    </w:p>
    <w:p>
      <w:pPr>
        <w:pStyle w:val="BodyText"/>
        <w:numPr>
          <w:ilvl w:val="0"/>
          <w:numId w:val="1"/>
        </w:numPr>
        <w:spacing w:lineRule="auto" w:line="240" w:before="100" w:after="100"/>
        <w:rPr>
          <w:rFonts w:ascii="Times New Roman" w:hAnsi="Times New Roman"/>
          <w:sz w:val="24"/>
          <w:szCs w:val="24"/>
        </w:rPr>
      </w:pPr>
      <w:bookmarkStart w:id="1" w:name="Souza"/>
      <w:r>
        <w:rPr>
          <w:rFonts w:ascii="Times New Roman" w:hAnsi="Times New Roman"/>
          <w:sz w:val="24"/>
          <w:szCs w:val="24"/>
          <w:lang w:val="pt-BR"/>
        </w:rPr>
        <w:t xml:space="preserve">De Souza </w:t>
      </w:r>
      <w:bookmarkEnd w:id="1"/>
      <w:r>
        <w:rPr>
          <w:rFonts w:ascii="Times New Roman" w:hAnsi="Times New Roman"/>
          <w:sz w:val="24"/>
          <w:szCs w:val="24"/>
          <w:lang w:val="pt-BR"/>
        </w:rPr>
        <w:t>MMM, Santo Sagica FE, De Moraes MM. Cobertura vacinal da tríplice viral no período de 2010 a 2022 em meio ao surto do sarampo no Estado do Pará, Brasil. Research, Society and Development. 2022;11(17):e108111739030.</w:t>
      </w:r>
    </w:p>
    <w:p>
      <w:pPr>
        <w:pStyle w:val="BodyText"/>
        <w:numPr>
          <w:ilvl w:val="0"/>
          <w:numId w:val="1"/>
        </w:numPr>
        <w:spacing w:lineRule="auto" w:line="240" w:before="100" w:after="100"/>
        <w:rPr>
          <w:rFonts w:ascii="Times New Roman" w:hAnsi="Times New Roman"/>
          <w:sz w:val="24"/>
          <w:szCs w:val="24"/>
        </w:rPr>
      </w:pPr>
      <w:bookmarkStart w:id="2" w:name="Palmieri"/>
      <w:r>
        <w:rPr>
          <w:rFonts w:ascii="Times New Roman" w:hAnsi="Times New Roman"/>
          <w:sz w:val="24"/>
          <w:szCs w:val="24"/>
        </w:rPr>
        <w:t>Palmieri</w:t>
      </w:r>
      <w:bookmarkEnd w:id="2"/>
      <w:r>
        <w:rPr>
          <w:rFonts w:ascii="Times New Roman" w:hAnsi="Times New Roman"/>
          <w:sz w:val="24"/>
          <w:szCs w:val="24"/>
        </w:rPr>
        <w:t xml:space="preserve"> IGS, et al. Cobertura vacinal da tríplice viral e poliomielite no Brasil, 2011-2021: tendência temporal e dependência espacial. Revista Brasileira de Epidemiologia. 2023;26:e230047.</w:t>
      </w:r>
    </w:p>
    <w:p>
      <w:pPr>
        <w:pStyle w:val="BodyText"/>
        <w:numPr>
          <w:ilvl w:val="0"/>
          <w:numId w:val="1"/>
        </w:numPr>
        <w:spacing w:lineRule="auto" w:line="240" w:before="100" w:after="100"/>
        <w:rPr>
          <w:rFonts w:ascii="Times New Roman" w:hAnsi="Times New Roman"/>
          <w:sz w:val="24"/>
          <w:szCs w:val="24"/>
          <w:lang w:val="pt-BR"/>
        </w:rPr>
      </w:pPr>
      <w:r>
        <w:rPr>
          <w:rFonts w:ascii="Times New Roman" w:hAnsi="Times New Roman"/>
          <w:sz w:val="24"/>
          <w:szCs w:val="24"/>
        </w:rPr>
        <w:t xml:space="preserve">De Souza Santos L, </w:t>
      </w:r>
      <w:bookmarkStart w:id="3" w:name="Cristovão"/>
      <w:r>
        <w:rPr>
          <w:rFonts w:ascii="Times New Roman" w:hAnsi="Times New Roman"/>
          <w:sz w:val="24"/>
          <w:szCs w:val="24"/>
        </w:rPr>
        <w:t>Cristovão</w:t>
      </w:r>
      <w:bookmarkEnd w:id="3"/>
      <w:r>
        <w:rPr>
          <w:rFonts w:ascii="Times New Roman" w:hAnsi="Times New Roman"/>
          <w:sz w:val="24"/>
          <w:szCs w:val="24"/>
        </w:rPr>
        <w:t xml:space="preserve"> LR, Dionízio DL. O efeito da pandemia de COVID-19 na queda da adesão à vacinação da tríplice viral no Brasil. Revista Foco. 2024;17(12):e7106.</w:t>
      </w:r>
    </w:p>
    <w:p>
      <w:pPr>
        <w:pStyle w:val="BodyText"/>
        <w:numPr>
          <w:ilvl w:val="0"/>
          <w:numId w:val="1"/>
        </w:numPr>
        <w:spacing w:lineRule="auto" w:line="240" w:before="100" w:after="100"/>
        <w:rPr>
          <w:rFonts w:ascii="Times New Roman" w:hAnsi="Times New Roman"/>
          <w:sz w:val="24"/>
          <w:szCs w:val="24"/>
        </w:rPr>
      </w:pPr>
      <w:bookmarkStart w:id="4" w:name="Leite"/>
      <w:r>
        <w:rPr>
          <w:rFonts w:ascii="Times New Roman" w:hAnsi="Times New Roman"/>
          <w:sz w:val="24"/>
          <w:szCs w:val="24"/>
          <w:lang w:val="pt-BR"/>
        </w:rPr>
        <w:t>Leite</w:t>
      </w:r>
      <w:bookmarkEnd w:id="4"/>
      <w:r>
        <w:rPr>
          <w:rFonts w:ascii="Times New Roman" w:hAnsi="Times New Roman"/>
          <w:sz w:val="24"/>
          <w:szCs w:val="24"/>
          <w:lang w:val="pt-BR"/>
        </w:rPr>
        <w:t xml:space="preserve"> IS, et al. A evolução das coberturas vacinais brasileiras e os impactos provocados pela pandemia de COVID-19 nas metas de imunização. Research, Society and Development. 2022;11(11):e205111133041.</w:t>
      </w:r>
    </w:p>
    <w:p>
      <w:pPr>
        <w:pStyle w:val="BodyText"/>
        <w:numPr>
          <w:ilvl w:val="0"/>
          <w:numId w:val="1"/>
        </w:numPr>
        <w:spacing w:lineRule="auto" w:line="240" w:before="100" w:after="100"/>
        <w:rPr>
          <w:rFonts w:ascii="Times New Roman" w:hAnsi="Times New Roman"/>
          <w:sz w:val="24"/>
          <w:szCs w:val="24"/>
        </w:rPr>
      </w:pPr>
      <w:r>
        <w:rPr>
          <w:rFonts w:ascii="Times New Roman" w:hAnsi="Times New Roman"/>
          <w:sz w:val="24"/>
          <w:szCs w:val="24"/>
        </w:rPr>
        <w:t>D’</w:t>
      </w:r>
      <w:bookmarkStart w:id="5" w:name="Agostini"/>
      <w:r>
        <w:rPr>
          <w:rFonts w:ascii="Times New Roman" w:hAnsi="Times New Roman"/>
          <w:sz w:val="24"/>
          <w:szCs w:val="24"/>
        </w:rPr>
        <w:t>Agostini</w:t>
      </w:r>
      <w:bookmarkEnd w:id="5"/>
      <w:r>
        <w:rPr>
          <w:rFonts w:ascii="Times New Roman" w:hAnsi="Times New Roman"/>
          <w:sz w:val="24"/>
          <w:szCs w:val="24"/>
        </w:rPr>
        <w:t xml:space="preserve"> TL, et al. Cobertura vacinal, atraso e perda de seguimento da vacina tríplice viral, em nascidos entre 2017 e 2018, em cidades brasileiras. Epidemiologia e Serviços de Saúde. 2025;33:e20231218.</w:t>
      </w:r>
    </w:p>
    <w:p>
      <w:pPr>
        <w:pStyle w:val="BodyText"/>
        <w:numPr>
          <w:ilvl w:val="0"/>
          <w:numId w:val="1"/>
        </w:numPr>
        <w:spacing w:lineRule="auto" w:line="240" w:before="100" w:after="100"/>
        <w:rPr>
          <w:rFonts w:ascii="Times New Roman" w:hAnsi="Times New Roman"/>
          <w:sz w:val="24"/>
          <w:szCs w:val="24"/>
        </w:rPr>
      </w:pPr>
      <w:bookmarkStart w:id="6" w:name="Alves"/>
      <w:bookmarkStart w:id="7" w:name="_GoBack"/>
      <w:bookmarkEnd w:id="7"/>
      <w:r>
        <w:rPr>
          <w:rFonts w:ascii="Times New Roman" w:hAnsi="Times New Roman"/>
          <w:sz w:val="24"/>
          <w:szCs w:val="24"/>
        </w:rPr>
        <w:t>Alves</w:t>
      </w:r>
      <w:bookmarkEnd w:id="6"/>
      <w:r>
        <w:rPr>
          <w:rFonts w:ascii="Times New Roman" w:hAnsi="Times New Roman"/>
          <w:sz w:val="24"/>
          <w:szCs w:val="24"/>
        </w:rPr>
        <w:t xml:space="preserve"> WS. Desenvolvimento de instrumento para avaliação do conhecimento de profissionais de enfermagem sobre imunização. Dissertação. 2025.</w:t>
      </w:r>
    </w:p>
    <w:p>
      <w:pPr>
        <w:pStyle w:val="normal1"/>
        <w:spacing w:before="100" w:after="10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___________________________________________________</w:t>
      </w:r>
    </w:p>
    <w:p>
      <w:pPr>
        <w:pStyle w:val="normal1"/>
        <w:spacing w:before="100" w:after="100"/>
        <w:jc w:val="both"/>
        <w:rPr>
          <w:rFonts w:ascii="Times New Roman" w:hAnsi="Times New Roman" w:eastAsia="Times New Roman" w:cs="Times New Roman"/>
          <w:color w:val="000000"/>
          <w:sz w:val="24"/>
          <w:szCs w:val="24"/>
          <w:vertAlign w:val="superscript"/>
          <w:lang w:val="en-US"/>
        </w:rPr>
      </w:pPr>
      <w:r>
        <w:rPr>
          <w:rFonts w:eastAsia="Times New Roman" w:cs="Times New Roman" w:ascii="Times New Roman" w:hAnsi="Times New Roman"/>
          <w:color w:val="000000"/>
          <w:sz w:val="24"/>
          <w:szCs w:val="24"/>
          <w:vertAlign w:val="superscript"/>
          <w:lang w:val="en-US"/>
        </w:rPr>
      </w:r>
    </w:p>
    <w:p>
      <w:pPr>
        <w:pStyle w:val="normal1"/>
        <w:widowControl/>
        <w:suppressAutoHyphens w:val="true"/>
        <w:bidi w:val="0"/>
        <w:spacing w:lineRule="auto" w:line="276" w:before="100" w:after="200"/>
        <w:jc w:val="left"/>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1701" w:gutter="0" w:header="708" w:top="1417" w:footer="708" w:bottom="1417"/>
      <w:pgNumType w:start="1"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ptos">
    <w:charset w:val="01"/>
    <w:family w:val="roman"/>
    <w:pitch w:val="variable"/>
  </w:font>
  <w:font w:name="Play">
    <w:charset w:val="01"/>
    <w:family w:val="swiss"/>
    <w:pitch w:val="variable"/>
  </w:font>
  <w:font w:name="Liberation Sans">
    <w:altName w:val="Arial"/>
    <w:charset w:val="01"/>
    <w:family w:val="roman"/>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Play">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0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rPr>
        <w:color w:val="000000"/>
      </w:rPr>
    </w:pPr>
    <w:r>
      <w:rPr/>
      <w:drawing>
        <wp:inline distT="0" distB="0" distL="0" distR="0">
          <wp:extent cx="5424805" cy="793750"/>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
                  <pic:cNvPicPr>
                    <a:picLocks noChangeAspect="1" noChangeArrowheads="1"/>
                  </pic:cNvPicPr>
                </pic:nvPicPr>
                <pic:blipFill>
                  <a:blip r:embed="rId1"/>
                  <a:srcRect l="0" t="86363" r="0" b="0"/>
                  <a:stretch>
                    <a:fillRect/>
                  </a:stretch>
                </pic:blipFill>
                <pic:spPr bwMode="auto">
                  <a:xfrm>
                    <a:off x="0" y="0"/>
                    <a:ext cx="5424805" cy="793750"/>
                  </a:xfrm>
                  <a:prstGeom prst="rect">
                    <a:avLst/>
                  </a:prstGeom>
                </pic:spPr>
              </pic:pic>
            </a:graphicData>
          </a:graphic>
        </wp:inline>
      </w:drawing>
    </w:r>
  </w:p>
  <w:p>
    <w:pPr>
      <w:pStyle w:val="normal1"/>
      <w:tabs>
        <w:tab w:val="clear" w:pos="720"/>
        <w:tab w:val="center" w:pos="4252" w:leader="none"/>
        <w:tab w:val="right" w:pos="8504" w:leader="none"/>
      </w:tabs>
      <w:spacing w:lineRule="auto" w:line="240" w:before="0" w:after="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rPr>
        <w:color w:val="000000"/>
      </w:rPr>
    </w:pPr>
    <w:r>
      <w:rPr/>
      <w:drawing>
        <wp:inline distT="0" distB="0" distL="0" distR="0">
          <wp:extent cx="5424805" cy="793750"/>
          <wp:effectExtent l="0" t="0" r="0" b="0"/>
          <wp:docPr id="4"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descr=""/>
                  <pic:cNvPicPr>
                    <a:picLocks noChangeAspect="1" noChangeArrowheads="1"/>
                  </pic:cNvPicPr>
                </pic:nvPicPr>
                <pic:blipFill>
                  <a:blip r:embed="rId1"/>
                  <a:srcRect l="0" t="86363" r="0" b="0"/>
                  <a:stretch>
                    <a:fillRect/>
                  </a:stretch>
                </pic:blipFill>
                <pic:spPr bwMode="auto">
                  <a:xfrm>
                    <a:off x="0" y="0"/>
                    <a:ext cx="5424805" cy="793750"/>
                  </a:xfrm>
                  <a:prstGeom prst="rect">
                    <a:avLst/>
                  </a:prstGeom>
                </pic:spPr>
              </pic:pic>
            </a:graphicData>
          </a:graphic>
        </wp:inline>
      </w:drawing>
    </w:r>
  </w:p>
  <w:p>
    <w:pPr>
      <w:pStyle w:val="normal1"/>
      <w:tabs>
        <w:tab w:val="clear" w:pos="720"/>
        <w:tab w:val="center" w:pos="4252" w:leader="none"/>
        <w:tab w:val="right" w:pos="8504" w:leader="none"/>
      </w:tabs>
      <w:spacing w:lineRule="auto" w:line="240" w:before="0" w:after="0"/>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0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rPr>
        <w:color w:val="000000"/>
      </w:rPr>
    </w:pPr>
    <w:r>
      <w:rPr/>
      <w:drawing>
        <wp:inline distT="0" distB="0" distL="0" distR="0">
          <wp:extent cx="5440045" cy="906145"/>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5440045" cy="906145"/>
                  </a:xfrm>
                  <a:prstGeom prst="rect">
                    <a:avLst/>
                  </a:prstGeom>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252" w:leader="none"/>
        <w:tab w:val="right" w:pos="8504" w:leader="none"/>
      </w:tabs>
      <w:spacing w:lineRule="auto" w:line="240" w:before="0" w:after="0"/>
      <w:rPr>
        <w:color w:val="000000"/>
      </w:rPr>
    </w:pPr>
    <w:r>
      <w:rPr/>
      <w:drawing>
        <wp:inline distT="0" distB="0" distL="0" distR="0">
          <wp:extent cx="5440045" cy="90614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tretch>
                    <a:fillRect/>
                  </a:stretch>
                </pic:blipFill>
                <pic:spPr bwMode="auto">
                  <a:xfrm>
                    <a:off x="0" y="0"/>
                    <a:ext cx="5440045" cy="90614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ptos"/>
        <w:lang w:val="en-US"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100" w:after="200"/>
      <w:jc w:val="left"/>
    </w:pPr>
    <w:rPr>
      <w:rFonts w:ascii="Aptos" w:hAnsi="Aptos" w:eastAsia="Aptos" w:cs="Aptos"/>
      <w:color w:val="auto"/>
      <w:kern w:val="0"/>
      <w:sz w:val="20"/>
      <w:szCs w:val="20"/>
      <w:lang w:val="en-US" w:eastAsia="zh-CN" w:bidi="hi-IN"/>
    </w:rPr>
  </w:style>
  <w:style w:type="paragraph" w:styleId="Heading1">
    <w:name w:val="Heading 1"/>
    <w:basedOn w:val="normal1"/>
    <w:next w:val="normal1"/>
    <w:uiPriority w:val="9"/>
    <w:qFormat/>
    <w:pPr>
      <w:keepNext w:val="true"/>
      <w:keepLines/>
      <w:spacing w:lineRule="auto" w:line="240" w:before="360" w:after="80"/>
      <w:outlineLvl w:val="0"/>
    </w:pPr>
    <w:rPr>
      <w:rFonts w:ascii="Play" w:hAnsi="Play" w:eastAsia="Play" w:cs="Play"/>
      <w:color w:val="0F4761"/>
      <w:sz w:val="40"/>
      <w:szCs w:val="40"/>
    </w:rPr>
  </w:style>
  <w:style w:type="paragraph" w:styleId="Heading2">
    <w:name w:val="Heading 2"/>
    <w:basedOn w:val="normal1"/>
    <w:next w:val="normal1"/>
    <w:uiPriority w:val="9"/>
    <w:semiHidden/>
    <w:unhideWhenUsed/>
    <w:qFormat/>
    <w:pPr>
      <w:keepNext w:val="true"/>
      <w:keepLines/>
      <w:spacing w:lineRule="auto" w:line="240" w:before="160" w:after="80"/>
      <w:outlineLvl w:val="1"/>
    </w:pPr>
    <w:rPr>
      <w:rFonts w:ascii="Play" w:hAnsi="Play" w:eastAsia="Play" w:cs="Play"/>
      <w:color w:val="0F4761"/>
      <w:sz w:val="32"/>
      <w:szCs w:val="32"/>
    </w:rPr>
  </w:style>
  <w:style w:type="paragraph" w:styleId="Heading3">
    <w:name w:val="Heading 3"/>
    <w:basedOn w:val="normal1"/>
    <w:next w:val="normal1"/>
    <w:uiPriority w:val="9"/>
    <w:semiHidden/>
    <w:unhideWhenUsed/>
    <w:qFormat/>
    <w:pPr>
      <w:keepNext w:val="true"/>
      <w:keepLines/>
      <w:spacing w:lineRule="auto" w:line="240" w:before="160" w:after="80"/>
      <w:outlineLvl w:val="2"/>
    </w:pPr>
    <w:rPr>
      <w:color w:val="0F4761"/>
      <w:sz w:val="28"/>
      <w:szCs w:val="28"/>
    </w:rPr>
  </w:style>
  <w:style w:type="paragraph" w:styleId="Heading4">
    <w:name w:val="Heading 4"/>
    <w:basedOn w:val="normal1"/>
    <w:next w:val="normal1"/>
    <w:uiPriority w:val="9"/>
    <w:semiHidden/>
    <w:unhideWhenUsed/>
    <w:qFormat/>
    <w:pPr>
      <w:keepNext w:val="true"/>
      <w:keepLines/>
      <w:spacing w:lineRule="auto" w:line="240" w:before="80" w:after="40"/>
      <w:outlineLvl w:val="3"/>
    </w:pPr>
    <w:rPr>
      <w:i/>
      <w:iCs/>
      <w:color w:val="0F4761"/>
    </w:rPr>
  </w:style>
  <w:style w:type="paragraph" w:styleId="Heading5">
    <w:name w:val="Heading 5"/>
    <w:basedOn w:val="normal1"/>
    <w:next w:val="normal1"/>
    <w:uiPriority w:val="9"/>
    <w:semiHidden/>
    <w:unhideWhenUsed/>
    <w:qFormat/>
    <w:pPr>
      <w:keepNext w:val="true"/>
      <w:keepLines/>
      <w:spacing w:lineRule="auto" w:line="240" w:before="80" w:after="40"/>
      <w:outlineLvl w:val="4"/>
    </w:pPr>
    <w:rPr>
      <w:color w:val="0F4761"/>
    </w:rPr>
  </w:style>
  <w:style w:type="paragraph" w:styleId="Heading6">
    <w:name w:val="Heading 6"/>
    <w:basedOn w:val="normal1"/>
    <w:next w:val="normal1"/>
    <w:uiPriority w:val="9"/>
    <w:semiHidden/>
    <w:unhideWhenUsed/>
    <w:qFormat/>
    <w:pPr>
      <w:keepNext w:val="true"/>
      <w:keepLines/>
      <w:spacing w:lineRule="auto" w:line="240" w:before="40" w:after="0"/>
      <w:outlineLvl w:val="5"/>
    </w:pPr>
    <w:rPr>
      <w:i/>
      <w:iCs/>
      <w:color w:val="595959"/>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71290257"/>
    <w:rPr>
      <w:color w:val="0000FF"/>
      <w:u w:val="single"/>
    </w:rPr>
  </w:style>
  <w:style w:type="character" w:styleId="UnresolvedMention">
    <w:name w:val="Unresolved Mention"/>
    <w:basedOn w:val="DefaultParagraphFont"/>
    <w:uiPriority w:val="99"/>
    <w:semiHidden/>
    <w:unhideWhenUsed/>
    <w:qFormat/>
    <w:rsid w:val="00aa78a5"/>
    <w:rPr>
      <w:color w:val="605E5C"/>
      <w:shd w:fill="E1DFDD" w:val="clear"/>
    </w:rPr>
  </w:style>
  <w:style w:type="character" w:styleId="FollowedHyperlink">
    <w:name w:val="FollowedHyperlink"/>
    <w:basedOn w:val="DefaultParagraphFont"/>
    <w:uiPriority w:val="99"/>
    <w:semiHidden/>
    <w:unhideWhenUsed/>
    <w:rsid w:val="00aa78a5"/>
    <w:rPr>
      <w:color w:themeColor="followedHyperlink" w:val="800080"/>
      <w:u w:val="single"/>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customStyle="1">
    <w:name w:val="Índice"/>
    <w:basedOn w:val="Normal"/>
    <w:qFormat/>
    <w:pPr>
      <w:suppressLineNumbers/>
    </w:pPr>
    <w:rPr>
      <w:rFonts w:cs="Noto Sans Devanagari"/>
    </w:rPr>
  </w:style>
  <w:style w:type="paragraph" w:styleId="Title">
    <w:name w:val="Title"/>
    <w:basedOn w:val="normal1"/>
    <w:next w:val="BodyText"/>
    <w:uiPriority w:val="10"/>
    <w:qFormat/>
    <w:pPr>
      <w:spacing w:lineRule="auto" w:line="240" w:before="240" w:after="80"/>
    </w:pPr>
    <w:rPr>
      <w:rFonts w:ascii="Play" w:hAnsi="Play" w:eastAsia="Play" w:cs="Play"/>
      <w:sz w:val="56"/>
      <w:szCs w:val="56"/>
    </w:rPr>
  </w:style>
  <w:style w:type="paragraph" w:styleId="normal1" w:customStyle="1">
    <w:name w:val="normal1"/>
    <w:qFormat/>
    <w:pPr>
      <w:widowControl/>
      <w:suppressAutoHyphens w:val="true"/>
      <w:bidi w:val="0"/>
      <w:spacing w:lineRule="auto" w:line="276" w:before="100" w:after="200"/>
      <w:jc w:val="left"/>
    </w:pPr>
    <w:rPr>
      <w:rFonts w:ascii="Aptos" w:hAnsi="Aptos" w:eastAsia="Aptos" w:cs="Aptos"/>
      <w:color w:val="auto"/>
      <w:kern w:val="0"/>
      <w:sz w:val="20"/>
      <w:szCs w:val="20"/>
      <w:lang w:val="en-US" w:eastAsia="zh-CN" w:bidi="hi-IN"/>
    </w:rPr>
  </w:style>
  <w:style w:type="paragraph" w:styleId="Subtitle">
    <w:name w:val="Subtitle"/>
    <w:basedOn w:val="normal1"/>
    <w:next w:val="normal1"/>
    <w:uiPriority w:val="11"/>
    <w:qFormat/>
    <w:pPr/>
    <w:rPr>
      <w:color w:val="595959"/>
      <w:sz w:val="28"/>
      <w:szCs w:val="28"/>
    </w:rPr>
  </w:style>
  <w:style w:type="paragraph" w:styleId="Cabealhoerodap" w:customStyle="1">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
</Relationships>
</file>

<file path=word/_rels/footer2.xml.rels><?xml version="1.0" encoding="UTF-8"?>
<Relationships xmlns="http://schemas.openxmlformats.org/package/2006/relationships"><Relationship Id="rId1" Type="http://schemas.openxmlformats.org/officeDocument/2006/relationships/image" Target="media/image2.png"/>
</Relationships>
</file>

<file path=word/_rels/footer3.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LibreOffice/24.2.7.2$Linux_X86_64 LibreOffice_project/420$Build-2</Application>
  <AppVersion>15.0000</AppVersion>
  <Pages>3</Pages>
  <Words>1047</Words>
  <Characters>6219</Characters>
  <CharactersWithSpaces>7256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2026-05-06T01:39:00Z</dcterms:created>
  <dc:creator>Marcos dos Santos</dc:creator>
  <dc:description/>
  <dc:language>pt-BR</dc:language>
  <cp:lastModifiedBy/>
  <dcterms:modified xsi:type="dcterms:W3CDTF">2026-05-07T21:59:53Z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