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98E65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p w14:paraId="61A4DB75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p w14:paraId="7D8E7F38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p w14:paraId="5B8C6454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TÉTANO EM MUAR: RELATO DE CASO</w:t>
      </w:r>
    </w:p>
    <w:p w14:paraId="395D3B12"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vertAlign w:val="superscript"/>
          <w:lang w:val="pt-BR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pt-BR"/>
        </w:rPr>
        <w:t xml:space="preserve">Joelma Angela de Medeiros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pt-BR"/>
        </w:rPr>
        <w:t>NOGUEIRA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vertAlign w:val="superscript"/>
          <w:lang w:val="pt-BR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Rayssa Caroline da Silva de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MEDEIROS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pt-BR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pt-BR"/>
        </w:rPr>
        <w:t xml:space="preserve">Lívia Horrana Forte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pt-BR"/>
        </w:rPr>
        <w:t>FREIRE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superscript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Mayara Almeida da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SILVA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Mikael Leandro Duarte de Lima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TOLENTINO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pt-BR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Daniel de Medeiros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ASSIS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pt-BR"/>
        </w:rPr>
        <w:t>4</w:t>
      </w:r>
    </w:p>
    <w:p w14:paraId="4DD3E55F">
      <w:pPr>
        <w:pStyle w:val="38"/>
        <w:spacing w:line="240" w:lineRule="auto"/>
        <w:rPr>
          <w:rFonts w:hint="default" w:ascii="Times New Roman" w:hAnsi="Times New Roman" w:cs="Times New Roman"/>
          <w:color w:val="000000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Discente do curso de Medicina Veterinária- UFCG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pt-BR"/>
        </w:rPr>
        <w:fldChar w:fldCharType="begin"/>
      </w:r>
      <w:r>
        <w:rPr>
          <w:rFonts w:hint="default" w:ascii="Times New Roman" w:hAnsi="Times New Roman" w:cs="Times New Roman"/>
          <w:color w:val="000000"/>
          <w:sz w:val="20"/>
          <w:szCs w:val="20"/>
          <w:lang w:val="pt-BR"/>
        </w:rPr>
        <w:instrText xml:space="preserve"> HYPERLINK "mailto:Joelmaangelademedeirosnogueira@gmail.com" </w:instrText>
      </w:r>
      <w:r>
        <w:rPr>
          <w:rFonts w:hint="default" w:ascii="Times New Roman" w:hAnsi="Times New Roman" w:cs="Times New Roman"/>
          <w:color w:val="000000"/>
          <w:sz w:val="20"/>
          <w:szCs w:val="20"/>
          <w:lang w:val="pt-BR"/>
        </w:rPr>
        <w:fldChar w:fldCharType="separate"/>
      </w:r>
      <w:r>
        <w:rPr>
          <w:rStyle w:val="14"/>
          <w:rFonts w:hint="default" w:ascii="Times New Roman" w:hAnsi="Times New Roman" w:cs="Times New Roman"/>
          <w:sz w:val="20"/>
          <w:szCs w:val="20"/>
          <w:lang w:val="pt-BR"/>
        </w:rPr>
        <w:t>Joelmaangelademedeirosnogueira@gmail.com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pt-BR"/>
        </w:rPr>
        <w:fldChar w:fldCharType="end"/>
      </w:r>
    </w:p>
    <w:p w14:paraId="7CDE50A3">
      <w:pPr>
        <w:pStyle w:val="38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pt-BR"/>
        </w:rPr>
        <w:t>Residente no Programa de Residência em Medicina Veterinária- UFCG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399DCCB0">
      <w:pPr>
        <w:pStyle w:val="38"/>
        <w:spacing w:line="240" w:lineRule="auto"/>
        <w:rPr>
          <w:rFonts w:hint="default" w:ascii="Times New Roman" w:hAnsi="Times New Roman" w:cs="Times New Roman"/>
          <w:color w:val="000000"/>
          <w:sz w:val="20"/>
          <w:szCs w:val="20"/>
          <w:u w:val="single"/>
          <w:lang w:val="pt-BR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pt-BR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vertAlign w:val="baseline"/>
          <w:lang w:val="pt-BR"/>
        </w:rPr>
        <w:t>Mestranda do Programa de Pós Graduação em Ciência e Saúde Animal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pt-BR"/>
        </w:rPr>
        <w:t>- UFCG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25523315">
      <w:pPr>
        <w:pStyle w:val="38"/>
        <w:spacing w:after="240" w:line="240" w:lineRule="auto"/>
        <w:rPr>
          <w:rFonts w:hint="default" w:ascii="Times New Roman" w:hAnsi="Times New Roman"/>
          <w:color w:val="000000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Médico Veterinário da Clínica Médica e Cirúrgica de Grandes Animais -UFCG</w:t>
      </w:r>
    </w:p>
    <w:p w14:paraId="3E1BF3F7">
      <w:pPr>
        <w:spacing w:after="0" w:line="360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Resumo: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O trabalho relata um caso de tétano em um muar adulto, macho, não vacinado e utilizado para tração, atendido no Hospi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tal Veterinário Universitário da UFCG. O diagnóstico presuntivo foi baseado em sinais clínicos típicos, como rigidez muscular, trismo mandibular, dificuldade de locomoção e ferida contaminada, além de alterações laboratoriais compatíveis com espasmos musculares intensos. Devido a limitações financeiras, o tratamento foi adaptado com soro antitetânico em dose reduzida, acepromazina, antibioticoterapia e suporte clínico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pt-BR"/>
        </w:rPr>
        <w:t xml:space="preserve">, apresentando melhora após 22 dias de tratamento.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O caso reforça a importância do diagnóstico precoce, do manejo clínico adequado e da vacinação na prevenção do tétano.</w:t>
      </w:r>
    </w:p>
    <w:p w14:paraId="71F734E6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/>
          <w:color w:val="00000A"/>
          <w:sz w:val="24"/>
          <w:szCs w:val="24"/>
          <w:lang w:val="pt-BR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A"/>
          <w:sz w:val="24"/>
          <w:szCs w:val="24"/>
        </w:rPr>
        <w:t>Palavras-chave</w:t>
      </w:r>
      <w:r>
        <w:rPr>
          <w:rFonts w:hint="default" w:ascii="Times New Roman" w:hAnsi="Times New Roman" w:eastAsia="Times New Roman" w:cs="Times New Roman"/>
          <w:b w:val="0"/>
          <w:bCs/>
          <w:color w:val="00000A"/>
          <w:sz w:val="24"/>
          <w:szCs w:val="24"/>
        </w:rPr>
        <w:t xml:space="preserve">: </w:t>
      </w:r>
      <w:r>
        <w:rPr>
          <w:rFonts w:hint="default" w:ascii="Times New Roman" w:hAnsi="Times New Roman" w:eastAsia="Times New Roman" w:cs="Times New Roman"/>
          <w:b w:val="0"/>
          <w:bCs/>
          <w:color w:val="00000A"/>
          <w:sz w:val="24"/>
          <w:szCs w:val="24"/>
          <w:lang w:val="pt-BR"/>
        </w:rPr>
        <w:t>soro antitetânico, feridas contaminadas,</w:t>
      </w:r>
      <w:r>
        <w:rPr>
          <w:rFonts w:hint="default" w:ascii="Times New Roman" w:hAnsi="Times New Roman" w:eastAsia="Times New Roman" w:cs="Times New Roman"/>
          <w:b w:val="0"/>
          <w:bCs/>
          <w:i/>
          <w:iCs/>
          <w:color w:val="00000A"/>
          <w:sz w:val="24"/>
          <w:szCs w:val="24"/>
          <w:lang w:val="pt-BR"/>
        </w:rPr>
        <w:t xml:space="preserve"> Clostridium tetani.</w:t>
      </w:r>
    </w:p>
    <w:p w14:paraId="4562DC78">
      <w:pPr>
        <w:spacing w:line="360" w:lineRule="auto"/>
        <w:jc w:val="both"/>
        <w:rPr>
          <w:rFonts w:hint="default" w:ascii="Times New Roman" w:hAnsi="Times New Roman" w:eastAsia="Arial" w:cs="Times New Roman"/>
          <w:b w:val="0"/>
          <w:bCs/>
          <w:sz w:val="24"/>
          <w:szCs w:val="24"/>
          <w:lang w:val="pt-BR"/>
        </w:rPr>
      </w:pPr>
      <w:r>
        <w:rPr>
          <w:rFonts w:hint="default" w:ascii="Times New Roman" w:hAnsi="Times New Roman" w:eastAsia="Arial" w:cs="Times New Roman"/>
          <w:b/>
          <w:sz w:val="24"/>
          <w:szCs w:val="24"/>
        </w:rPr>
        <w:t>Introdução: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 xml:space="preserve">O tétano é uma enfermidade infecciosa causada pela bactéria anaeróbia e esporulada Clostridium tetani, frequentemente associada a feridas contaminadas e ambientes com baixa higiene (Oliveira; Cardoso; Ramos, 2025). A toxina tetanoespasmina atua no sistema nervoso central, bloqueando neurotransmissores inibitórios, como GABA e glicina, o que provoca hiperestimulação e espasticidade muscular (Lemos; Riet-Correa, 2023). Os principais sinais clínicos incluem rigidez muscular, dificuldade de alimentação, pescoço estendido, hiperestesia e prolapso da terceira pálpebra, podendo evoluir para decúbito e morte (Silva et al., 2010). O diagnóstico presuntivo baseia-se nos sinais clínicos, podendo ser auxiliado por exames como hemocultura e análise do líquor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ajudando no diagnóstico conclusivo 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(Godoy et al., 2024)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  <w:lang w:val="pt-BR"/>
        </w:rPr>
        <w:t>.</w:t>
      </w:r>
    </w:p>
    <w:p w14:paraId="2C6D05BE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Relato de caso: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Objetiva-se relatar um caso de tétano em um muar atendido no </w:t>
      </w:r>
      <w:r>
        <w:rPr>
          <w:rFonts w:hint="default" w:ascii="Times New Roman" w:hAnsi="Times New Roman" w:cs="Times New Roman"/>
          <w:sz w:val="24"/>
          <w:szCs w:val="24"/>
        </w:rPr>
        <w:t>Hospital Veterinário Universitário Prof. Dr. Ivon Macedo Tabosa da Universidade Federal de Campina Grande (HVU/UFCG)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 Tratava-se de um macho, adulto, mestiço, não vacinado e utilizado para trabalho de tração. Foi relato pelo proprietário que há 3 dias teria observado o animal com dificuldade de se alimentar e “entrevado”, sendo aplicado por ele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 xml:space="preserve">, flunixin meglumine a </w:t>
      </w:r>
    </w:p>
    <w:p w14:paraId="250DA707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 w14:paraId="0C4313E5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 w14:paraId="0833DD70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cada 48h, 3 aplicações, não observando melhora. No exame físico, o 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nimal apresentava apatia, desidratação grau 8%, mucosas oculares hiperêmicas, taquicardia; taquipneia, hipomotilidade intestinal e ferida na região da quartela do membro torácico direito (MTD). O animal apresentava dificuldade de locomoção devido a rigidez muscular, trismo mandibular, cabeça e pescoço estendido e discreta cauda em bandeira, presumindo-se o diagnóstico clínico de tétano.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 xml:space="preserve">No hemograma foi observada uma leucocitose com neutrofilia acentuado e aumento das enzimas CK (2.424 U/L) e LDH (667 U/L) o que justifica as lesões musculares intensas, as contrações musculares contínuas e espasmos característicos do tétano.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Devido à gravidade do quadro, o paciente foi admitido no internamento, porém o proprietário tinha poucos recursos financeiros para o custeio do tratamento, havendo a necessidade de adaptação dos protocolos normalmente utilizados. Iniciou-se o tratamento clínico com acepromazina (0,1 mg/kg), intravenoso (IV), a cada 6 horas; soro antitetânico 10.000 UI, diluído em 1 litro de Na Cl 0,9%; Gentopem₢, 40.000 UI/kg, a cada 12h/12h, durante 1 dia, sendo posteriormente substituído pelo enrofloxacino 5 mg/kg, intramuscular; a cada 24h/24h.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Além disso, foi utilizado tratamento de suporte para hidratação e nutrição do paciente.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Após três dias de tratamento, o animal apresentou melhor mobilidade ao caminhar, porém com rigidez na musculatura do pescoço, porém, no oitavo dia,apresentava facilidade de lateralização. 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pós 5 dias de tratamento, ocorreu uma redução de CK (1256 U/L) e (LDH 637 U/L) e aos 18 dias de tratamento já havia normocitose, porém houve um aumento na CK (2084 U/L). O animal apresentou melhoras após 22 dias, optou-se pela alta do animal.</w:t>
      </w:r>
    </w:p>
    <w:p w14:paraId="25BA0F9D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Arial" w:cs="Times New Roman"/>
          <w:b/>
          <w:sz w:val="24"/>
          <w:szCs w:val="24"/>
        </w:rPr>
        <w:t>Resultados e Discussão:</w:t>
      </w:r>
      <w:r>
        <w:rPr>
          <w:rFonts w:hint="default" w:ascii="Times New Roman" w:hAnsi="Times New Roman" w:eastAsia="Arial" w:cs="Times New Roman"/>
          <w:b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O tétano ocorre, geralmente, pela contaminação de feridas profundas ou infectadas (Lemos; Riet-Correa, 2023). No caso relatado, a lesão na região da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quartela do membro torácico direito possivelmente atuou como porta de entrada para a bactéria. Embora a penicilina benzatina seja considerada o antibiótico de eleição para o tratamento do tétano (Thomassian, 2005), optou-se pelo uso de Gentopen devido às limitações financeiras do proprietário, assim como pela administração reduzida de soro antitetânico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sendo a dose recomendada maior do que esse volume. Nos casos de tétano com presença de feridas contaminadas, podem ocorrer leucocitose neutrofílica e aumento das enzimas musculares, decorrentes dos espasmos musculares contínuos. (Silva, 2025), essas alterações também foram observadas no presente caso. A maioria dos mamíferos é suscetível ao tétano, sendo cavalos e humanos as espécies mais sensíveis (Stämpfli, 2024), embora haja poucos </w:t>
      </w:r>
    </w:p>
    <w:p w14:paraId="133BF35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086AE9EE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39D601FA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relatos em muares. No presente caso, os sinais clínicos e os exames laboratoriais foram fundamentais para o diagnóstico da enfermidade.</w:t>
      </w:r>
    </w:p>
    <w:p w14:paraId="28F9AE15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Conclusão</w:t>
      </w:r>
      <w:r>
        <w:rPr>
          <w:rFonts w:hint="default" w:ascii="Times New Roman" w:hAnsi="Times New Roman" w:eastAsia="Helvetica Neue" w:cs="Times New Roman"/>
          <w:color w:val="000000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 presente relato evidencia a gravidade do tétano em muares e reforça a importância do diagnóstico clínico precoce associado ao suporte terapêutico intensivo para a recuperação do animal. A evolução favorável observada, mesmo diante de um prognóstico inicialmente reservado, destaca a eficácia do tratamento instituído e o manejo adequado durante a internação. Além disso, ressalta-se a necessidade de medidas preventivas, especialmente a vacinação, a fim de reduzir a ocorrência da enfermidade e seus impactos na saúde e bem-estar dos animais.</w:t>
      </w:r>
    </w:p>
    <w:p w14:paraId="597FBFDE">
      <w:pPr>
        <w:jc w:val="left"/>
        <w:rPr>
          <w:rFonts w:hint="default"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Bibliográficas: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0480F0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GODOY, J. V. F. T. et al. </w:t>
      </w:r>
      <w:r>
        <w:rPr>
          <w:rFonts w:ascii="Times New Roman" w:hAnsi="Times New Roman" w:cs="Times New Roman"/>
          <w:sz w:val="24"/>
          <w:szCs w:val="24"/>
        </w:rPr>
        <w:t>Tétano em equino: relato de caso.</w:t>
      </w:r>
      <w:r>
        <w:rPr>
          <w:rFonts w:ascii="Times New Roman" w:hAnsi="Times New Roman" w:cs="Times New Roman"/>
          <w:b/>
          <w:bCs/>
          <w:sz w:val="24"/>
          <w:szCs w:val="24"/>
        </w:rPr>
        <w:t>Pubvet,</w:t>
      </w:r>
      <w:r>
        <w:rPr>
          <w:rFonts w:ascii="Times New Roman" w:hAnsi="Times New Roman" w:cs="Times New Roman"/>
          <w:sz w:val="24"/>
          <w:szCs w:val="24"/>
        </w:rPr>
        <w:t xml:space="preserve"> São Paulo, v. 18, n. 3, e1563, p. 15, 2024. Disponível em:https://ojs.pubvet.com.br/index.php/revista/pt_BR/article/view/3527/3553. Acesso em: 7 maio 2026.</w:t>
      </w:r>
    </w:p>
    <w:p w14:paraId="619AA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SILVA, A. A. et al. Uso de antitoxina tetânica por via intratecal e endovenosa no tratamento de tétano acidental em equino: relato de caso.</w:t>
      </w:r>
      <w:r>
        <w:rPr>
          <w:rFonts w:ascii="Times New Roman" w:hAnsi="Times New Roman" w:cs="Times New Roman"/>
          <w:b/>
          <w:bCs/>
          <w:sz w:val="24"/>
          <w:szCs w:val="24"/>
        </w:rPr>
        <w:t>Revista Científica Eletrônica de Medicina Veterinária</w:t>
      </w:r>
      <w:r>
        <w:rPr>
          <w:rFonts w:ascii="Times New Roman" w:hAnsi="Times New Roman" w:cs="Times New Roman"/>
          <w:sz w:val="24"/>
          <w:szCs w:val="24"/>
        </w:rPr>
        <w:t>, São Paulo, n. 14, 2010. Disponível em:http://faef.revista.inf.br/imagens_arquivos/arquivos_destaque/il5AUjZi1rIYk9F_2013-625-14-45-59.pdf. Acesso em: 7 maio 2026.</w:t>
      </w:r>
    </w:p>
    <w:p w14:paraId="06486F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SILVA, L. M. Tétano em equinos: revisão bibliográfica e relato de caso. 2025. Disponível em:http://lume.ufrgs.br/bitstream/handle/10183/298585/001296119.pdf?sequence=1&amp;isAllowed=y. Acesso em: 7 maio 2026.</w:t>
      </w:r>
    </w:p>
    <w:p w14:paraId="23DE28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STÄMPFLI, H. R. Tétano em cavalos. </w:t>
      </w:r>
      <w:r>
        <w:rPr>
          <w:rFonts w:ascii="Times New Roman" w:hAnsi="Times New Roman" w:cs="Times New Roman"/>
          <w:b/>
          <w:bCs/>
          <w:sz w:val="24"/>
          <w:szCs w:val="24"/>
        </w:rPr>
        <w:t>Manual veterinário</w:t>
      </w:r>
      <w:r>
        <w:rPr>
          <w:rFonts w:ascii="Times New Roman" w:hAnsi="Times New Roman" w:cs="Times New Roman"/>
          <w:sz w:val="24"/>
          <w:szCs w:val="24"/>
        </w:rPr>
        <w:t>. 2024. Disponível em: https://www.msdvetmanual.com/horse-owners/infectious-diseases-of-horses/tetanus-in-horses. Acesso em: 7 maio 2026.</w:t>
      </w:r>
    </w:p>
    <w:p w14:paraId="1CB279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LEMOS, R. A. A.; RIET-CORREA, F. Tétano. In: RIET-CORREA, F. et al.</w:t>
      </w:r>
      <w:r>
        <w:rPr>
          <w:rFonts w:ascii="Times New Roman" w:hAnsi="Times New Roman" w:cs="Times New Roman"/>
          <w:b/>
          <w:bCs/>
          <w:sz w:val="24"/>
          <w:szCs w:val="24"/>
        </w:rPr>
        <w:t>Doenças de ruminantes e equídeos</w:t>
      </w:r>
      <w:r>
        <w:rPr>
          <w:rFonts w:ascii="Times New Roman" w:hAnsi="Times New Roman" w:cs="Times New Roman"/>
          <w:sz w:val="24"/>
          <w:szCs w:val="24"/>
        </w:rPr>
        <w:t>. 4. ed. São Paulo: MedVet, 2023.</w:t>
      </w:r>
    </w:p>
    <w:p w14:paraId="05DC8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OLIVEIRA, A. J. B.; CARDOSO, S. R. A.; RAMOS, F. A. S. Tétano em equinos: relato de caso de tratamento integrado de um equino mangalarga-marchador no município de Januária-MG.</w:t>
      </w:r>
      <w:r>
        <w:rPr>
          <w:rFonts w:ascii="Times New Roman" w:hAnsi="Times New Roman" w:cs="Times New Roman"/>
          <w:b/>
          <w:bCs/>
          <w:sz w:val="24"/>
          <w:szCs w:val="24"/>
        </w:rPr>
        <w:t>Scientia Generalis</w:t>
      </w:r>
      <w:r>
        <w:rPr>
          <w:rFonts w:ascii="Times New Roman" w:hAnsi="Times New Roman" w:cs="Times New Roman"/>
          <w:sz w:val="24"/>
          <w:szCs w:val="24"/>
        </w:rPr>
        <w:t>, Minas Gerais, v. 6, n. 2, p. 127-137, 2025. Disponível em: https://scientiageneralis.com.br/index.php/SG/article/view/717/552. Acesso em: 7 maio 2026.</w:t>
      </w:r>
    </w:p>
    <w:p w14:paraId="77DEB8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THOMASSIAN, A.</w:t>
      </w:r>
      <w:r>
        <w:rPr>
          <w:rFonts w:ascii="Times New Roman" w:hAnsi="Times New Roman" w:cs="Times New Roman"/>
          <w:b/>
          <w:bCs/>
          <w:sz w:val="24"/>
          <w:szCs w:val="24"/>
        </w:rPr>
        <w:t>Enfermidades dos cavalos</w:t>
      </w:r>
      <w:r>
        <w:rPr>
          <w:rFonts w:ascii="Times New Roman" w:hAnsi="Times New Roman" w:cs="Times New Roman"/>
          <w:sz w:val="24"/>
          <w:szCs w:val="24"/>
        </w:rPr>
        <w:t>. 4. ed. São Paulo: Varela, 2005. v. 1.</w:t>
      </w:r>
    </w:p>
    <w:p w14:paraId="5C4E11C7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54C7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A5D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2AA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B9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55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579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2A2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AAF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83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938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D4B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4E6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073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9E3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FB8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25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9B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4A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D53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82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3EB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60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AF4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17" w:right="1418" w:bottom="1417" w:left="1418" w:header="708" w:footer="709" w:gutter="0"/>
      <w:pgNumType w:start="1"/>
      <w:cols w:space="0" w:num="1"/>
      <w:rtlGutter w:val="0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2428810"/>
      <w:docPartObj>
        <w:docPartGallery w:val="autotext"/>
      </w:docPartObj>
    </w:sdtPr>
    <w:sdtContent>
      <w:p w14:paraId="15F32685">
        <w:pPr>
          <w:pStyle w:val="2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2735191"/>
      <w:docPartObj>
        <w:docPartGallery w:val="autotext"/>
      </w:docPartObj>
    </w:sdtPr>
    <w:sdtContent>
      <w:p w14:paraId="39A44401">
        <w:pPr>
          <w:pStyle w:val="19"/>
          <w:jc w:val="right"/>
        </w:pPr>
        <w: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3896564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5F328158">
    <w:pPr>
      <w:pStyle w:val="1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5B"/>
    <w:rsid w:val="000141DC"/>
    <w:rsid w:val="000230FA"/>
    <w:rsid w:val="00033942"/>
    <w:rsid w:val="00044F1D"/>
    <w:rsid w:val="00051623"/>
    <w:rsid w:val="000738E7"/>
    <w:rsid w:val="00087BA3"/>
    <w:rsid w:val="00096391"/>
    <w:rsid w:val="000978FB"/>
    <w:rsid w:val="000C44E9"/>
    <w:rsid w:val="000D200C"/>
    <w:rsid w:val="000D741E"/>
    <w:rsid w:val="000E7CC2"/>
    <w:rsid w:val="00132F53"/>
    <w:rsid w:val="00133F76"/>
    <w:rsid w:val="001359B8"/>
    <w:rsid w:val="001517A5"/>
    <w:rsid w:val="0017524C"/>
    <w:rsid w:val="00187E72"/>
    <w:rsid w:val="00193F35"/>
    <w:rsid w:val="00197666"/>
    <w:rsid w:val="001B7267"/>
    <w:rsid w:val="001D2BFE"/>
    <w:rsid w:val="001D4FBB"/>
    <w:rsid w:val="001F77CF"/>
    <w:rsid w:val="00207DD5"/>
    <w:rsid w:val="002241DD"/>
    <w:rsid w:val="0024740F"/>
    <w:rsid w:val="00266DF0"/>
    <w:rsid w:val="00270BC3"/>
    <w:rsid w:val="002947DB"/>
    <w:rsid w:val="002A6AA0"/>
    <w:rsid w:val="002F117F"/>
    <w:rsid w:val="00326A9A"/>
    <w:rsid w:val="00332B6E"/>
    <w:rsid w:val="00332CAC"/>
    <w:rsid w:val="0033556E"/>
    <w:rsid w:val="003515C2"/>
    <w:rsid w:val="00371349"/>
    <w:rsid w:val="00374208"/>
    <w:rsid w:val="00381700"/>
    <w:rsid w:val="00383A79"/>
    <w:rsid w:val="003A40B1"/>
    <w:rsid w:val="003D561B"/>
    <w:rsid w:val="00407C06"/>
    <w:rsid w:val="004146B4"/>
    <w:rsid w:val="00421F5B"/>
    <w:rsid w:val="0045468D"/>
    <w:rsid w:val="004656B6"/>
    <w:rsid w:val="00495242"/>
    <w:rsid w:val="0049645F"/>
    <w:rsid w:val="004B31C1"/>
    <w:rsid w:val="004C2666"/>
    <w:rsid w:val="00512482"/>
    <w:rsid w:val="00530FAF"/>
    <w:rsid w:val="005349D6"/>
    <w:rsid w:val="005371F7"/>
    <w:rsid w:val="00581AAE"/>
    <w:rsid w:val="00594058"/>
    <w:rsid w:val="005A73B4"/>
    <w:rsid w:val="005C2B12"/>
    <w:rsid w:val="005F545F"/>
    <w:rsid w:val="006057C5"/>
    <w:rsid w:val="00622858"/>
    <w:rsid w:val="00664B38"/>
    <w:rsid w:val="0067087E"/>
    <w:rsid w:val="006875EA"/>
    <w:rsid w:val="006B41C0"/>
    <w:rsid w:val="006C1804"/>
    <w:rsid w:val="006F5C08"/>
    <w:rsid w:val="0070355F"/>
    <w:rsid w:val="007144E5"/>
    <w:rsid w:val="0075219E"/>
    <w:rsid w:val="00771BAA"/>
    <w:rsid w:val="007B686E"/>
    <w:rsid w:val="0081157E"/>
    <w:rsid w:val="00822565"/>
    <w:rsid w:val="00846746"/>
    <w:rsid w:val="0085652D"/>
    <w:rsid w:val="008636B8"/>
    <w:rsid w:val="008D66ED"/>
    <w:rsid w:val="0090054B"/>
    <w:rsid w:val="0090092D"/>
    <w:rsid w:val="00904400"/>
    <w:rsid w:val="00906F1D"/>
    <w:rsid w:val="00921FBF"/>
    <w:rsid w:val="00950F5D"/>
    <w:rsid w:val="00953E92"/>
    <w:rsid w:val="00955EF8"/>
    <w:rsid w:val="009621A2"/>
    <w:rsid w:val="00981A3D"/>
    <w:rsid w:val="009D52B2"/>
    <w:rsid w:val="009E23CD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304D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D20B04"/>
    <w:rsid w:val="00D25BF7"/>
    <w:rsid w:val="00D4484D"/>
    <w:rsid w:val="00D540F6"/>
    <w:rsid w:val="00D97BAA"/>
    <w:rsid w:val="00DA0A6C"/>
    <w:rsid w:val="00DA2C3B"/>
    <w:rsid w:val="00DA4EE9"/>
    <w:rsid w:val="00DB5F2C"/>
    <w:rsid w:val="00DD45AC"/>
    <w:rsid w:val="00DD6AFE"/>
    <w:rsid w:val="00DD6BDC"/>
    <w:rsid w:val="00E62894"/>
    <w:rsid w:val="00E736C0"/>
    <w:rsid w:val="00E8580D"/>
    <w:rsid w:val="00EB1855"/>
    <w:rsid w:val="00EB583C"/>
    <w:rsid w:val="00ED2087"/>
    <w:rsid w:val="00ED48BA"/>
    <w:rsid w:val="00EE0517"/>
    <w:rsid w:val="00EE7265"/>
    <w:rsid w:val="00F14DD0"/>
    <w:rsid w:val="00F519AF"/>
    <w:rsid w:val="00F56791"/>
    <w:rsid w:val="00F82C46"/>
    <w:rsid w:val="00FA1F4C"/>
    <w:rsid w:val="00FD382B"/>
    <w:rsid w:val="00FE6582"/>
    <w:rsid w:val="0BC06D4A"/>
    <w:rsid w:val="16E62375"/>
    <w:rsid w:val="287062EC"/>
    <w:rsid w:val="3105136A"/>
    <w:rsid w:val="458B7CD4"/>
    <w:rsid w:val="79B66B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2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8"/>
    <w:qFormat/>
    <w:uiPriority w:val="20"/>
    <w:rPr>
      <w:i/>
      <w:iCs/>
    </w:rPr>
  </w:style>
  <w:style w:type="character" w:styleId="14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Body Text"/>
    <w:basedOn w:val="1"/>
    <w:link w:val="31"/>
    <w:qFormat/>
    <w:uiPriority w:val="1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eastAsia="Arial" w:cs="Arial"/>
      <w:lang w:val="pt-PT" w:eastAsia="pt-PT" w:bidi="pt-PT"/>
    </w:rPr>
  </w:style>
  <w:style w:type="paragraph" w:styleId="16">
    <w:name w:val="annotation text"/>
    <w:basedOn w:val="1"/>
    <w:link w:val="3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7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8">
    <w:name w:val="HTML Preformatted"/>
    <w:basedOn w:val="1"/>
    <w:link w:val="37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9">
    <w:name w:val="header"/>
    <w:basedOn w:val="1"/>
    <w:link w:val="2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0">
    <w:name w:val="annotation subject"/>
    <w:basedOn w:val="16"/>
    <w:next w:val="16"/>
    <w:link w:val="36"/>
    <w:semiHidden/>
    <w:unhideWhenUsed/>
    <w:qFormat/>
    <w:uiPriority w:val="99"/>
    <w:rPr>
      <w:b/>
      <w:bCs/>
    </w:rPr>
  </w:style>
  <w:style w:type="paragraph" w:styleId="21">
    <w:name w:val="footer"/>
    <w:basedOn w:val="1"/>
    <w:link w:val="2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2">
    <w:name w:val="Balloon Text"/>
    <w:basedOn w:val="1"/>
    <w:link w:val="3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4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Título 1 Char"/>
    <w:basedOn w:val="8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table" w:customStyle="1" w:styleId="27">
    <w:name w:val="1"/>
    <w:basedOn w:val="25"/>
    <w:qFormat/>
    <w:uiPriority w:val="0"/>
    <w:tblPr>
      <w:tblCellMar>
        <w:left w:w="70" w:type="dxa"/>
        <w:right w:w="70" w:type="dxa"/>
      </w:tblCellMar>
    </w:tblPr>
  </w:style>
  <w:style w:type="character" w:customStyle="1" w:styleId="28">
    <w:name w:val="Cabeçalho Char"/>
    <w:basedOn w:val="8"/>
    <w:link w:val="19"/>
    <w:qFormat/>
    <w:uiPriority w:val="99"/>
  </w:style>
  <w:style w:type="character" w:customStyle="1" w:styleId="29">
    <w:name w:val="Rodapé Char"/>
    <w:basedOn w:val="8"/>
    <w:link w:val="21"/>
    <w:qFormat/>
    <w:uiPriority w:val="99"/>
  </w:style>
  <w:style w:type="table" w:customStyle="1" w:styleId="30">
    <w:name w:val="Tabela Simples 41"/>
    <w:basedOn w:val="9"/>
    <w:qFormat/>
    <w:uiPriority w:val="44"/>
    <w:pPr>
      <w:spacing w:after="0" w:line="240" w:lineRule="auto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31">
    <w:name w:val="Corpo de texto Char"/>
    <w:basedOn w:val="8"/>
    <w:link w:val="15"/>
    <w:qFormat/>
    <w:uiPriority w:val="1"/>
    <w:rPr>
      <w:rFonts w:ascii="Arial" w:hAnsi="Arial" w:eastAsia="Arial" w:cs="Arial"/>
      <w:lang w:val="pt-PT" w:eastAsia="pt-PT" w:bidi="pt-PT"/>
    </w:rPr>
  </w:style>
  <w:style w:type="paragraph" w:customStyle="1" w:styleId="32">
    <w:name w:val="Table Paragraph"/>
    <w:basedOn w:val="1"/>
    <w:qFormat/>
    <w:uiPriority w:val="1"/>
    <w:pPr>
      <w:widowControl w:val="0"/>
      <w:autoSpaceDE w:val="0"/>
      <w:autoSpaceDN w:val="0"/>
      <w:spacing w:before="14" w:after="0" w:line="240" w:lineRule="auto"/>
      <w:jc w:val="right"/>
    </w:pPr>
    <w:rPr>
      <w:rFonts w:ascii="Arial" w:hAnsi="Arial" w:eastAsia="Arial" w:cs="Arial"/>
      <w:lang w:val="pt-PT" w:eastAsia="pt-PT" w:bidi="pt-PT"/>
    </w:rPr>
  </w:style>
  <w:style w:type="paragraph" w:customStyle="1" w:styleId="33">
    <w:name w:val="Bibliography"/>
    <w:basedOn w:val="1"/>
    <w:next w:val="1"/>
    <w:unhideWhenUsed/>
    <w:qFormat/>
    <w:uiPriority w:val="37"/>
  </w:style>
  <w:style w:type="character" w:customStyle="1" w:styleId="34">
    <w:name w:val="Texto de balão Char"/>
    <w:basedOn w:val="8"/>
    <w:link w:val="2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5">
    <w:name w:val="Texto de comentário Char"/>
    <w:basedOn w:val="8"/>
    <w:link w:val="16"/>
    <w:semiHidden/>
    <w:qFormat/>
    <w:uiPriority w:val="99"/>
    <w:rPr>
      <w:sz w:val="20"/>
      <w:szCs w:val="20"/>
    </w:rPr>
  </w:style>
  <w:style w:type="character" w:customStyle="1" w:styleId="36">
    <w:name w:val="Assunto do comentário Char"/>
    <w:basedOn w:val="35"/>
    <w:link w:val="20"/>
    <w:semiHidden/>
    <w:qFormat/>
    <w:uiPriority w:val="99"/>
    <w:rPr>
      <w:b/>
      <w:bCs/>
      <w:sz w:val="20"/>
      <w:szCs w:val="20"/>
    </w:rPr>
  </w:style>
  <w:style w:type="character" w:customStyle="1" w:styleId="37">
    <w:name w:val="Pré-formatação HTML Char"/>
    <w:basedOn w:val="8"/>
    <w:link w:val="18"/>
    <w:semiHidden/>
    <w:qFormat/>
    <w:uiPriority w:val="99"/>
    <w:rPr>
      <w:rFonts w:ascii="Courier New" w:hAnsi="Courier New" w:eastAsia="Times New Roman" w:cs="Courier New"/>
      <w:sz w:val="20"/>
      <w:szCs w:val="20"/>
    </w:rPr>
  </w:style>
  <w:style w:type="paragraph" w:styleId="38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customStyle="1" w:styleId="39">
    <w:name w:val="Normal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paragraph" w:customStyle="1" w:styleId="40">
    <w:name w:val="LO-normal"/>
    <w:qFormat/>
    <w:uiPriority w:val="0"/>
    <w:pPr>
      <w:widowControl w:val="0"/>
      <w:suppressAutoHyphens/>
      <w:spacing w:after="0" w:line="240" w:lineRule="auto"/>
    </w:pPr>
    <w:rPr>
      <w:rFonts w:ascii="Arial" w:hAnsi="Arial" w:eastAsia="Arial" w:cs="Arial"/>
      <w:sz w:val="22"/>
      <w:szCs w:val="22"/>
      <w:lang w:val="en-GB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1059</Words>
  <Characters>6628</Characters>
  <Lines>16</Lines>
  <Paragraphs>4</Paragraphs>
  <TotalTime>2</TotalTime>
  <ScaleCrop>false</ScaleCrop>
  <LinksUpToDate>false</LinksUpToDate>
  <CharactersWithSpaces>7671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2026-02-10T13:32:00Z</dcterms:created>
  <dc:creator>Brendo</dc:creator>
  <cp:lastModifiedBy>Joelma Angela</cp:lastModifiedBy>
  <dcterms:modified xsi:type="dcterms:W3CDTF">2026-05-08T00:46:23Z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  <property fmtid="{D5CDD505-2E9C-101B-9397-08002B2CF9AE}" pid="3" name="KSOProductBuildVer">
    <vt:lpwstr>1046-12.1.0.25862</vt:lpwstr>
  </property>
  <property fmtid="{D5CDD505-2E9C-101B-9397-08002B2CF9AE}" pid="4" name="ICV">
    <vt:lpwstr>D2EE623419C643E088BE6C9949177E34_12</vt:lpwstr>
  </property>
  <property fmtid="{D5CDD505-2E9C-101B-9397-08002B2CF9AE}" pid="5" name="KSOTemplateDocerSaveRecord">
    <vt:lpwstr>eyJoZGlkIjoiMDk1NGQyODk4MDUyNTI4ZjUyMjY4YTFhOThhNGU1NjUiLCJ1c2VySWQiOiIxMjU0NTg1NDYzMjg0In0=</vt:lpwstr>
  </property>
</Properties>
</file>