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1B1F" w14:textId="77777777" w:rsidR="00840230" w:rsidRDefault="00840230" w:rsidP="00840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6566B" w14:textId="6FA73AF6" w:rsidR="00981A3D" w:rsidRPr="00197666" w:rsidRDefault="003D507D" w:rsidP="00840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ANÁLISE </w:t>
      </w:r>
      <w:r w:rsidR="004A7294" w:rsidRPr="00621FA3">
        <w:rPr>
          <w:rFonts w:ascii="Times New Roman" w:hAnsi="Times New Roman" w:cs="Times New Roman"/>
          <w:b/>
          <w:bCs/>
          <w:sz w:val="24"/>
          <w:szCs w:val="24"/>
        </w:rPr>
        <w:t>ESPAÇO-</w:t>
      </w:r>
      <w:r w:rsidRPr="00621FA3">
        <w:rPr>
          <w:rFonts w:ascii="Times New Roman" w:hAnsi="Times New Roman" w:cs="Times New Roman"/>
          <w:b/>
          <w:bCs/>
          <w:sz w:val="24"/>
          <w:szCs w:val="24"/>
        </w:rPr>
        <w:t>TEMPORAL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RAIVA FELINA NO NORDESTE BRASILEIRO: ESTUDO RETROSPECTIVO</w:t>
      </w:r>
    </w:p>
    <w:p w14:paraId="395D3B12" w14:textId="00DE72C3" w:rsidR="00C4304D" w:rsidRPr="00F40052" w:rsidRDefault="00D52456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Mariana de Souza</w:t>
      </w:r>
      <w:r w:rsidR="00A512EB">
        <w:rPr>
          <w:rFonts w:ascii="Times New Roman" w:hAnsi="Times New Roman" w:cs="Times New Roman"/>
          <w:b/>
          <w:bCs/>
          <w:sz w:val="24"/>
          <w:szCs w:val="24"/>
        </w:rPr>
        <w:t xml:space="preserve"> GOMES</w:t>
      </w:r>
      <w:r w:rsidR="00A512E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5349D6" w:rsidRPr="00C96F2D">
        <w:rPr>
          <w:rFonts w:ascii="Times New Roman" w:hAnsi="Times New Roman" w:cs="Times New Roman"/>
          <w:sz w:val="24"/>
          <w:szCs w:val="24"/>
        </w:rPr>
        <w:t>;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Gustavo Lopes </w:t>
      </w:r>
      <w:r w:rsidRPr="00A512E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512EB" w:rsidRPr="00A512EB">
        <w:rPr>
          <w:rFonts w:ascii="Times New Roman" w:hAnsi="Times New Roman" w:cs="Times New Roman"/>
          <w:b/>
          <w:bCs/>
          <w:sz w:val="24"/>
          <w:szCs w:val="24"/>
        </w:rPr>
        <w:t>INHEIRO</w:t>
      </w:r>
      <w:r w:rsidR="00F4005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Lorena</w:t>
      </w:r>
      <w:r w:rsidR="00FB5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459">
        <w:rPr>
          <w:rFonts w:ascii="Times New Roman" w:hAnsi="Times New Roman" w:cs="Times New Roman"/>
          <w:sz w:val="24"/>
          <w:szCs w:val="24"/>
        </w:rPr>
        <w:t>Emanuelly</w:t>
      </w:r>
      <w:proofErr w:type="spellEnd"/>
      <w:r w:rsidR="00FB5459">
        <w:rPr>
          <w:rFonts w:ascii="Times New Roman" w:hAnsi="Times New Roman" w:cs="Times New Roman"/>
          <w:sz w:val="24"/>
          <w:szCs w:val="24"/>
        </w:rPr>
        <w:t xml:space="preserve"> Barros de </w:t>
      </w:r>
      <w:r w:rsidR="00FB5459" w:rsidRPr="00A512E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512EB" w:rsidRPr="00A512EB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="00F4005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João Pedro Menezes de </w:t>
      </w:r>
      <w:r w:rsidRPr="00A512E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12EB" w:rsidRPr="00A512EB">
        <w:rPr>
          <w:rFonts w:ascii="Times New Roman" w:hAnsi="Times New Roman" w:cs="Times New Roman"/>
          <w:b/>
          <w:bCs/>
          <w:sz w:val="24"/>
          <w:szCs w:val="24"/>
        </w:rPr>
        <w:t>OUSA</w:t>
      </w:r>
      <w:r w:rsidR="00F4005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F40052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6E48D3" w:rsidRPr="006E4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8D3" w:rsidRPr="00F40052">
        <w:rPr>
          <w:rFonts w:ascii="Times New Roman" w:hAnsi="Times New Roman" w:cs="Times New Roman"/>
          <w:sz w:val="24"/>
          <w:szCs w:val="24"/>
        </w:rPr>
        <w:t>Annielle</w:t>
      </w:r>
      <w:proofErr w:type="spellEnd"/>
      <w:r w:rsidR="006E48D3" w:rsidRPr="00F40052">
        <w:rPr>
          <w:rFonts w:ascii="Times New Roman" w:hAnsi="Times New Roman" w:cs="Times New Roman"/>
          <w:sz w:val="24"/>
          <w:szCs w:val="24"/>
        </w:rPr>
        <w:t xml:space="preserve"> Regina da Fonseca </w:t>
      </w:r>
      <w:r w:rsidR="006E48D3" w:rsidRPr="00F40052">
        <w:rPr>
          <w:rFonts w:ascii="Times New Roman" w:hAnsi="Times New Roman" w:cs="Times New Roman"/>
          <w:b/>
          <w:bCs/>
          <w:sz w:val="24"/>
          <w:szCs w:val="24"/>
        </w:rPr>
        <w:t>FERNANDES</w:t>
      </w:r>
      <w:r w:rsidR="00F40052" w:rsidRPr="00F4005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</w:p>
    <w:p w14:paraId="4DD3E55F" w14:textId="50CE0328" w:rsidR="00197666" w:rsidRPr="00800B45" w:rsidRDefault="00981A3D" w:rsidP="00800B45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800B4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917D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63DA9">
        <w:rPr>
          <w:rFonts w:ascii="Times New Roman" w:hAnsi="Times New Roman" w:cs="Times New Roman"/>
          <w:sz w:val="20"/>
          <w:szCs w:val="20"/>
        </w:rPr>
        <w:t xml:space="preserve">Discente </w:t>
      </w:r>
      <w:r w:rsidR="00D52456" w:rsidRPr="00800B45">
        <w:rPr>
          <w:rFonts w:ascii="Times New Roman" w:hAnsi="Times New Roman" w:cs="Times New Roman"/>
          <w:sz w:val="20"/>
          <w:szCs w:val="20"/>
        </w:rPr>
        <w:t>do curso de Medicina Veterinária da UFCG</w:t>
      </w:r>
      <w:r w:rsidR="00197666" w:rsidRPr="00800B45">
        <w:rPr>
          <w:rFonts w:ascii="Times New Roman" w:hAnsi="Times New Roman" w:cs="Times New Roman"/>
          <w:sz w:val="20"/>
          <w:szCs w:val="20"/>
        </w:rPr>
        <w:t xml:space="preserve">. E-mail: </w:t>
      </w:r>
      <w:r w:rsidR="00D52456" w:rsidRPr="00800B45">
        <w:rPr>
          <w:rFonts w:ascii="Times New Roman" w:hAnsi="Times New Roman" w:cs="Times New Roman"/>
          <w:sz w:val="20"/>
          <w:szCs w:val="20"/>
        </w:rPr>
        <w:t>souza.gomes@estudante.ufcg.edu.br</w:t>
      </w:r>
    </w:p>
    <w:p w14:paraId="0174F3CD" w14:textId="0A5BFA8A" w:rsidR="005F545F" w:rsidRPr="00800B45" w:rsidRDefault="00F40052" w:rsidP="00800B45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917D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52456" w:rsidRPr="00800B45">
        <w:rPr>
          <w:rFonts w:ascii="Times New Roman" w:hAnsi="Times New Roman" w:cs="Times New Roman"/>
          <w:sz w:val="20"/>
          <w:szCs w:val="20"/>
        </w:rPr>
        <w:t xml:space="preserve">Discente do curso de Medicina Veterinária </w:t>
      </w:r>
      <w:r w:rsidR="00991C27" w:rsidRPr="00800B45">
        <w:rPr>
          <w:rFonts w:ascii="Times New Roman" w:hAnsi="Times New Roman" w:cs="Times New Roman"/>
          <w:sz w:val="20"/>
          <w:szCs w:val="20"/>
        </w:rPr>
        <w:t>da UFCG</w:t>
      </w:r>
      <w:r w:rsidR="00197666" w:rsidRPr="00800B45">
        <w:rPr>
          <w:rFonts w:ascii="Times New Roman" w:hAnsi="Times New Roman" w:cs="Times New Roman"/>
          <w:sz w:val="20"/>
          <w:szCs w:val="20"/>
        </w:rPr>
        <w:t xml:space="preserve">. E-mail: </w:t>
      </w:r>
      <w:r w:rsidR="00991C27" w:rsidRPr="00800B45">
        <w:rPr>
          <w:rFonts w:ascii="Times New Roman" w:hAnsi="Times New Roman" w:cs="Times New Roman"/>
          <w:sz w:val="20"/>
          <w:szCs w:val="20"/>
        </w:rPr>
        <w:t>gustavodlp03@hotmail.com</w:t>
      </w:r>
    </w:p>
    <w:p w14:paraId="63480C2A" w14:textId="05A72DEB" w:rsidR="00991C27" w:rsidRPr="00800B45" w:rsidRDefault="00F40052" w:rsidP="00800B45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917D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00B45" w:rsidRPr="00800B45">
        <w:rPr>
          <w:rFonts w:ascii="Times New Roman" w:hAnsi="Times New Roman" w:cs="Times New Roman"/>
          <w:sz w:val="20"/>
          <w:szCs w:val="20"/>
        </w:rPr>
        <w:t>Discente do curso de Medicina Veterinária da UFCG</w:t>
      </w:r>
      <w:r w:rsidR="005F545F" w:rsidRPr="00800B45">
        <w:rPr>
          <w:rFonts w:ascii="Times New Roman" w:hAnsi="Times New Roman" w:cs="Times New Roman"/>
          <w:sz w:val="20"/>
          <w:szCs w:val="20"/>
        </w:rPr>
        <w:t xml:space="preserve">. E-mail: </w:t>
      </w:r>
      <w:hyperlink r:id="rId7" w:history="1">
        <w:r w:rsidR="00800B45" w:rsidRPr="00800B4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limalorenasje03@gmail.com</w:t>
        </w:r>
      </w:hyperlink>
    </w:p>
    <w:p w14:paraId="6E0305A1" w14:textId="7999432B" w:rsidR="00F40052" w:rsidRDefault="00F40052" w:rsidP="00800B45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917D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63DA9">
        <w:rPr>
          <w:rFonts w:ascii="Times New Roman" w:hAnsi="Times New Roman" w:cs="Times New Roman"/>
          <w:sz w:val="20"/>
          <w:szCs w:val="20"/>
        </w:rPr>
        <w:t xml:space="preserve">Discente do curso de Medicina Veterinária da UFCG. </w:t>
      </w:r>
      <w:r w:rsidR="00800B45" w:rsidRPr="00800B45">
        <w:rPr>
          <w:rFonts w:ascii="Times New Roman" w:hAnsi="Times New Roman" w:cs="Times New Roman"/>
          <w:sz w:val="20"/>
          <w:szCs w:val="20"/>
        </w:rPr>
        <w:t>E-mail:</w:t>
      </w:r>
      <w:r w:rsidR="00C63DA9">
        <w:rPr>
          <w:rFonts w:ascii="Times New Roman" w:hAnsi="Times New Roman" w:cs="Times New Roman"/>
          <w:sz w:val="20"/>
          <w:szCs w:val="20"/>
        </w:rPr>
        <w:t xml:space="preserve"> </w:t>
      </w:r>
      <w:r w:rsidRPr="00F40052">
        <w:rPr>
          <w:rFonts w:ascii="Times New Roman" w:hAnsi="Times New Roman" w:cs="Times New Roman"/>
          <w:sz w:val="20"/>
          <w:szCs w:val="20"/>
        </w:rPr>
        <w:t>pedro.menezes2808@gmail.com</w:t>
      </w:r>
    </w:p>
    <w:p w14:paraId="0D072AFF" w14:textId="07B2CEAC" w:rsidR="00F40052" w:rsidRPr="00800B45" w:rsidRDefault="00F40052" w:rsidP="00F40052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5917D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40052">
        <w:rPr>
          <w:rFonts w:ascii="Times New Roman" w:hAnsi="Times New Roman" w:cs="Times New Roman"/>
          <w:sz w:val="20"/>
          <w:szCs w:val="20"/>
        </w:rPr>
        <w:t>Docente do curso de Medicina Veterinária da UFCG. E-mail: anni.regina@gmail.com</w:t>
      </w:r>
    </w:p>
    <w:p w14:paraId="47BDF8F3" w14:textId="59CECFB4" w:rsidR="00800B45" w:rsidRDefault="00800B45" w:rsidP="00800B45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800B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EA74F4" w14:textId="77777777" w:rsidR="00800B45" w:rsidRPr="00800B45" w:rsidRDefault="00800B45" w:rsidP="00800B45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72ACD65C" w14:textId="3CCB7E80" w:rsidR="005927EE" w:rsidRDefault="00096391" w:rsidP="005927EE">
      <w:p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27EE" w:rsidRPr="005927EE">
        <w:rPr>
          <w:rFonts w:ascii="Times New Roman" w:eastAsia="Times New Roman" w:hAnsi="Times New Roman" w:cs="Times New Roman"/>
          <w:color w:val="00000A"/>
        </w:rPr>
        <w:t xml:space="preserve">A população felina no Brasil apresenta crescimento expressivo, aumentando a relevância da vigilância de zoonoses, especialmente da raiva. </w:t>
      </w:r>
      <w:r w:rsidR="003E34FE" w:rsidRPr="003E34FE">
        <w:rPr>
          <w:rFonts w:ascii="Times New Roman" w:eastAsia="Times New Roman" w:hAnsi="Times New Roman" w:cs="Times New Roman"/>
          <w:color w:val="00000A"/>
        </w:rPr>
        <w:t>O presente estudo analisou a ocorrência de raiva em felinos domésticos na região Nordeste entre 2015 e 2025, utilizando dados do Sistema Nacional de Informação em Saúde Animal (MAPA)</w:t>
      </w:r>
      <w:r w:rsidR="005927EE" w:rsidRPr="005927EE">
        <w:rPr>
          <w:rFonts w:ascii="Times New Roman" w:eastAsia="Times New Roman" w:hAnsi="Times New Roman" w:cs="Times New Roman"/>
          <w:color w:val="00000A"/>
        </w:rPr>
        <w:t xml:space="preserve">. Foram registrados 21 casos </w:t>
      </w:r>
      <w:r w:rsidR="003E34FE">
        <w:rPr>
          <w:rFonts w:ascii="Times New Roman" w:eastAsia="Times New Roman" w:hAnsi="Times New Roman" w:cs="Times New Roman"/>
          <w:color w:val="00000A"/>
        </w:rPr>
        <w:t>totais</w:t>
      </w:r>
      <w:r w:rsidR="005927EE" w:rsidRPr="005927EE">
        <w:rPr>
          <w:rFonts w:ascii="Times New Roman" w:eastAsia="Times New Roman" w:hAnsi="Times New Roman" w:cs="Times New Roman"/>
          <w:color w:val="00000A"/>
        </w:rPr>
        <w:t xml:space="preserve">, com distribuição irregular e surtos esporádicos, destacando-se o ano de 2021, </w:t>
      </w:r>
      <w:r w:rsidR="003E34FE">
        <w:rPr>
          <w:rFonts w:ascii="Times New Roman" w:eastAsia="Times New Roman" w:hAnsi="Times New Roman" w:cs="Times New Roman"/>
          <w:color w:val="00000A"/>
        </w:rPr>
        <w:t>com</w:t>
      </w:r>
      <w:r w:rsidR="005927EE" w:rsidRPr="005927EE">
        <w:rPr>
          <w:rFonts w:ascii="Times New Roman" w:eastAsia="Times New Roman" w:hAnsi="Times New Roman" w:cs="Times New Roman"/>
          <w:color w:val="00000A"/>
        </w:rPr>
        <w:t xml:space="preserve"> 23,8% dos casos. Pernambuco e Bahia concentraram 57,2% das notificações. Observou-se ausência de registros em alguns anos e estados, sugerindo possível subnotificação associada às baixas coberturas vacinais. Apesar da baixa ocorrência, os casos apresentaram persistência temporal, sugerindo comportamento </w:t>
      </w:r>
      <w:proofErr w:type="spellStart"/>
      <w:r w:rsidR="005927EE" w:rsidRPr="005927EE">
        <w:rPr>
          <w:rFonts w:ascii="Times New Roman" w:eastAsia="Times New Roman" w:hAnsi="Times New Roman" w:cs="Times New Roman"/>
          <w:color w:val="00000A"/>
        </w:rPr>
        <w:t>enzoótico</w:t>
      </w:r>
      <w:proofErr w:type="spellEnd"/>
      <w:r w:rsidR="005927EE" w:rsidRPr="005927EE">
        <w:rPr>
          <w:rFonts w:ascii="Times New Roman" w:eastAsia="Times New Roman" w:hAnsi="Times New Roman" w:cs="Times New Roman"/>
          <w:color w:val="00000A"/>
        </w:rPr>
        <w:t xml:space="preserve"> relacionado ao transbordamento do ciclo silvestre para o urbano. Conclui-se que o monitoramento contínuo e o fortalecimento da vacinação antirrábica em felinos são fundamentais para a saúde pública.</w:t>
      </w:r>
    </w:p>
    <w:p w14:paraId="71F734E6" w14:textId="4096C268" w:rsidR="00332B6E" w:rsidRDefault="0081157E" w:rsidP="005927EE">
      <w:p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7EA5CD1C" w14:textId="2293FE2B" w:rsidR="0081157E" w:rsidRPr="00684DAC" w:rsidRDefault="00614569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eastAsia="Helvetica Neue"/>
          <w:color w:val="000000"/>
          <w:sz w:val="22"/>
          <w:szCs w:val="22"/>
        </w:rPr>
      </w:pPr>
      <w:r w:rsidRPr="00614569">
        <w:rPr>
          <w:rFonts w:eastAsia="Helvetica Neue"/>
          <w:i/>
          <w:iCs/>
          <w:color w:val="000000"/>
          <w:sz w:val="22"/>
          <w:szCs w:val="22"/>
        </w:rPr>
        <w:t>Lyssavirus</w:t>
      </w:r>
      <w:r>
        <w:rPr>
          <w:rFonts w:eastAsia="Helvetica Neue"/>
          <w:i/>
          <w:iCs/>
          <w:color w:val="000000"/>
          <w:sz w:val="22"/>
          <w:szCs w:val="22"/>
        </w:rPr>
        <w:t>;</w:t>
      </w:r>
      <w:r>
        <w:rPr>
          <w:rFonts w:eastAsia="Helvetica Neue"/>
          <w:color w:val="000000"/>
          <w:sz w:val="22"/>
          <w:szCs w:val="22"/>
        </w:rPr>
        <w:t xml:space="preserve"> saúde pública</w:t>
      </w:r>
      <w:r w:rsidR="003D507D" w:rsidRPr="00F40052">
        <w:rPr>
          <w:rFonts w:eastAsia="Helvetica Neue"/>
          <w:color w:val="000000"/>
          <w:sz w:val="22"/>
          <w:szCs w:val="22"/>
        </w:rPr>
        <w:t>;</w:t>
      </w:r>
      <w:r w:rsidR="003D507D">
        <w:rPr>
          <w:rFonts w:eastAsia="Helvetica Neue"/>
          <w:color w:val="000000"/>
          <w:sz w:val="22"/>
          <w:szCs w:val="22"/>
        </w:rPr>
        <w:t xml:space="preserve"> vigilância epidemiológica</w:t>
      </w:r>
      <w:r>
        <w:rPr>
          <w:rFonts w:eastAsia="Helvetica Neue"/>
          <w:color w:val="000000"/>
          <w:sz w:val="22"/>
          <w:szCs w:val="22"/>
        </w:rPr>
        <w:t>;</w:t>
      </w:r>
      <w:r w:rsidRPr="00614569">
        <w:rPr>
          <w:rFonts w:eastAsia="Helvetica Neue"/>
          <w:color w:val="000000"/>
          <w:sz w:val="22"/>
          <w:szCs w:val="22"/>
        </w:rPr>
        <w:t xml:space="preserve"> </w:t>
      </w:r>
      <w:r>
        <w:rPr>
          <w:rFonts w:eastAsia="Helvetica Neue"/>
          <w:color w:val="000000"/>
          <w:sz w:val="22"/>
          <w:szCs w:val="22"/>
        </w:rPr>
        <w:t>z</w:t>
      </w:r>
      <w:r w:rsidRPr="00F40052">
        <w:rPr>
          <w:rFonts w:eastAsia="Helvetica Neue"/>
          <w:color w:val="000000"/>
          <w:sz w:val="22"/>
          <w:szCs w:val="22"/>
        </w:rPr>
        <w:t>oonose viral</w:t>
      </w:r>
      <w:r w:rsidR="003D507D">
        <w:rPr>
          <w:rFonts w:eastAsia="Helvetica Neue"/>
          <w:color w:val="000000"/>
          <w:sz w:val="22"/>
          <w:szCs w:val="22"/>
        </w:rPr>
        <w:t>.</w:t>
      </w:r>
    </w:p>
    <w:p w14:paraId="3F3361A7" w14:textId="77777777" w:rsidR="00684DAC" w:rsidRPr="0081157E" w:rsidRDefault="00684DAC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6F60222D" w14:textId="46F9604C" w:rsidR="00D01F4F" w:rsidRDefault="00BE61DE" w:rsidP="00D01F4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11BEE" w:rsidRPr="00A11BEE">
        <w:rPr>
          <w:rFonts w:ascii="Times New Roman" w:eastAsia="Arial" w:hAnsi="Times New Roman" w:cs="Times New Roman"/>
          <w:bCs/>
          <w:sz w:val="24"/>
          <w:szCs w:val="24"/>
        </w:rPr>
        <w:t xml:space="preserve">Nos últimos anos, observa-se crescimento expressivo da população felina no Brasil, que contava com cerca de 24 milhões de animais em 2019 e </w:t>
      </w:r>
      <w:r w:rsidR="00A11BEE">
        <w:rPr>
          <w:rFonts w:ascii="Times New Roman" w:eastAsia="Arial" w:hAnsi="Times New Roman" w:cs="Times New Roman"/>
          <w:bCs/>
          <w:sz w:val="24"/>
          <w:szCs w:val="24"/>
        </w:rPr>
        <w:t xml:space="preserve">apresenta </w:t>
      </w:r>
      <w:r w:rsidR="00A11BEE" w:rsidRPr="00A11BEE">
        <w:rPr>
          <w:rFonts w:ascii="Times New Roman" w:eastAsia="Arial" w:hAnsi="Times New Roman" w:cs="Times New Roman"/>
          <w:bCs/>
          <w:sz w:val="24"/>
          <w:szCs w:val="24"/>
        </w:rPr>
        <w:t>taxa anual de crescimento de 6%, evidenciando sua ampla presença nos domicílios (Brasil, 2025). Nesse contexto, o cuidado com a sanidade desses animais, especialmente em relação às zoonoses, torna-se indispensável.</w:t>
      </w:r>
      <w:r w:rsidR="00A11BE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D01F4F" w:rsidRPr="00D01F4F">
        <w:rPr>
          <w:rFonts w:ascii="Times New Roman" w:eastAsia="Arial" w:hAnsi="Times New Roman" w:cs="Times New Roman"/>
          <w:bCs/>
          <w:sz w:val="24"/>
          <w:szCs w:val="24"/>
        </w:rPr>
        <w:t xml:space="preserve">Esse aumento, aliado ao comportamento predatório dos felinos, que os expõe ao contato com </w:t>
      </w:r>
      <w:r w:rsidR="006667E1">
        <w:rPr>
          <w:rFonts w:ascii="Times New Roman" w:eastAsia="Arial" w:hAnsi="Times New Roman" w:cs="Times New Roman"/>
          <w:bCs/>
          <w:sz w:val="24"/>
          <w:szCs w:val="24"/>
        </w:rPr>
        <w:t>morcegos</w:t>
      </w:r>
      <w:r w:rsidR="00D01F4F" w:rsidRPr="00D01F4F">
        <w:rPr>
          <w:rFonts w:ascii="Times New Roman" w:eastAsia="Arial" w:hAnsi="Times New Roman" w:cs="Times New Roman"/>
          <w:bCs/>
          <w:sz w:val="24"/>
          <w:szCs w:val="24"/>
        </w:rPr>
        <w:t xml:space="preserve"> e, consequentemente, à transmissão da linhagem silvestre da raiva aos humanos, agrava o cenário sanitário e amplia sua importância no contexto da saúde pública (</w:t>
      </w:r>
      <w:proofErr w:type="spellStart"/>
      <w:r w:rsidR="00070DC8">
        <w:rPr>
          <w:rFonts w:ascii="Times New Roman" w:eastAsia="Arial" w:hAnsi="Times New Roman" w:cs="Times New Roman"/>
          <w:bCs/>
          <w:sz w:val="24"/>
          <w:szCs w:val="24"/>
        </w:rPr>
        <w:t>Fehlner-Gardiner</w:t>
      </w:r>
      <w:proofErr w:type="spellEnd"/>
      <w:r w:rsidR="00070DC8">
        <w:rPr>
          <w:rFonts w:ascii="Times New Roman" w:eastAsia="Arial" w:hAnsi="Times New Roman" w:cs="Times New Roman"/>
          <w:bCs/>
          <w:sz w:val="24"/>
          <w:szCs w:val="24"/>
        </w:rPr>
        <w:t>, 2024</w:t>
      </w:r>
      <w:r w:rsidR="00D01F4F" w:rsidRPr="00D01F4F">
        <w:rPr>
          <w:rFonts w:ascii="Times New Roman" w:eastAsia="Arial" w:hAnsi="Times New Roman" w:cs="Times New Roman"/>
          <w:bCs/>
          <w:sz w:val="24"/>
          <w:szCs w:val="24"/>
        </w:rPr>
        <w:t>; Brasil, 2024).</w:t>
      </w:r>
    </w:p>
    <w:p w14:paraId="70294976" w14:textId="7AF4248E" w:rsidR="00E42405" w:rsidRPr="00070DC8" w:rsidRDefault="00A11BEE" w:rsidP="00E4240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11BEE">
        <w:rPr>
          <w:rFonts w:ascii="Times New Roman" w:eastAsia="Arial" w:hAnsi="Times New Roman" w:cs="Times New Roman"/>
          <w:bCs/>
          <w:sz w:val="24"/>
          <w:szCs w:val="24"/>
        </w:rPr>
        <w:t xml:space="preserve">Apesar do crescimento da população felina, a subnotificação de casos de raiva e as baixas coberturas vacinais em comparação aos cães favorecem um cenário de vulnerabilidade e possível aumento silencioso da doença (Brasil, 2024; </w:t>
      </w:r>
      <w:proofErr w:type="spellStart"/>
      <w:r w:rsidRPr="00A11BEE">
        <w:rPr>
          <w:rFonts w:ascii="Times New Roman" w:eastAsia="Arial" w:hAnsi="Times New Roman" w:cs="Times New Roman"/>
          <w:bCs/>
          <w:sz w:val="24"/>
          <w:szCs w:val="24"/>
        </w:rPr>
        <w:t>Marulli</w:t>
      </w:r>
      <w:proofErr w:type="spellEnd"/>
      <w:r w:rsidRPr="00A11BEE">
        <w:rPr>
          <w:rFonts w:ascii="Times New Roman" w:eastAsia="Arial" w:hAnsi="Times New Roman" w:cs="Times New Roman"/>
          <w:bCs/>
          <w:sz w:val="24"/>
          <w:szCs w:val="24"/>
        </w:rPr>
        <w:t>, 2023</w:t>
      </w:r>
      <w:r w:rsidR="005927EE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 w:rsidR="00070DC8">
        <w:rPr>
          <w:rFonts w:ascii="Times New Roman" w:eastAsia="Arial" w:hAnsi="Times New Roman" w:cs="Times New Roman"/>
          <w:bCs/>
          <w:sz w:val="24"/>
          <w:szCs w:val="24"/>
        </w:rPr>
        <w:t>Fehlner-</w:t>
      </w:r>
      <w:r w:rsidR="005927EE">
        <w:rPr>
          <w:rFonts w:ascii="Times New Roman" w:eastAsia="Arial" w:hAnsi="Times New Roman" w:cs="Times New Roman"/>
          <w:bCs/>
          <w:sz w:val="24"/>
          <w:szCs w:val="24"/>
        </w:rPr>
        <w:t>Gardiner</w:t>
      </w:r>
      <w:proofErr w:type="spellEnd"/>
      <w:r w:rsidR="005927EE">
        <w:rPr>
          <w:rFonts w:ascii="Times New Roman" w:eastAsia="Arial" w:hAnsi="Times New Roman" w:cs="Times New Roman"/>
          <w:bCs/>
          <w:sz w:val="24"/>
          <w:szCs w:val="24"/>
        </w:rPr>
        <w:t>, 2024</w:t>
      </w:r>
      <w:r w:rsidRPr="00A11BEE">
        <w:rPr>
          <w:rFonts w:ascii="Times New Roman" w:eastAsia="Arial" w:hAnsi="Times New Roman" w:cs="Times New Roman"/>
          <w:bCs/>
          <w:sz w:val="24"/>
          <w:szCs w:val="24"/>
        </w:rPr>
        <w:t>). Dessa forma, a dificuldade na detecção do vírus reforça a necessidade de estudos que monitorem sua ocorrência em felinos e ampliem a visibilidade epidemiológica da espécie.</w:t>
      </w:r>
    </w:p>
    <w:p w14:paraId="58608999" w14:textId="4714535E" w:rsidR="00E14934" w:rsidRPr="00540EB4" w:rsidRDefault="00FC01C7" w:rsidP="00540EB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Cs/>
        </w:rPr>
      </w:pPr>
      <w:r>
        <w:rPr>
          <w:b/>
        </w:rPr>
        <w:t>Material e métodos</w:t>
      </w:r>
      <w:r w:rsidR="005F545F">
        <w:rPr>
          <w:b/>
        </w:rPr>
        <w:t xml:space="preserve">: </w:t>
      </w:r>
      <w:r w:rsidR="00E14934">
        <w:rPr>
          <w:rFonts w:eastAsia="Helvetica Neue"/>
          <w:color w:val="000000"/>
        </w:rPr>
        <w:t xml:space="preserve">O seguinte trabalho é um estudo epidemiológico do tipo descritivo e </w:t>
      </w:r>
      <w:r w:rsidR="00E14934">
        <w:rPr>
          <w:rFonts w:eastAsia="Helvetica Neue"/>
          <w:color w:val="000000"/>
        </w:rPr>
        <w:lastRenderedPageBreak/>
        <w:t>retrospectivo, com abordagem quantitativa baseado em dados secundários sobre a ocorrência de raiva em felinos domésticos na região Nordeste do país.</w:t>
      </w:r>
    </w:p>
    <w:p w14:paraId="196F7435" w14:textId="6DD0E15E" w:rsidR="005F545F" w:rsidRDefault="00FB5459" w:rsidP="00840230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FB5459">
        <w:rPr>
          <w:rFonts w:ascii="Times New Roman" w:eastAsia="Helvetica Neue" w:hAnsi="Times New Roman" w:cs="Times New Roman"/>
          <w:color w:val="000000"/>
          <w:sz w:val="24"/>
          <w:szCs w:val="24"/>
        </w:rPr>
        <w:t>Os dados foram obtidos por meio do Painel de Consulta de Dados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que faz</w:t>
      </w:r>
      <w:r w:rsidR="00E14934" w:rsidRP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parte da base de dados do 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r w:rsidR="00E14934" w:rsidRP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istema 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N</w:t>
      </w:r>
      <w:r w:rsidR="00E14934" w:rsidRP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acional de 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I</w:t>
      </w:r>
      <w:r w:rsidR="00E14934" w:rsidRP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nformação em 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r w:rsidR="00E14934" w:rsidRP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aúde 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A</w:t>
      </w:r>
      <w:r w:rsidR="00E14934" w:rsidRP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nima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l</w:t>
      </w:r>
      <w:r w:rsidRPr="00FB545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disponibilizado no site do Ministério da Agricultura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Pr="00FB545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Pecuária</w:t>
      </w:r>
      <w:r w:rsidR="00E1493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Abastecimento</w:t>
      </w:r>
      <w:r w:rsidRPr="00FB545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(MAPA). Para o levantamento, foram aplicados filtros específicos, incluindo a seleção da doença (raiva), da espécie (felinos), das unidades federativas </w:t>
      </w:r>
      <w:r w:rsidR="00F40052">
        <w:rPr>
          <w:rFonts w:ascii="Times New Roman" w:eastAsia="Helvetica Neue" w:hAnsi="Times New Roman" w:cs="Times New Roman"/>
          <w:sz w:val="24"/>
          <w:szCs w:val="24"/>
        </w:rPr>
        <w:t xml:space="preserve">da região nordeste </w:t>
      </w:r>
      <w:r w:rsidRPr="00FB545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do período de interesse (2015 a 2025). </w:t>
      </w:r>
      <w:r w:rsidR="00840230" w:rsidRPr="00FB545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partir desses critérios, foram extraídas </w:t>
      </w:r>
      <w:r w:rsidR="00840230">
        <w:rPr>
          <w:rFonts w:ascii="Times New Roman" w:eastAsia="Helvetica Neue" w:hAnsi="Times New Roman" w:cs="Times New Roman"/>
          <w:color w:val="000000"/>
          <w:sz w:val="24"/>
          <w:szCs w:val="24"/>
        </w:rPr>
        <w:t>as variáveis analisadas, que são: ano de ocorrência e localização.</w:t>
      </w:r>
    </w:p>
    <w:p w14:paraId="46FF9944" w14:textId="77777777" w:rsidR="00840230" w:rsidRPr="00840230" w:rsidRDefault="00840230" w:rsidP="00840230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7E537D49" w14:textId="77777777" w:rsidR="00A11BEE" w:rsidRPr="00A11BEE" w:rsidRDefault="00C34A7D" w:rsidP="00A11BEE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A11BEE" w:rsidRPr="00A11BEE">
        <w:rPr>
          <w:rFonts w:ascii="Times New Roman" w:eastAsia="Arial" w:hAnsi="Times New Roman" w:cs="Times New Roman"/>
          <w:bCs/>
          <w:sz w:val="24"/>
          <w:szCs w:val="24"/>
        </w:rPr>
        <w:t xml:space="preserve">Os dados obtidos apresentaram 21 casos totais nos anos de 2015 a 2025. A distribuição dos casos ao longo da década estudada não apresentou linearidade, caracterizando surtos esporádicos. O ano de 2021 foi o mais crítico, concentrando cerca de 23,8% dos casos totais (5 casos). Segundo </w:t>
      </w:r>
      <w:proofErr w:type="spellStart"/>
      <w:r w:rsidR="00A11BEE" w:rsidRPr="00A11BEE">
        <w:rPr>
          <w:rFonts w:ascii="Times New Roman" w:eastAsia="Arial" w:hAnsi="Times New Roman" w:cs="Times New Roman"/>
          <w:bCs/>
          <w:sz w:val="24"/>
          <w:szCs w:val="24"/>
        </w:rPr>
        <w:t>Marulli</w:t>
      </w:r>
      <w:proofErr w:type="spellEnd"/>
      <w:r w:rsidR="00A11BEE" w:rsidRPr="00A11BEE">
        <w:rPr>
          <w:rFonts w:ascii="Times New Roman" w:eastAsia="Arial" w:hAnsi="Times New Roman" w:cs="Times New Roman"/>
          <w:bCs/>
          <w:sz w:val="24"/>
          <w:szCs w:val="24"/>
        </w:rPr>
        <w:t xml:space="preserve"> (2023), houve aumento significativo da imunização antirrábica em felinos na região Nordeste no período pandêmico (2020 e 2021). Apesar disso, estados como Bahia e Pernambuco apresentaram dados inconsistentes de cobertura vacinal.</w:t>
      </w:r>
    </w:p>
    <w:p w14:paraId="63FA45A4" w14:textId="75C8D83E" w:rsidR="00A11BEE" w:rsidRPr="00A11BEE" w:rsidRDefault="00A11BEE" w:rsidP="00A11BEE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11BEE">
        <w:rPr>
          <w:rFonts w:ascii="Times New Roman" w:eastAsia="Arial" w:hAnsi="Times New Roman" w:cs="Times New Roman"/>
          <w:bCs/>
          <w:sz w:val="24"/>
          <w:szCs w:val="24"/>
        </w:rPr>
        <w:t>Houve ausência de registros nos anos de 2018, 2019 e 2024, indicando possível subnotificação, uma vez que esses anos apresentaram baixas taxas de controle vacinal felino (</w:t>
      </w:r>
      <w:proofErr w:type="spellStart"/>
      <w:r w:rsidRPr="00A11BEE">
        <w:rPr>
          <w:rFonts w:ascii="Times New Roman" w:eastAsia="Arial" w:hAnsi="Times New Roman" w:cs="Times New Roman"/>
          <w:bCs/>
          <w:sz w:val="24"/>
          <w:szCs w:val="24"/>
        </w:rPr>
        <w:t>Marulli</w:t>
      </w:r>
      <w:proofErr w:type="spellEnd"/>
      <w:r w:rsidRPr="00A11BEE">
        <w:rPr>
          <w:rFonts w:ascii="Times New Roman" w:eastAsia="Arial" w:hAnsi="Times New Roman" w:cs="Times New Roman"/>
          <w:bCs/>
          <w:sz w:val="24"/>
          <w:szCs w:val="24"/>
        </w:rPr>
        <w:t>, 2023</w:t>
      </w:r>
      <w:r w:rsidR="003E34FE">
        <w:rPr>
          <w:rFonts w:ascii="Times New Roman" w:eastAsia="Arial" w:hAnsi="Times New Roman" w:cs="Times New Roman"/>
          <w:bCs/>
          <w:sz w:val="24"/>
          <w:szCs w:val="24"/>
        </w:rPr>
        <w:t>), levando</w:t>
      </w:r>
      <w:r w:rsidRPr="00A11BEE">
        <w:rPr>
          <w:rFonts w:ascii="Times New Roman" w:eastAsia="Arial" w:hAnsi="Times New Roman" w:cs="Times New Roman"/>
          <w:bCs/>
          <w:sz w:val="24"/>
          <w:szCs w:val="24"/>
        </w:rPr>
        <w:t xml:space="preserve"> a crer que houve aumento dos casos, embora não existam dados que o comprovem. Além disso, destaca-se a ausência de registros nos estados de Alagoas e Piauí, também indicando inexistência de notificações oficiais.</w:t>
      </w:r>
    </w:p>
    <w:p w14:paraId="1C0B9053" w14:textId="02AC9187" w:rsidR="003E34FE" w:rsidRDefault="00A11BEE" w:rsidP="003E34FE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11BEE">
        <w:rPr>
          <w:rFonts w:ascii="Times New Roman" w:eastAsia="Arial" w:hAnsi="Times New Roman" w:cs="Times New Roman"/>
          <w:bCs/>
          <w:sz w:val="24"/>
          <w:szCs w:val="24"/>
        </w:rPr>
        <w:t>A concentração em polos específicos, como Pernambuco e Bahia, que juntos somam mais da metade dos casos do Nordeste (57,2%), caracterizados por extensas áreas de transição entre o litoral e o semiárido, pode influenciar esses resultados, uma vez que favorece maior interface entre animais domésticos e a fauna silvestre, aumentando o contato e, consequentemente, a transmissão do agente (Brasil, 2024).</w:t>
      </w:r>
    </w:p>
    <w:p w14:paraId="0A773DAA" w14:textId="77777777" w:rsidR="003E34FE" w:rsidRPr="006667E1" w:rsidRDefault="003E34FE" w:rsidP="003E34FE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B9EC759" w14:textId="546261E8" w:rsidR="00E07A97" w:rsidRDefault="00E07A97" w:rsidP="00D76767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  <w:r w:rsidRPr="00621FA3">
        <w:rPr>
          <w:rFonts w:ascii="Times New Roman" w:eastAsia="Arial" w:hAnsi="Times New Roman" w:cs="Times New Roman"/>
          <w:bCs/>
          <w:sz w:val="20"/>
          <w:szCs w:val="20"/>
        </w:rPr>
        <w:t xml:space="preserve">Figura </w:t>
      </w:r>
      <w:r>
        <w:rPr>
          <w:rFonts w:ascii="Times New Roman" w:eastAsia="Arial" w:hAnsi="Times New Roman" w:cs="Times New Roman"/>
          <w:bCs/>
          <w:sz w:val="20"/>
          <w:szCs w:val="20"/>
        </w:rPr>
        <w:t xml:space="preserve">1: </w:t>
      </w:r>
      <w:r w:rsidRPr="00F40052">
        <w:rPr>
          <w:rFonts w:ascii="Times New Roman" w:eastAsia="Arial" w:hAnsi="Times New Roman" w:cs="Times New Roman"/>
          <w:bCs/>
          <w:sz w:val="20"/>
          <w:szCs w:val="20"/>
        </w:rPr>
        <w:t xml:space="preserve">Distribuição espacial </w:t>
      </w:r>
      <w:r w:rsidR="00621FA3">
        <w:rPr>
          <w:rFonts w:ascii="Times New Roman" w:eastAsia="Arial" w:hAnsi="Times New Roman" w:cs="Times New Roman"/>
          <w:bCs/>
          <w:sz w:val="20"/>
          <w:szCs w:val="20"/>
        </w:rPr>
        <w:t>e temporal</w:t>
      </w:r>
      <w:r w:rsidR="00C65E83" w:rsidRPr="00621FA3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="00F40052">
        <w:rPr>
          <w:rFonts w:ascii="Times New Roman" w:eastAsia="Arial" w:hAnsi="Times New Roman" w:cs="Times New Roman"/>
          <w:bCs/>
          <w:sz w:val="20"/>
          <w:szCs w:val="20"/>
        </w:rPr>
        <w:t>da raiva felina, do período de 2015 à 2025</w:t>
      </w:r>
    </w:p>
    <w:p w14:paraId="05F57BB5" w14:textId="12DBA70B" w:rsidR="003E34FE" w:rsidRDefault="00E07A97" w:rsidP="003E34FE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  <w:r>
        <w:rPr>
          <w:rFonts w:ascii="Times New Roman" w:eastAsia="Arial" w:hAnsi="Times New Roman" w:cs="Times New Roman"/>
          <w:bCs/>
          <w:sz w:val="20"/>
          <w:szCs w:val="20"/>
        </w:rPr>
        <w:t>Fonte: Adaptado de Brasil, 2024</w:t>
      </w:r>
    </w:p>
    <w:p w14:paraId="1729C208" w14:textId="77777777" w:rsidR="005917D3" w:rsidRDefault="005917D3" w:rsidP="005917D3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</w:p>
    <w:p w14:paraId="694BDDF6" w14:textId="77777777" w:rsidR="00B62A34" w:rsidRDefault="00B62A34" w:rsidP="005917D3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</w:p>
    <w:p w14:paraId="74DB9FCD" w14:textId="77777777" w:rsidR="00B62A34" w:rsidRDefault="00B62A34" w:rsidP="005917D3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</w:p>
    <w:p w14:paraId="7E873DDE" w14:textId="77777777" w:rsidR="00B62A34" w:rsidRPr="005917D3" w:rsidRDefault="00B62A34" w:rsidP="005917D3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9"/>
        <w:gridCol w:w="679"/>
        <w:gridCol w:w="680"/>
        <w:gridCol w:w="681"/>
        <w:gridCol w:w="681"/>
        <w:gridCol w:w="681"/>
        <w:gridCol w:w="621"/>
        <w:gridCol w:w="681"/>
        <w:gridCol w:w="812"/>
      </w:tblGrid>
      <w:tr w:rsidR="00D2568F" w:rsidRPr="005917D3" w14:paraId="139A8038" w14:textId="77777777" w:rsidTr="00D2568F">
        <w:trPr>
          <w:jc w:val="center"/>
        </w:trPr>
        <w:tc>
          <w:tcPr>
            <w:tcW w:w="856" w:type="dxa"/>
            <w:hideMark/>
          </w:tcPr>
          <w:p w14:paraId="380573DD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proofErr w:type="spellStart"/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lastRenderedPageBreak/>
              <w:t>Nºcasos</w:t>
            </w:r>
            <w:proofErr w:type="spellEnd"/>
          </w:p>
        </w:tc>
        <w:tc>
          <w:tcPr>
            <w:tcW w:w="679" w:type="dxa"/>
            <w:hideMark/>
          </w:tcPr>
          <w:p w14:paraId="443ABFA6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679" w:type="dxa"/>
            <w:hideMark/>
          </w:tcPr>
          <w:p w14:paraId="1CD71F65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680" w:type="dxa"/>
            <w:hideMark/>
          </w:tcPr>
          <w:p w14:paraId="03DC223D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681" w:type="dxa"/>
            <w:hideMark/>
          </w:tcPr>
          <w:p w14:paraId="2EA639FA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81" w:type="dxa"/>
            <w:hideMark/>
          </w:tcPr>
          <w:p w14:paraId="3A0AF374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81" w:type="dxa"/>
            <w:hideMark/>
          </w:tcPr>
          <w:p w14:paraId="512A757E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21" w:type="dxa"/>
            <w:hideMark/>
          </w:tcPr>
          <w:p w14:paraId="64EA402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681" w:type="dxa"/>
            <w:hideMark/>
          </w:tcPr>
          <w:p w14:paraId="098E7E0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12" w:type="dxa"/>
            <w:hideMark/>
          </w:tcPr>
          <w:p w14:paraId="3A84CC3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D2568F" w:rsidRPr="005917D3" w14:paraId="01ACD8A8" w14:textId="77777777" w:rsidTr="00D2568F">
        <w:trPr>
          <w:jc w:val="center"/>
        </w:trPr>
        <w:tc>
          <w:tcPr>
            <w:tcW w:w="856" w:type="dxa"/>
            <w:hideMark/>
          </w:tcPr>
          <w:p w14:paraId="2935A6F5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CE</w:t>
            </w:r>
          </w:p>
        </w:tc>
        <w:tc>
          <w:tcPr>
            <w:tcW w:w="679" w:type="dxa"/>
          </w:tcPr>
          <w:p w14:paraId="0A52CAD7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</w:tcPr>
          <w:p w14:paraId="253C58AC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17228BAA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13E31AF5" w14:textId="10831244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0A8DE21B" w14:textId="0F6076B9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0027D9AA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13D5F68C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0C5E2169" w14:textId="02B75DA5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12347658" w14:textId="4F902C8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2568F" w:rsidRPr="005917D3" w14:paraId="072BFD18" w14:textId="77777777" w:rsidTr="00D2568F">
        <w:trPr>
          <w:jc w:val="center"/>
        </w:trPr>
        <w:tc>
          <w:tcPr>
            <w:tcW w:w="856" w:type="dxa"/>
            <w:hideMark/>
          </w:tcPr>
          <w:p w14:paraId="5F006407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BA</w:t>
            </w:r>
          </w:p>
        </w:tc>
        <w:tc>
          <w:tcPr>
            <w:tcW w:w="679" w:type="dxa"/>
          </w:tcPr>
          <w:p w14:paraId="2D0A3905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</w:tcPr>
          <w:p w14:paraId="7C3A34A7" w14:textId="6909099D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6002E194" w14:textId="1AC2C353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5CD69AB4" w14:textId="3CCC0139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2FF9C634" w14:textId="7957B8C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1C35986D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F2557C7" w14:textId="355898AA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6CA400A9" w14:textId="22E57AAA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6ABA4668" w14:textId="589F9B7B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2568F" w:rsidRPr="005917D3" w14:paraId="7B05B477" w14:textId="77777777" w:rsidTr="00D2568F">
        <w:trPr>
          <w:jc w:val="center"/>
        </w:trPr>
        <w:tc>
          <w:tcPr>
            <w:tcW w:w="856" w:type="dxa"/>
            <w:hideMark/>
          </w:tcPr>
          <w:p w14:paraId="3D99381E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MA</w:t>
            </w:r>
          </w:p>
        </w:tc>
        <w:tc>
          <w:tcPr>
            <w:tcW w:w="679" w:type="dxa"/>
          </w:tcPr>
          <w:p w14:paraId="3A0AABCB" w14:textId="7E1CA1B6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14:paraId="466D5CDE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6C908D7B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662ADFE5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15DC2FC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3B20D79B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75FC1CA3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2D0E74CB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</w:tcPr>
          <w:p w14:paraId="1EA35522" w14:textId="2B74AFC4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2568F" w:rsidRPr="005917D3" w14:paraId="6101A446" w14:textId="77777777" w:rsidTr="00D2568F">
        <w:trPr>
          <w:jc w:val="center"/>
        </w:trPr>
        <w:tc>
          <w:tcPr>
            <w:tcW w:w="856" w:type="dxa"/>
            <w:hideMark/>
          </w:tcPr>
          <w:p w14:paraId="24E94580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PB</w:t>
            </w:r>
          </w:p>
        </w:tc>
        <w:tc>
          <w:tcPr>
            <w:tcW w:w="679" w:type="dxa"/>
          </w:tcPr>
          <w:p w14:paraId="241BF42D" w14:textId="3687B45E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9" w:type="dxa"/>
          </w:tcPr>
          <w:p w14:paraId="5F73306C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61158369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77FBACF3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0D26E52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283110C3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7D5CC049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24AF21C1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</w:tcPr>
          <w:p w14:paraId="6DAEABCC" w14:textId="0F1F3C8A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2568F" w:rsidRPr="005917D3" w14:paraId="7852F8CB" w14:textId="77777777" w:rsidTr="00D2568F">
        <w:trPr>
          <w:jc w:val="center"/>
        </w:trPr>
        <w:tc>
          <w:tcPr>
            <w:tcW w:w="856" w:type="dxa"/>
            <w:hideMark/>
          </w:tcPr>
          <w:p w14:paraId="1707F251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PE</w:t>
            </w:r>
          </w:p>
        </w:tc>
        <w:tc>
          <w:tcPr>
            <w:tcW w:w="679" w:type="dxa"/>
          </w:tcPr>
          <w:p w14:paraId="26E7BB95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</w:tcPr>
          <w:p w14:paraId="231418C6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55072F02" w14:textId="3C622B10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4338A081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6E7243D6" w14:textId="1D1ACFBE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81" w:type="dxa"/>
          </w:tcPr>
          <w:p w14:paraId="30A153D1" w14:textId="7F335814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</w:tcPr>
          <w:p w14:paraId="38194222" w14:textId="6FC6EF60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06FD690B" w14:textId="2F2B58C1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2" w:type="dxa"/>
          </w:tcPr>
          <w:p w14:paraId="42B36C6A" w14:textId="2CF8B483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2568F" w:rsidRPr="005917D3" w14:paraId="373B3CFB" w14:textId="77777777" w:rsidTr="00D2568F">
        <w:trPr>
          <w:jc w:val="center"/>
        </w:trPr>
        <w:tc>
          <w:tcPr>
            <w:tcW w:w="856" w:type="dxa"/>
            <w:hideMark/>
          </w:tcPr>
          <w:p w14:paraId="221F7F3B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RN</w:t>
            </w:r>
          </w:p>
        </w:tc>
        <w:tc>
          <w:tcPr>
            <w:tcW w:w="679" w:type="dxa"/>
          </w:tcPr>
          <w:p w14:paraId="2D60BB19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</w:tcPr>
          <w:p w14:paraId="72F67E8D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7561EA9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71895B01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3D752947" w14:textId="5C31DB9B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52BD62A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67DB286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4C74B8C4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</w:tcPr>
          <w:p w14:paraId="34E102F5" w14:textId="7FC2B73A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2568F" w:rsidRPr="005917D3" w14:paraId="3C85A50B" w14:textId="77777777" w:rsidTr="00D2568F">
        <w:trPr>
          <w:jc w:val="center"/>
        </w:trPr>
        <w:tc>
          <w:tcPr>
            <w:tcW w:w="856" w:type="dxa"/>
            <w:hideMark/>
          </w:tcPr>
          <w:p w14:paraId="769F4A10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SE</w:t>
            </w:r>
          </w:p>
        </w:tc>
        <w:tc>
          <w:tcPr>
            <w:tcW w:w="679" w:type="dxa"/>
          </w:tcPr>
          <w:p w14:paraId="57E942B2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</w:tcPr>
          <w:p w14:paraId="2AB07C4F" w14:textId="6102F608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4F9DADC7" w14:textId="49A586FE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73920259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437105AB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61F35C57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502A7309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20689173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2" w:type="dxa"/>
          </w:tcPr>
          <w:p w14:paraId="66A0A924" w14:textId="6E38A24D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2568F" w:rsidRPr="005917D3" w14:paraId="1837E05B" w14:textId="77777777" w:rsidTr="006667E1">
        <w:trPr>
          <w:trHeight w:val="77"/>
          <w:jc w:val="center"/>
        </w:trPr>
        <w:tc>
          <w:tcPr>
            <w:tcW w:w="856" w:type="dxa"/>
            <w:hideMark/>
          </w:tcPr>
          <w:p w14:paraId="6E195E1A" w14:textId="77777777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917D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79" w:type="dxa"/>
          </w:tcPr>
          <w:p w14:paraId="5E3BF3BE" w14:textId="0DB7509F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9" w:type="dxa"/>
          </w:tcPr>
          <w:p w14:paraId="3D02BA3B" w14:textId="4C9CA5EC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14:paraId="2CAF4D17" w14:textId="3DDA164F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81" w:type="dxa"/>
          </w:tcPr>
          <w:p w14:paraId="0CE74688" w14:textId="7296A5D8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81" w:type="dxa"/>
          </w:tcPr>
          <w:p w14:paraId="1F899A30" w14:textId="186544CF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81" w:type="dxa"/>
          </w:tcPr>
          <w:p w14:paraId="7CECE18D" w14:textId="000D7E10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1" w:type="dxa"/>
          </w:tcPr>
          <w:p w14:paraId="2695CE51" w14:textId="20A9DC85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14:paraId="3DE6BAF7" w14:textId="2F7D9058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2" w:type="dxa"/>
          </w:tcPr>
          <w:p w14:paraId="579F6022" w14:textId="39F1F902" w:rsidR="00D2568F" w:rsidRPr="005917D3" w:rsidRDefault="00D2568F" w:rsidP="00D256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D2568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21</w:t>
            </w:r>
          </w:p>
        </w:tc>
      </w:tr>
    </w:tbl>
    <w:p w14:paraId="434BFE43" w14:textId="77777777" w:rsidR="00D76767" w:rsidRDefault="00D76767" w:rsidP="006667E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</w:rPr>
      </w:pPr>
    </w:p>
    <w:p w14:paraId="2B0EA9ED" w14:textId="61BC64EF" w:rsidR="00F40052" w:rsidRDefault="00F40052" w:rsidP="006667E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720"/>
        <w:jc w:val="both"/>
        <w:rPr>
          <w:rFonts w:eastAsia="Helvetica Neue"/>
        </w:rPr>
      </w:pPr>
      <w:r w:rsidRPr="009D1FE3">
        <w:rPr>
          <w:rFonts w:eastAsia="Helvetica Neue"/>
        </w:rPr>
        <w:t xml:space="preserve">Apesar de se apresentar como uma doença de baixa ocorrência, a raiva apresentou padrão cíclico e persistência temporal, sugerindo um comportamento de caráter enzoótico em felinos, associado a eventos de </w:t>
      </w:r>
      <w:r w:rsidRPr="009D1FE3">
        <w:rPr>
          <w:rFonts w:eastAsia="Helvetica Neue"/>
          <w:i/>
          <w:iCs/>
        </w:rPr>
        <w:t>spillover</w:t>
      </w:r>
      <w:r w:rsidRPr="009D1FE3">
        <w:rPr>
          <w:rFonts w:eastAsia="Helvetica Neue"/>
        </w:rPr>
        <w:t xml:space="preserve"> do ciclo silvestre para </w:t>
      </w:r>
      <w:r w:rsidR="00D76767">
        <w:rPr>
          <w:rFonts w:eastAsia="Helvetica Neue"/>
        </w:rPr>
        <w:t>o ciclo urbano</w:t>
      </w:r>
      <w:r w:rsidRPr="009D1FE3">
        <w:rPr>
          <w:rFonts w:eastAsia="Helvetica Neue"/>
        </w:rPr>
        <w:t xml:space="preserve">. </w:t>
      </w:r>
      <w:r w:rsidR="005927EE" w:rsidRPr="005927EE">
        <w:rPr>
          <w:rFonts w:eastAsia="Helvetica Neue"/>
          <w:lang w:val="pt-BR"/>
        </w:rPr>
        <w:t xml:space="preserve">Esse cenário </w:t>
      </w:r>
      <w:r w:rsidR="003E34FE">
        <w:rPr>
          <w:rFonts w:eastAsia="Helvetica Neue"/>
          <w:lang w:val="pt-BR"/>
        </w:rPr>
        <w:t>é favorecido</w:t>
      </w:r>
      <w:r w:rsidR="005927EE" w:rsidRPr="005927EE">
        <w:rPr>
          <w:rFonts w:eastAsia="Helvetica Neue"/>
          <w:lang w:val="pt-BR"/>
        </w:rPr>
        <w:t xml:space="preserve"> </w:t>
      </w:r>
      <w:r w:rsidR="003E34FE">
        <w:rPr>
          <w:rFonts w:eastAsia="Helvetica Neue"/>
          <w:lang w:val="pt-BR"/>
        </w:rPr>
        <w:t>pelas</w:t>
      </w:r>
      <w:r w:rsidR="005927EE" w:rsidRPr="005927EE">
        <w:rPr>
          <w:rFonts w:eastAsia="Helvetica Neue"/>
          <w:lang w:val="pt-BR"/>
        </w:rPr>
        <w:t xml:space="preserve"> mudanças no perfil epidemiológico da doença no Brasil, </w:t>
      </w:r>
      <w:r w:rsidR="003E34FE">
        <w:rPr>
          <w:rFonts w:eastAsia="Helvetica Neue"/>
          <w:lang w:val="pt-BR"/>
        </w:rPr>
        <w:t>com</w:t>
      </w:r>
      <w:r w:rsidR="005927EE" w:rsidRPr="005927EE">
        <w:rPr>
          <w:rFonts w:eastAsia="Helvetica Neue"/>
          <w:lang w:val="pt-BR"/>
        </w:rPr>
        <w:t xml:space="preserve"> maior interação entre morcegos e gatos, associada ao comportamento predatório natural dos felinos, </w:t>
      </w:r>
      <w:r w:rsidR="003E34FE">
        <w:rPr>
          <w:rFonts w:eastAsia="Helvetica Neue"/>
          <w:lang w:val="pt-BR"/>
        </w:rPr>
        <w:t>aumentando</w:t>
      </w:r>
      <w:r w:rsidR="005927EE" w:rsidRPr="005927EE">
        <w:rPr>
          <w:rFonts w:eastAsia="Helvetica Neue"/>
          <w:lang w:val="pt-BR"/>
        </w:rPr>
        <w:t xml:space="preserve"> a exposição ao vírus da raiva</w:t>
      </w:r>
      <w:r w:rsidR="003E34FE">
        <w:rPr>
          <w:rFonts w:eastAsia="Helvetica Neue"/>
          <w:lang w:val="pt-BR"/>
        </w:rPr>
        <w:t>.</w:t>
      </w:r>
      <w:r w:rsidR="005927EE" w:rsidRPr="005927EE">
        <w:rPr>
          <w:rFonts w:eastAsia="Helvetica Neue"/>
          <w:lang w:val="pt-BR"/>
        </w:rPr>
        <w:t xml:space="preserve"> </w:t>
      </w:r>
      <w:r w:rsidR="005927EE">
        <w:rPr>
          <w:rFonts w:eastAsia="Helvetica Neue"/>
          <w:lang w:val="pt-BR"/>
        </w:rPr>
        <w:t>(</w:t>
      </w:r>
      <w:proofErr w:type="spellStart"/>
      <w:r w:rsidR="00B62A34">
        <w:rPr>
          <w:rFonts w:eastAsia="Helvetica Neue"/>
          <w:lang w:val="pt-BR"/>
        </w:rPr>
        <w:t>Fehlner-Gardiner</w:t>
      </w:r>
      <w:proofErr w:type="spellEnd"/>
      <w:r w:rsidR="00B62A34">
        <w:rPr>
          <w:rFonts w:eastAsia="Helvetica Neue"/>
          <w:lang w:val="pt-BR"/>
        </w:rPr>
        <w:t>, 2024</w:t>
      </w:r>
      <w:r w:rsidR="005927EE">
        <w:rPr>
          <w:rFonts w:eastAsia="Helvetica Neue"/>
          <w:lang w:val="pt-BR"/>
        </w:rPr>
        <w:t>)</w:t>
      </w:r>
      <w:r w:rsidR="005927EE" w:rsidRPr="005927EE">
        <w:rPr>
          <w:rFonts w:eastAsia="Helvetica Neue"/>
          <w:lang w:val="pt-BR"/>
        </w:rPr>
        <w:t>.</w:t>
      </w:r>
    </w:p>
    <w:p w14:paraId="32728811" w14:textId="77777777" w:rsidR="006667E1" w:rsidRPr="006667E1" w:rsidRDefault="006667E1" w:rsidP="006667E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720"/>
        <w:jc w:val="both"/>
        <w:rPr>
          <w:rFonts w:eastAsia="Helvetica Neue"/>
        </w:rPr>
      </w:pPr>
    </w:p>
    <w:p w14:paraId="0C3DB6AB" w14:textId="170F3308" w:rsidR="00B62A34" w:rsidRPr="003E34FE" w:rsidRDefault="00096391" w:rsidP="006667E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  <w:lang w:val="pt-BR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540EB4" w:rsidRPr="00540EB4">
        <w:rPr>
          <w:rFonts w:eastAsia="Helvetica Neue"/>
          <w:lang w:val="pt-BR"/>
        </w:rPr>
        <w:t>Os achados relatados indicam que, embora a circulação do vírus no ciclo urbano esteja relativamente controlada</w:t>
      </w:r>
      <w:r w:rsidR="00540EB4">
        <w:rPr>
          <w:rFonts w:eastAsia="Helvetica Neue"/>
          <w:lang w:val="pt-BR"/>
        </w:rPr>
        <w:t xml:space="preserve">, </w:t>
      </w:r>
      <w:r w:rsidR="00540EB4" w:rsidRPr="00540EB4">
        <w:rPr>
          <w:rFonts w:eastAsia="Helvetica Neue"/>
          <w:lang w:val="pt-BR"/>
        </w:rPr>
        <w:t>ainda que com variações no número de casos entre os estados</w:t>
      </w:r>
      <w:r w:rsidR="00540EB4">
        <w:rPr>
          <w:rFonts w:eastAsia="Helvetica Neue"/>
          <w:lang w:val="pt-BR"/>
        </w:rPr>
        <w:t xml:space="preserve">, </w:t>
      </w:r>
      <w:r w:rsidR="00070DC8" w:rsidRPr="00070DC8">
        <w:rPr>
          <w:rFonts w:eastAsia="Helvetica Neue"/>
          <w:lang w:val="pt-BR"/>
        </w:rPr>
        <w:t>é fundamental manter o monitoramento contínuo dos felinos aliado ao fortalecimento da imunização</w:t>
      </w:r>
      <w:r w:rsidR="00540EB4" w:rsidRPr="00540EB4">
        <w:rPr>
          <w:rFonts w:eastAsia="Helvetica Neue"/>
          <w:lang w:val="pt-BR"/>
        </w:rPr>
        <w:t>.</w:t>
      </w:r>
      <w:r w:rsidR="006667E1">
        <w:rPr>
          <w:rFonts w:eastAsia="Helvetica Neue"/>
          <w:lang w:val="pt-BR"/>
        </w:rPr>
        <w:t xml:space="preserve"> </w:t>
      </w:r>
      <w:r w:rsidR="00540EB4" w:rsidRPr="00540EB4">
        <w:rPr>
          <w:rFonts w:eastAsia="Helvetica Neue"/>
          <w:lang w:val="pt-BR"/>
        </w:rPr>
        <w:t>C</w:t>
      </w:r>
      <w:r w:rsidR="006667E1" w:rsidRPr="006667E1">
        <w:rPr>
          <w:rFonts w:eastAsia="Helvetica Neue"/>
          <w:lang w:val="pt-BR"/>
        </w:rPr>
        <w:t>onsiderando a importância do ciclo silvestre como fonte de infecção, especialmente para gatos, são necessários mais estudos para identificação da origem dessas cepas.</w:t>
      </w:r>
    </w:p>
    <w:p w14:paraId="02EAC51B" w14:textId="77777777" w:rsidR="00C63DA9" w:rsidRDefault="00771BAA" w:rsidP="00C63DA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818AC58" w14:textId="32537073" w:rsidR="007E4D99" w:rsidRDefault="007E4D99" w:rsidP="00C63D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BRASIL. </w:t>
      </w:r>
      <w:r w:rsidRPr="007E4D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Manejo populacional ético de cães e gatos</w:t>
      </w:r>
      <w:r>
        <w:rPr>
          <w:rFonts w:ascii="Times New Roman" w:hAnsi="Times New Roman" w:cs="Times New Roman"/>
          <w:color w:val="000000"/>
          <w:sz w:val="24"/>
          <w:szCs w:val="24"/>
        </w:rPr>
        <w:t>. Ministério do Meio Ambiente e Mudança do Clima. Disponível em: Acesso em: 7 mai. 2026</w:t>
      </w:r>
    </w:p>
    <w:p w14:paraId="01CE6C85" w14:textId="02FCB922" w:rsidR="007E4D99" w:rsidRDefault="00C63DA9" w:rsidP="00C63DA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DA9">
        <w:rPr>
          <w:rFonts w:ascii="Times New Roman" w:hAnsi="Times New Roman" w:cs="Times New Roman"/>
          <w:color w:val="000000"/>
          <w:sz w:val="24"/>
          <w:szCs w:val="24"/>
        </w:rPr>
        <w:t xml:space="preserve">BRASIL. </w:t>
      </w:r>
      <w:r w:rsidRPr="00C63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Raiva animal</w:t>
      </w:r>
      <w:r w:rsidRPr="00C63D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E4D99" w:rsidRPr="00C63DA9">
        <w:rPr>
          <w:rFonts w:ascii="Times New Roman" w:hAnsi="Times New Roman" w:cs="Times New Roman"/>
          <w:color w:val="000000"/>
          <w:sz w:val="24"/>
          <w:szCs w:val="24"/>
        </w:rPr>
        <w:t>Ministério da Saúde</w:t>
      </w:r>
      <w:r w:rsidR="007E4D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4D99" w:rsidRPr="00C63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DA9">
        <w:rPr>
          <w:rFonts w:ascii="Times New Roman" w:hAnsi="Times New Roman" w:cs="Times New Roman"/>
          <w:color w:val="000000"/>
          <w:sz w:val="24"/>
          <w:szCs w:val="24"/>
        </w:rPr>
        <w:t>Disponível em: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BD378A">
          <w:rPr>
            <w:rStyle w:val="Hyperlink"/>
            <w:rFonts w:ascii="Times New Roman" w:hAnsi="Times New Roman" w:cs="Times New Roman"/>
            <w:sz w:val="24"/>
            <w:szCs w:val="24"/>
          </w:rPr>
          <w:t>https://www.gov.br/saude/pt-br/assuntos/saude-de-a-a-z/r/raiva/raiva-animal</w:t>
        </w:r>
      </w:hyperlink>
      <w:r w:rsidRPr="00C63DA9">
        <w:rPr>
          <w:rFonts w:ascii="Times New Roman" w:hAnsi="Times New Roman" w:cs="Times New Roman"/>
          <w:color w:val="000000"/>
          <w:sz w:val="24"/>
          <w:szCs w:val="24"/>
        </w:rPr>
        <w:t>. Acesso em: 20 mar. 2026</w:t>
      </w:r>
      <w:r w:rsidRPr="00C63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F421E09" w14:textId="32AB1498" w:rsidR="007E4D99" w:rsidRDefault="007E4D99" w:rsidP="00C63D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B06">
        <w:rPr>
          <w:rFonts w:ascii="Times New Roman" w:hAnsi="Times New Roman" w:cs="Times New Roman"/>
          <w:color w:val="000000"/>
          <w:sz w:val="24"/>
          <w:szCs w:val="24"/>
        </w:rPr>
        <w:t xml:space="preserve">BRASIL. </w:t>
      </w:r>
      <w:r w:rsidRPr="00915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Sistema de Informação em Saúde Animal.</w:t>
      </w:r>
      <w:r w:rsidRPr="00915B06">
        <w:rPr>
          <w:rFonts w:ascii="Times New Roman" w:hAnsi="Times New Roman" w:cs="Times New Roman"/>
          <w:color w:val="000000"/>
          <w:sz w:val="24"/>
          <w:szCs w:val="24"/>
        </w:rPr>
        <w:t xml:space="preserve"> Ministério da Agricultura e Pecuária.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B06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hyperlink r:id="rId9" w:tgtFrame="_new" w:history="1">
        <w:r w:rsidRPr="00915B06">
          <w:rPr>
            <w:rStyle w:val="Hyperlink"/>
            <w:rFonts w:ascii="Times New Roman" w:hAnsi="Times New Roman" w:cs="Times New Roman"/>
            <w:sz w:val="24"/>
            <w:szCs w:val="24"/>
          </w:rPr>
          <w:t>https://www.gov.br/agricultura/pt-br/assuntos/sanidade-animal-e-vegetal/saude-animal/epidemiologia/portugues/sistema-informacao-saude-animal</w:t>
        </w:r>
      </w:hyperlink>
      <w:r w:rsidRPr="00915B06">
        <w:rPr>
          <w:rFonts w:ascii="Times New Roman" w:hAnsi="Times New Roman" w:cs="Times New Roman"/>
          <w:color w:val="000000"/>
          <w:sz w:val="24"/>
          <w:szCs w:val="24"/>
        </w:rPr>
        <w:t>. Acesso em: 20 mar. 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E7B56E" w14:textId="1117CE15" w:rsidR="00070DC8" w:rsidRPr="007E4D99" w:rsidRDefault="00070DC8" w:rsidP="00C63D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DC8">
        <w:rPr>
          <w:rFonts w:ascii="Times New Roman" w:hAnsi="Times New Roman" w:cs="Times New Roman"/>
          <w:color w:val="000000"/>
          <w:sz w:val="24"/>
          <w:szCs w:val="24"/>
        </w:rPr>
        <w:t>FEHLNER-GARDINER, C</w:t>
      </w:r>
      <w:r w:rsidRPr="00070DC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et al</w:t>
      </w:r>
      <w:r w:rsidRPr="00070D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667E1">
        <w:rPr>
          <w:rFonts w:ascii="Times New Roman" w:hAnsi="Times New Roman" w:cs="Times New Roman"/>
          <w:color w:val="000000"/>
          <w:sz w:val="24"/>
          <w:szCs w:val="24"/>
        </w:rPr>
        <w:t xml:space="preserve">Rabies in </w:t>
      </w:r>
      <w:proofErr w:type="spellStart"/>
      <w:r w:rsidRPr="006667E1">
        <w:rPr>
          <w:rFonts w:ascii="Times New Roman" w:hAnsi="Times New Roman" w:cs="Times New Roman"/>
          <w:color w:val="000000"/>
          <w:sz w:val="24"/>
          <w:szCs w:val="24"/>
        </w:rPr>
        <w:t>Cats</w:t>
      </w:r>
      <w:proofErr w:type="spellEnd"/>
      <w:r w:rsidRPr="006667E1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6667E1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6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7E1">
        <w:rPr>
          <w:rFonts w:ascii="Times New Roman" w:hAnsi="Times New Roman" w:cs="Times New Roman"/>
          <w:color w:val="000000"/>
          <w:sz w:val="24"/>
          <w:szCs w:val="24"/>
        </w:rPr>
        <w:t>Emerging</w:t>
      </w:r>
      <w:proofErr w:type="spellEnd"/>
      <w:r w:rsidRPr="00666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7E1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spellEnd"/>
      <w:r w:rsidRPr="006667E1">
        <w:rPr>
          <w:rFonts w:ascii="Times New Roman" w:hAnsi="Times New Roman" w:cs="Times New Roman"/>
          <w:color w:val="000000"/>
          <w:sz w:val="24"/>
          <w:szCs w:val="24"/>
        </w:rPr>
        <w:t xml:space="preserve"> Health </w:t>
      </w:r>
      <w:proofErr w:type="spellStart"/>
      <w:r w:rsidRPr="006667E1">
        <w:rPr>
          <w:rFonts w:ascii="Times New Roman" w:hAnsi="Times New Roman" w:cs="Times New Roman"/>
          <w:color w:val="000000"/>
          <w:sz w:val="24"/>
          <w:szCs w:val="24"/>
        </w:rPr>
        <w:t>Issue</w:t>
      </w:r>
      <w:proofErr w:type="spellEnd"/>
      <w:r w:rsidRPr="006667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6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6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Viruses</w:t>
      </w:r>
      <w:proofErr w:type="spellEnd"/>
      <w:r w:rsidRPr="00666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Basel</w:t>
      </w:r>
      <w:r w:rsidRPr="00070DC8">
        <w:rPr>
          <w:rFonts w:ascii="Times New Roman" w:hAnsi="Times New Roman" w:cs="Times New Roman"/>
          <w:color w:val="000000"/>
          <w:sz w:val="24"/>
          <w:szCs w:val="24"/>
        </w:rPr>
        <w:t>, v. 16, n. 10, p. 1635, 2024.</w:t>
      </w:r>
    </w:p>
    <w:p w14:paraId="51B78B3A" w14:textId="05A8146C" w:rsidR="007230CD" w:rsidRPr="00C63DA9" w:rsidRDefault="00C63DA9" w:rsidP="00C63D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DA9">
        <w:rPr>
          <w:rFonts w:ascii="Times New Roman" w:hAnsi="Times New Roman" w:cs="Times New Roman"/>
          <w:color w:val="000000"/>
          <w:sz w:val="24"/>
          <w:szCs w:val="24"/>
        </w:rPr>
        <w:t>MARULLI, E</w:t>
      </w:r>
      <w:r w:rsidR="007E4D99">
        <w:rPr>
          <w:rFonts w:ascii="Times New Roman" w:hAnsi="Times New Roman" w:cs="Times New Roman"/>
          <w:color w:val="000000"/>
          <w:sz w:val="24"/>
          <w:szCs w:val="24"/>
        </w:rPr>
        <w:t>. B</w:t>
      </w:r>
      <w:r w:rsidRPr="00C63D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63D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Análise da cobertura vacinal contra a raiva de cães e gatos no Brasil, no período de 2015 a 2021</w:t>
      </w:r>
      <w:r w:rsidRPr="00C63DA9">
        <w:rPr>
          <w:rFonts w:ascii="Times New Roman" w:hAnsi="Times New Roman" w:cs="Times New Roman"/>
          <w:color w:val="000000"/>
          <w:sz w:val="24"/>
          <w:szCs w:val="24"/>
        </w:rPr>
        <w:t>. 2023. Dissertação</w:t>
      </w:r>
      <w:r w:rsidR="00443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DA9">
        <w:rPr>
          <w:rFonts w:ascii="Times New Roman" w:hAnsi="Times New Roman" w:cs="Times New Roman"/>
          <w:color w:val="000000"/>
          <w:sz w:val="24"/>
          <w:szCs w:val="24"/>
        </w:rPr>
        <w:t>– UNESP</w:t>
      </w:r>
      <w:r w:rsidR="0044364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C63DA9">
        <w:rPr>
          <w:rFonts w:ascii="Times New Roman" w:hAnsi="Times New Roman" w:cs="Times New Roman"/>
          <w:color w:val="000000"/>
          <w:sz w:val="24"/>
          <w:szCs w:val="24"/>
        </w:rPr>
        <w:t>Botucatu, 2023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7230CD" w:rsidRPr="00C63DA9" w:rsidSect="000526E1">
      <w:headerReference w:type="default" r:id="rId10"/>
      <w:footerReference w:type="default" r:id="rId11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EA49" w14:textId="77777777" w:rsidR="004750AF" w:rsidRDefault="004750AF" w:rsidP="00AB75BD">
      <w:pPr>
        <w:spacing w:after="0" w:line="240" w:lineRule="auto"/>
      </w:pPr>
      <w:r>
        <w:separator/>
      </w:r>
    </w:p>
  </w:endnote>
  <w:endnote w:type="continuationSeparator" w:id="0">
    <w:p w14:paraId="7C4F5EDE" w14:textId="77777777" w:rsidR="004750AF" w:rsidRDefault="004750AF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D808" w14:textId="77777777" w:rsidR="004750AF" w:rsidRDefault="004750AF" w:rsidP="00AB75BD">
      <w:pPr>
        <w:spacing w:after="0" w:line="240" w:lineRule="auto"/>
      </w:pPr>
      <w:r>
        <w:separator/>
      </w:r>
    </w:p>
  </w:footnote>
  <w:footnote w:type="continuationSeparator" w:id="0">
    <w:p w14:paraId="1FA7E9E3" w14:textId="77777777" w:rsidR="004750AF" w:rsidRDefault="004750AF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EndPr/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6748"/>
    <w:rsid w:val="000141DC"/>
    <w:rsid w:val="000230FA"/>
    <w:rsid w:val="00031BA7"/>
    <w:rsid w:val="00033942"/>
    <w:rsid w:val="0003604B"/>
    <w:rsid w:val="00044F1D"/>
    <w:rsid w:val="00051623"/>
    <w:rsid w:val="000526E1"/>
    <w:rsid w:val="00070DC8"/>
    <w:rsid w:val="000738E7"/>
    <w:rsid w:val="00087BA3"/>
    <w:rsid w:val="00096391"/>
    <w:rsid w:val="000C44E9"/>
    <w:rsid w:val="000C4F8B"/>
    <w:rsid w:val="000D200C"/>
    <w:rsid w:val="000D741E"/>
    <w:rsid w:val="000E7CC2"/>
    <w:rsid w:val="00132F53"/>
    <w:rsid w:val="00133F76"/>
    <w:rsid w:val="001359B8"/>
    <w:rsid w:val="00187E72"/>
    <w:rsid w:val="00193F35"/>
    <w:rsid w:val="00197666"/>
    <w:rsid w:val="001C3430"/>
    <w:rsid w:val="001D2BFE"/>
    <w:rsid w:val="001D4FBB"/>
    <w:rsid w:val="001F77CF"/>
    <w:rsid w:val="00207DD5"/>
    <w:rsid w:val="002241DD"/>
    <w:rsid w:val="00225986"/>
    <w:rsid w:val="0024740F"/>
    <w:rsid w:val="00266DF0"/>
    <w:rsid w:val="00270172"/>
    <w:rsid w:val="00270BC3"/>
    <w:rsid w:val="002947DB"/>
    <w:rsid w:val="002A6AA0"/>
    <w:rsid w:val="002F117F"/>
    <w:rsid w:val="00304EB9"/>
    <w:rsid w:val="00326360"/>
    <w:rsid w:val="00326A9A"/>
    <w:rsid w:val="00332B6E"/>
    <w:rsid w:val="00332CAC"/>
    <w:rsid w:val="0034204A"/>
    <w:rsid w:val="003515C2"/>
    <w:rsid w:val="00371349"/>
    <w:rsid w:val="00381700"/>
    <w:rsid w:val="00383A79"/>
    <w:rsid w:val="003A1F22"/>
    <w:rsid w:val="003A40B1"/>
    <w:rsid w:val="003D507D"/>
    <w:rsid w:val="003D561B"/>
    <w:rsid w:val="003E34FE"/>
    <w:rsid w:val="003E46BB"/>
    <w:rsid w:val="003F146D"/>
    <w:rsid w:val="00400CCE"/>
    <w:rsid w:val="00407C06"/>
    <w:rsid w:val="004146B1"/>
    <w:rsid w:val="004146B4"/>
    <w:rsid w:val="00421F5B"/>
    <w:rsid w:val="004341BB"/>
    <w:rsid w:val="00443645"/>
    <w:rsid w:val="0045468D"/>
    <w:rsid w:val="004656B6"/>
    <w:rsid w:val="004750AF"/>
    <w:rsid w:val="00495242"/>
    <w:rsid w:val="0049645F"/>
    <w:rsid w:val="004A1425"/>
    <w:rsid w:val="004A7294"/>
    <w:rsid w:val="004B01A9"/>
    <w:rsid w:val="004B2DAB"/>
    <w:rsid w:val="004B31C1"/>
    <w:rsid w:val="004C2666"/>
    <w:rsid w:val="00500CD8"/>
    <w:rsid w:val="0050791E"/>
    <w:rsid w:val="00512482"/>
    <w:rsid w:val="00530FAF"/>
    <w:rsid w:val="005349D6"/>
    <w:rsid w:val="005371F7"/>
    <w:rsid w:val="00540EB4"/>
    <w:rsid w:val="00576E36"/>
    <w:rsid w:val="00581AAE"/>
    <w:rsid w:val="005917D3"/>
    <w:rsid w:val="005927EE"/>
    <w:rsid w:val="00594058"/>
    <w:rsid w:val="005A309E"/>
    <w:rsid w:val="005A73B4"/>
    <w:rsid w:val="005C2B12"/>
    <w:rsid w:val="005F545F"/>
    <w:rsid w:val="006057C5"/>
    <w:rsid w:val="0061308D"/>
    <w:rsid w:val="00614569"/>
    <w:rsid w:val="00621FA3"/>
    <w:rsid w:val="00622858"/>
    <w:rsid w:val="00654775"/>
    <w:rsid w:val="00655ED9"/>
    <w:rsid w:val="00664B38"/>
    <w:rsid w:val="006667E1"/>
    <w:rsid w:val="0067087E"/>
    <w:rsid w:val="0067242A"/>
    <w:rsid w:val="00684DAC"/>
    <w:rsid w:val="006875EA"/>
    <w:rsid w:val="006C1804"/>
    <w:rsid w:val="006E48D3"/>
    <w:rsid w:val="006F4643"/>
    <w:rsid w:val="006F5C08"/>
    <w:rsid w:val="0070083F"/>
    <w:rsid w:val="0070355F"/>
    <w:rsid w:val="007144E5"/>
    <w:rsid w:val="00720767"/>
    <w:rsid w:val="007230CD"/>
    <w:rsid w:val="0075219E"/>
    <w:rsid w:val="00766618"/>
    <w:rsid w:val="007677D3"/>
    <w:rsid w:val="00771BAA"/>
    <w:rsid w:val="007B686E"/>
    <w:rsid w:val="007E4D99"/>
    <w:rsid w:val="007E566D"/>
    <w:rsid w:val="007E72C3"/>
    <w:rsid w:val="007F7543"/>
    <w:rsid w:val="00800B45"/>
    <w:rsid w:val="0081157E"/>
    <w:rsid w:val="0081162F"/>
    <w:rsid w:val="00822565"/>
    <w:rsid w:val="00840230"/>
    <w:rsid w:val="00846746"/>
    <w:rsid w:val="0085652D"/>
    <w:rsid w:val="008636B8"/>
    <w:rsid w:val="008C181D"/>
    <w:rsid w:val="008D66ED"/>
    <w:rsid w:val="008F118C"/>
    <w:rsid w:val="0090054B"/>
    <w:rsid w:val="0090092D"/>
    <w:rsid w:val="00904400"/>
    <w:rsid w:val="00906F1D"/>
    <w:rsid w:val="00915B06"/>
    <w:rsid w:val="00921FBF"/>
    <w:rsid w:val="00950F5D"/>
    <w:rsid w:val="00953E92"/>
    <w:rsid w:val="00955EF8"/>
    <w:rsid w:val="009621A2"/>
    <w:rsid w:val="00967DA2"/>
    <w:rsid w:val="00981A3D"/>
    <w:rsid w:val="00991C27"/>
    <w:rsid w:val="009A06B3"/>
    <w:rsid w:val="009A310F"/>
    <w:rsid w:val="009C31E2"/>
    <w:rsid w:val="009D1FE3"/>
    <w:rsid w:val="009D52B2"/>
    <w:rsid w:val="009E23CD"/>
    <w:rsid w:val="00A0222B"/>
    <w:rsid w:val="00A046E7"/>
    <w:rsid w:val="00A11BEE"/>
    <w:rsid w:val="00A215B4"/>
    <w:rsid w:val="00A512EB"/>
    <w:rsid w:val="00A878EF"/>
    <w:rsid w:val="00A90D44"/>
    <w:rsid w:val="00AA7EED"/>
    <w:rsid w:val="00AB3616"/>
    <w:rsid w:val="00AB75BD"/>
    <w:rsid w:val="00AC4C9E"/>
    <w:rsid w:val="00AD21ED"/>
    <w:rsid w:val="00AD764A"/>
    <w:rsid w:val="00AE17D1"/>
    <w:rsid w:val="00AE7494"/>
    <w:rsid w:val="00AF3B88"/>
    <w:rsid w:val="00B0066A"/>
    <w:rsid w:val="00B03E00"/>
    <w:rsid w:val="00B040C3"/>
    <w:rsid w:val="00B21BC0"/>
    <w:rsid w:val="00B21C05"/>
    <w:rsid w:val="00B26D13"/>
    <w:rsid w:val="00B27DA7"/>
    <w:rsid w:val="00B40F63"/>
    <w:rsid w:val="00B4520B"/>
    <w:rsid w:val="00B6000D"/>
    <w:rsid w:val="00B62A34"/>
    <w:rsid w:val="00B861E0"/>
    <w:rsid w:val="00BC5E67"/>
    <w:rsid w:val="00BD3E40"/>
    <w:rsid w:val="00BD6EA9"/>
    <w:rsid w:val="00BE075D"/>
    <w:rsid w:val="00BE61DE"/>
    <w:rsid w:val="00BF2050"/>
    <w:rsid w:val="00BF5E93"/>
    <w:rsid w:val="00C04C9C"/>
    <w:rsid w:val="00C05A68"/>
    <w:rsid w:val="00C1383F"/>
    <w:rsid w:val="00C34A7D"/>
    <w:rsid w:val="00C4304D"/>
    <w:rsid w:val="00C50B11"/>
    <w:rsid w:val="00C50D9B"/>
    <w:rsid w:val="00C512C2"/>
    <w:rsid w:val="00C63DA9"/>
    <w:rsid w:val="00C65E83"/>
    <w:rsid w:val="00C74280"/>
    <w:rsid w:val="00C74AA8"/>
    <w:rsid w:val="00C836BB"/>
    <w:rsid w:val="00C86FE6"/>
    <w:rsid w:val="00C963A5"/>
    <w:rsid w:val="00C96F2D"/>
    <w:rsid w:val="00CC49B9"/>
    <w:rsid w:val="00D01F4F"/>
    <w:rsid w:val="00D140AA"/>
    <w:rsid w:val="00D20B04"/>
    <w:rsid w:val="00D23E3F"/>
    <w:rsid w:val="00D2568F"/>
    <w:rsid w:val="00D25BF7"/>
    <w:rsid w:val="00D33AEE"/>
    <w:rsid w:val="00D33CB7"/>
    <w:rsid w:val="00D4484D"/>
    <w:rsid w:val="00D52456"/>
    <w:rsid w:val="00D540F6"/>
    <w:rsid w:val="00D76767"/>
    <w:rsid w:val="00D943A9"/>
    <w:rsid w:val="00D97BAA"/>
    <w:rsid w:val="00DA0A6C"/>
    <w:rsid w:val="00DA2C3B"/>
    <w:rsid w:val="00DA4EE9"/>
    <w:rsid w:val="00DB5F2C"/>
    <w:rsid w:val="00DB7C62"/>
    <w:rsid w:val="00DD45AC"/>
    <w:rsid w:val="00DD6AFE"/>
    <w:rsid w:val="00DD6BDC"/>
    <w:rsid w:val="00E07A97"/>
    <w:rsid w:val="00E14934"/>
    <w:rsid w:val="00E42405"/>
    <w:rsid w:val="00E62894"/>
    <w:rsid w:val="00E736C0"/>
    <w:rsid w:val="00E80518"/>
    <w:rsid w:val="00E8580D"/>
    <w:rsid w:val="00EB1855"/>
    <w:rsid w:val="00EB255D"/>
    <w:rsid w:val="00EB583C"/>
    <w:rsid w:val="00ED2087"/>
    <w:rsid w:val="00ED48BA"/>
    <w:rsid w:val="00EE0517"/>
    <w:rsid w:val="00EE17D8"/>
    <w:rsid w:val="00EE3C65"/>
    <w:rsid w:val="00EE7265"/>
    <w:rsid w:val="00F14DD0"/>
    <w:rsid w:val="00F40052"/>
    <w:rsid w:val="00F519AF"/>
    <w:rsid w:val="00F56791"/>
    <w:rsid w:val="00F6310F"/>
    <w:rsid w:val="00F82C46"/>
    <w:rsid w:val="00FA1F4C"/>
    <w:rsid w:val="00FB17B0"/>
    <w:rsid w:val="00FB5459"/>
    <w:rsid w:val="00FC01C7"/>
    <w:rsid w:val="00FC0477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91C27"/>
    <w:rPr>
      <w:color w:val="605E5C"/>
      <w:shd w:val="clear" w:color="auto" w:fill="E1DFDD"/>
    </w:rPr>
  </w:style>
  <w:style w:type="table" w:styleId="TabeladeGrade4">
    <w:name w:val="Grid Table 4"/>
    <w:basedOn w:val="Tabelanormal"/>
    <w:uiPriority w:val="49"/>
    <w:rsid w:val="00400C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saude/pt-br/assuntos/saude-de-a-a-z/r/raiva/raiva-animal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imalorenasje03@gmail.com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www.gov.br/agricultura/pt-br/assuntos/sanidade-animal-e-vegetal/saude-animal/epidemiologia/portugues/sistema-informacao-saude-animal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Mariana Souza Gomes</cp:lastModifiedBy>
  <cp:revision>2</cp:revision>
  <dcterms:created xsi:type="dcterms:W3CDTF">2026-05-08T00:15:00Z</dcterms:created>
  <dcterms:modified xsi:type="dcterms:W3CDTF">2026-05-08T00:15:00Z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